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b/>
          <w:color w:val="000000"/>
          <w:spacing w:val="14"/>
          <w:sz w:val="30"/>
          <w:szCs w:val="30"/>
        </w:rPr>
      </w:pPr>
      <w:bookmarkStart w:id="745" w:name="_GoBack"/>
      <w:bookmarkEnd w:id="745"/>
    </w:p>
    <w:p>
      <w:pPr>
        <w:spacing w:line="360" w:lineRule="auto"/>
        <w:rPr>
          <w:rFonts w:hint="eastAsia" w:ascii="宋体" w:hAnsi="宋体"/>
          <w:b/>
          <w:color w:val="000000"/>
          <w:spacing w:val="14"/>
          <w:sz w:val="30"/>
          <w:szCs w:val="30"/>
        </w:rPr>
      </w:pPr>
      <w:r>
        <w:rPr>
          <w:rFonts w:hint="eastAsia" w:ascii="宋体" w:hAnsi="宋体"/>
          <w:b/>
          <w:color w:val="000000"/>
          <w:spacing w:val="14"/>
          <w:sz w:val="30"/>
          <w:szCs w:val="30"/>
        </w:rPr>
        <w:t>云南省环境保护厅第</w:t>
      </w:r>
      <w:r>
        <w:rPr>
          <w:rFonts w:hint="eastAsia" w:ascii="宋体" w:hAnsi="宋体"/>
          <w:b/>
          <w:bCs/>
          <w:color w:val="000000"/>
          <w:sz w:val="30"/>
          <w:szCs w:val="30"/>
        </w:rPr>
        <w:t>15</w:t>
      </w:r>
      <w:r>
        <w:rPr>
          <w:rFonts w:hint="eastAsia" w:ascii="宋体" w:hAnsi="宋体"/>
          <w:b/>
          <w:color w:val="000000"/>
          <w:spacing w:val="14"/>
          <w:sz w:val="30"/>
          <w:szCs w:val="30"/>
        </w:rPr>
        <w:t>批（2019年）强制性清洁生产审核企业</w:t>
      </w:r>
    </w:p>
    <w:p>
      <w:pPr>
        <w:spacing w:line="360" w:lineRule="auto"/>
        <w:ind w:firstLine="361" w:firstLineChars="200"/>
        <w:jc w:val="center"/>
        <w:rPr>
          <w:rFonts w:hint="eastAsia" w:ascii="宋体" w:hAnsi="宋体"/>
          <w:b/>
          <w:color w:val="000000"/>
          <w:kern w:val="0"/>
          <w:sz w:val="18"/>
          <w:szCs w:val="18"/>
        </w:rPr>
      </w:pPr>
    </w:p>
    <w:p>
      <w:pPr>
        <w:spacing w:line="360" w:lineRule="auto"/>
        <w:jc w:val="center"/>
        <w:rPr>
          <w:rFonts w:hint="eastAsia" w:ascii="宋体" w:hAnsi="宋体"/>
          <w:b/>
          <w:color w:val="000000"/>
          <w:kern w:val="0"/>
          <w:sz w:val="52"/>
          <w:szCs w:val="52"/>
        </w:rPr>
      </w:pPr>
      <w:r>
        <w:rPr>
          <w:rFonts w:hint="eastAsia" w:ascii="宋体" w:hAnsi="宋体"/>
          <w:b/>
          <w:color w:val="000000"/>
          <w:kern w:val="0"/>
          <w:sz w:val="52"/>
          <w:szCs w:val="52"/>
        </w:rPr>
        <w:t>云南罗平锌电股份有限公司富乐铅锌矿</w:t>
      </w:r>
    </w:p>
    <w:p>
      <w:pPr>
        <w:jc w:val="center"/>
        <w:rPr>
          <w:rFonts w:hint="eastAsia" w:ascii="宋体" w:hAnsi="宋体"/>
          <w:b/>
          <w:color w:val="000000"/>
          <w:sz w:val="96"/>
          <w:szCs w:val="96"/>
        </w:rPr>
      </w:pPr>
      <w:r>
        <w:rPr>
          <w:rFonts w:hint="eastAsia" w:ascii="宋体" w:hAnsi="宋体"/>
          <w:b/>
          <w:color w:val="000000"/>
          <w:sz w:val="96"/>
          <w:szCs w:val="96"/>
        </w:rPr>
        <w:t>清洁生产审核报告</w:t>
      </w:r>
    </w:p>
    <w:p>
      <w:pPr>
        <w:spacing w:line="360" w:lineRule="auto"/>
        <w:ind w:firstLine="480" w:firstLineChars="200"/>
        <w:jc w:val="center"/>
        <w:rPr>
          <w:rFonts w:hint="eastAsia" w:ascii="宋体" w:hAnsi="宋体"/>
          <w:color w:val="000000"/>
          <w:sz w:val="24"/>
        </w:rPr>
      </w:pPr>
    </w:p>
    <w:p>
      <w:pPr>
        <w:shd w:val="clear" w:color="auto" w:fill="FFFFFF"/>
        <w:spacing w:line="360" w:lineRule="auto"/>
        <w:jc w:val="center"/>
        <w:rPr>
          <w:rFonts w:hint="eastAsia" w:ascii="宋体" w:hAnsi="宋体"/>
          <w:b/>
          <w:color w:val="000000"/>
          <w:sz w:val="36"/>
          <w:szCs w:val="36"/>
        </w:rPr>
      </w:pPr>
      <w:r>
        <w:rPr>
          <w:rFonts w:hint="eastAsia" w:ascii="宋体" w:hAnsi="宋体" w:cs="宋体"/>
          <w:b/>
          <w:color w:val="000000"/>
          <w:spacing w:val="52"/>
          <w:sz w:val="36"/>
          <w:szCs w:val="36"/>
        </w:rPr>
        <w:t>（送审稿）</w:t>
      </w:r>
    </w:p>
    <w:p>
      <w:pPr>
        <w:spacing w:line="360" w:lineRule="auto"/>
        <w:ind w:firstLine="482" w:firstLineChars="200"/>
        <w:jc w:val="center"/>
        <w:rPr>
          <w:rFonts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spacing w:line="360" w:lineRule="auto"/>
        <w:ind w:firstLine="482" w:firstLineChars="200"/>
        <w:jc w:val="center"/>
        <w:rPr>
          <w:rFonts w:hint="eastAsia" w:ascii="宋体" w:hAnsi="宋体"/>
          <w:b/>
          <w:color w:val="000000"/>
          <w:sz w:val="24"/>
        </w:rPr>
      </w:pPr>
    </w:p>
    <w:p>
      <w:pPr>
        <w:autoSpaceDE w:val="0"/>
        <w:autoSpaceDN w:val="0"/>
        <w:adjustRightInd w:val="0"/>
        <w:spacing w:line="360" w:lineRule="auto"/>
        <w:jc w:val="center"/>
        <w:rPr>
          <w:rFonts w:hint="eastAsia" w:ascii="宋体" w:hAnsi="宋体"/>
          <w:b/>
          <w:color w:val="000000"/>
          <w:kern w:val="0"/>
          <w:sz w:val="44"/>
          <w:szCs w:val="44"/>
        </w:rPr>
      </w:pPr>
      <w:r>
        <w:rPr>
          <w:rFonts w:hint="eastAsia" w:ascii="宋体" w:hAnsi="宋体"/>
          <w:b/>
          <w:color w:val="000000"/>
          <w:kern w:val="0"/>
          <w:sz w:val="44"/>
          <w:szCs w:val="44"/>
        </w:rPr>
        <w:t>云南罗平锌电股份有限公司富乐铅锌矿</w:t>
      </w:r>
    </w:p>
    <w:p>
      <w:pPr>
        <w:autoSpaceDE w:val="0"/>
        <w:autoSpaceDN w:val="0"/>
        <w:adjustRightInd w:val="0"/>
        <w:spacing w:line="360" w:lineRule="auto"/>
        <w:ind w:firstLine="3481" w:firstLineChars="788"/>
        <w:rPr>
          <w:rFonts w:hint="eastAsia" w:ascii="宋体" w:hAnsi="宋体" w:cs="宋体"/>
          <w:b/>
          <w:bCs/>
          <w:color w:val="000000"/>
          <w:sz w:val="44"/>
          <w:szCs w:val="44"/>
          <w:lang w:val="zh-CN"/>
        </w:rPr>
      </w:pPr>
      <w:r>
        <w:rPr>
          <w:rFonts w:hint="eastAsia" w:ascii="宋体" w:hAnsi="宋体" w:cs="宋体"/>
          <w:b/>
          <w:bCs/>
          <w:color w:val="000000"/>
          <w:sz w:val="44"/>
          <w:szCs w:val="44"/>
          <w:lang w:val="zh-CN"/>
        </w:rPr>
        <w:t>2019年10月25日</w:t>
      </w: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rPr>
          <w:rFonts w:hint="eastAsia" w:ascii="宋体" w:hAnsi="宋体" w:cs="宋体"/>
          <w:b/>
          <w:color w:val="000000"/>
          <w:spacing w:val="8"/>
          <w:sz w:val="18"/>
          <w:szCs w:val="18"/>
        </w:rPr>
      </w:pPr>
    </w:p>
    <w:p>
      <w:pPr>
        <w:spacing w:line="360" w:lineRule="auto"/>
        <w:ind w:firstLine="592" w:firstLineChars="200"/>
        <w:rPr>
          <w:rFonts w:hint="eastAsia" w:ascii="宋体" w:hAnsi="宋体"/>
          <w:color w:val="000000"/>
          <w:spacing w:val="8"/>
          <w:sz w:val="28"/>
          <w:szCs w:val="28"/>
        </w:rPr>
      </w:pPr>
      <w:r>
        <w:rPr>
          <w:rFonts w:hint="eastAsia" w:ascii="宋体" w:hAnsi="宋体" w:cs="宋体"/>
          <w:color w:val="000000"/>
          <w:spacing w:val="8"/>
          <w:sz w:val="28"/>
          <w:szCs w:val="28"/>
          <w:lang/>
        </w:rPr>
        <mc:AlternateContent>
          <mc:Choice Requires="wps">
            <w:drawing>
              <wp:anchor distT="0" distB="0" distL="114300" distR="114300" simplePos="0" relativeHeight="251691008" behindDoc="0" locked="0" layoutInCell="1" allowOverlap="1">
                <wp:simplePos x="0" y="0"/>
                <wp:positionH relativeFrom="column">
                  <wp:posOffset>4813300</wp:posOffset>
                </wp:positionH>
                <wp:positionV relativeFrom="paragraph">
                  <wp:posOffset>191770</wp:posOffset>
                </wp:positionV>
                <wp:extent cx="1257300" cy="1816100"/>
                <wp:effectExtent l="1409700" t="5080" r="19050" b="7620"/>
                <wp:wrapNone/>
                <wp:docPr id="172" name="自选图形 7070"/>
                <wp:cNvGraphicFramePr/>
                <a:graphic xmlns:a="http://schemas.openxmlformats.org/drawingml/2006/main">
                  <a:graphicData uri="http://schemas.microsoft.com/office/word/2010/wordprocessingShape">
                    <wps:wsp>
                      <wps:cNvSpPr/>
                      <wps:spPr>
                        <a:xfrm>
                          <a:off x="0" y="0"/>
                          <a:ext cx="1257300" cy="1816100"/>
                        </a:xfrm>
                        <a:prstGeom prst="wedgeRoundRectCallout">
                          <a:avLst>
                            <a:gd name="adj1" fmla="val -159648"/>
                            <a:gd name="adj2" fmla="val 48708"/>
                            <a:gd name="adj3" fmla="val 16667"/>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color w:val="FF0000"/>
                                <w:sz w:val="44"/>
                                <w:szCs w:val="44"/>
                              </w:rPr>
                            </w:pPr>
                            <w:r>
                              <w:rPr>
                                <w:rFonts w:hint="eastAsia"/>
                                <w:color w:val="FF0000"/>
                                <w:sz w:val="44"/>
                                <w:szCs w:val="44"/>
                              </w:rPr>
                              <w:t>填报告编制人员及电话</w:t>
                            </w:r>
                          </w:p>
                        </w:txbxContent>
                      </wps:txbx>
                      <wps:bodyPr wrap="square" upright="1"/>
                    </wps:wsp>
                  </a:graphicData>
                </a:graphic>
              </wp:anchor>
            </w:drawing>
          </mc:Choice>
          <mc:Fallback>
            <w:pict>
              <v:shape id="自选图形 7070" o:spid="_x0000_s1026" o:spt="62" type="#_x0000_t62" style="position:absolute;left:0pt;margin-left:379pt;margin-top:15.1pt;height:143pt;width:99pt;z-index:251691008;mso-width-relative:page;mso-height-relative:page;" fillcolor="#FFFFFF" filled="t" stroked="t" coordsize="21600,21600" o:gfxdata="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" adj="-23684,21321,14400">
                <v:fill on="t" focussize="0,0"/>
                <v:stroke color="#000000" joinstyle="miter"/>
                <v:imagedata o:title=""/>
                <o:lock v:ext="edit" aspectratio="f"/>
                <v:textbox>
                  <w:txbxContent>
                    <w:p>
                      <w:pPr>
                        <w:rPr>
                          <w:rFonts w:hint="eastAsia"/>
                          <w:color w:val="FF0000"/>
                          <w:sz w:val="44"/>
                          <w:szCs w:val="44"/>
                        </w:rPr>
                      </w:pPr>
                      <w:r>
                        <w:rPr>
                          <w:rFonts w:hint="eastAsia"/>
                          <w:color w:val="FF0000"/>
                          <w:sz w:val="44"/>
                          <w:szCs w:val="44"/>
                        </w:rPr>
                        <w:t>填报告编制人员及电话</w:t>
                      </w:r>
                    </w:p>
                  </w:txbxContent>
                </v:textbox>
              </v:shape>
            </w:pict>
          </mc:Fallback>
        </mc:AlternateContent>
      </w:r>
      <w:r>
        <w:rPr>
          <w:rFonts w:hint="eastAsia" w:ascii="宋体" w:hAnsi="宋体"/>
          <w:color w:val="000000"/>
          <w:spacing w:val="8"/>
          <w:sz w:val="28"/>
          <w:szCs w:val="28"/>
        </w:rPr>
        <w:t>单位名称：云南罗平锌电股份有限公司富乐铅锌矿</w:t>
      </w:r>
    </w:p>
    <w:p>
      <w:pPr>
        <w:spacing w:line="360" w:lineRule="auto"/>
        <w:ind w:firstLine="592" w:firstLineChars="200"/>
        <w:rPr>
          <w:rFonts w:ascii="宋体" w:hAnsi="宋体"/>
          <w:color w:val="000000"/>
          <w:spacing w:val="8"/>
          <w:sz w:val="28"/>
          <w:szCs w:val="28"/>
        </w:rPr>
      </w:pPr>
      <w:r>
        <w:rPr>
          <w:rFonts w:hint="eastAsia" w:ascii="宋体" w:hAnsi="宋体"/>
          <w:color w:val="000000"/>
          <w:spacing w:val="8"/>
          <w:sz w:val="28"/>
          <w:szCs w:val="28"/>
        </w:rPr>
        <w:t>单位地址：云南省曲靖市罗平县罗雄镇万达路136号</w:t>
      </w:r>
    </w:p>
    <w:p>
      <w:pPr>
        <w:spacing w:line="360" w:lineRule="auto"/>
        <w:ind w:firstLine="592" w:firstLineChars="200"/>
        <w:rPr>
          <w:rFonts w:ascii="宋体" w:hAnsi="宋体"/>
          <w:color w:val="000000"/>
          <w:spacing w:val="8"/>
          <w:sz w:val="28"/>
          <w:szCs w:val="28"/>
        </w:rPr>
      </w:pPr>
      <w:r>
        <w:rPr>
          <w:rFonts w:hint="eastAsia" w:ascii="宋体" w:hAnsi="宋体"/>
          <w:color w:val="000000"/>
          <w:spacing w:val="8"/>
          <w:sz w:val="28"/>
          <w:szCs w:val="28"/>
        </w:rPr>
        <w:t>所属行业：铅锌采矿、选矿</w:t>
      </w:r>
    </w:p>
    <w:p>
      <w:pPr>
        <w:spacing w:line="360" w:lineRule="auto"/>
        <w:ind w:firstLine="592" w:firstLineChars="200"/>
        <w:rPr>
          <w:rFonts w:hint="eastAsia" w:ascii="宋体" w:hAnsi="宋体"/>
          <w:color w:val="000000"/>
          <w:spacing w:val="8"/>
          <w:sz w:val="28"/>
          <w:szCs w:val="28"/>
        </w:rPr>
      </w:pPr>
      <w:r>
        <w:rPr>
          <w:rFonts w:hint="eastAsia" w:ascii="宋体" w:hAnsi="宋体"/>
          <w:color w:val="000000"/>
          <w:spacing w:val="8"/>
          <w:sz w:val="28"/>
          <w:szCs w:val="28"/>
        </w:rPr>
        <w:t>法人代表：李尤立</w:t>
      </w:r>
    </w:p>
    <w:p>
      <w:pPr>
        <w:spacing w:line="360" w:lineRule="auto"/>
        <w:ind w:firstLine="592" w:firstLineChars="200"/>
        <w:rPr>
          <w:rFonts w:ascii="宋体" w:hAnsi="宋体"/>
          <w:color w:val="000000"/>
          <w:spacing w:val="8"/>
          <w:sz w:val="28"/>
          <w:szCs w:val="28"/>
        </w:rPr>
      </w:pPr>
      <w:r>
        <w:rPr>
          <w:rFonts w:hint="eastAsia" w:ascii="宋体" w:hAnsi="宋体"/>
          <w:color w:val="000000"/>
          <w:spacing w:val="8"/>
          <w:sz w:val="28"/>
          <w:szCs w:val="28"/>
        </w:rPr>
        <w:t>统一社会信用代码：915300007098268547</w:t>
      </w:r>
    </w:p>
    <w:p>
      <w:pPr>
        <w:spacing w:line="360" w:lineRule="auto"/>
        <w:ind w:firstLine="592" w:firstLineChars="200"/>
        <w:rPr>
          <w:rFonts w:hint="eastAsia" w:ascii="宋体" w:hAnsi="宋体"/>
          <w:color w:val="000000"/>
          <w:spacing w:val="8"/>
          <w:sz w:val="28"/>
          <w:szCs w:val="28"/>
          <w:highlight w:val="yellow"/>
        </w:rPr>
      </w:pPr>
      <w:r>
        <w:rPr>
          <w:rFonts w:hint="eastAsia" w:ascii="宋体" w:hAnsi="宋体"/>
          <w:color w:val="000000"/>
          <w:spacing w:val="8"/>
          <w:sz w:val="28"/>
          <w:szCs w:val="28"/>
          <w:highlight w:val="yellow"/>
        </w:rPr>
        <w:t>报告编制：</w:t>
      </w:r>
      <w:r>
        <w:rPr>
          <w:rFonts w:hint="eastAsia" w:ascii="宋体" w:hAnsi="宋体"/>
          <w:color w:val="000000"/>
          <w:spacing w:val="8"/>
          <w:sz w:val="28"/>
          <w:szCs w:val="28"/>
        </w:rPr>
        <w:t>钱照霖  刘云波 余小虎</w:t>
      </w:r>
      <w:r>
        <w:rPr>
          <w:rFonts w:hint="eastAsia" w:ascii="宋体" w:hAnsi="宋体"/>
          <w:color w:val="000000"/>
          <w:spacing w:val="8"/>
          <w:sz w:val="28"/>
          <w:szCs w:val="28"/>
          <w:lang w:val="en-US" w:eastAsia="zh-CN"/>
        </w:rPr>
        <w:t xml:space="preserve">  赵维泽</w:t>
      </w:r>
    </w:p>
    <w:p>
      <w:pPr>
        <w:spacing w:line="360" w:lineRule="auto"/>
        <w:ind w:firstLine="592" w:firstLineChars="200"/>
        <w:rPr>
          <w:rFonts w:hint="eastAsia" w:ascii="宋体" w:hAnsi="宋体"/>
          <w:color w:val="000000"/>
          <w:spacing w:val="8"/>
          <w:sz w:val="28"/>
          <w:szCs w:val="28"/>
          <w:highlight w:val="yellow"/>
        </w:rPr>
      </w:pPr>
      <w:r>
        <w:rPr>
          <w:rFonts w:hint="eastAsia" w:ascii="宋体" w:hAnsi="宋体"/>
          <w:color w:val="000000"/>
          <w:spacing w:val="8"/>
          <w:sz w:val="28"/>
          <w:szCs w:val="28"/>
          <w:highlight w:val="yellow"/>
        </w:rPr>
        <w:t>报告审定：</w:t>
      </w:r>
      <w:r>
        <w:rPr>
          <w:rFonts w:hint="eastAsia" w:ascii="宋体" w:hAnsi="宋体"/>
          <w:color w:val="000000"/>
          <w:spacing w:val="8"/>
          <w:sz w:val="28"/>
          <w:szCs w:val="28"/>
        </w:rPr>
        <w:t>周伟</w:t>
      </w:r>
    </w:p>
    <w:p>
      <w:pPr>
        <w:spacing w:line="360" w:lineRule="auto"/>
        <w:ind w:firstLine="592" w:firstLineChars="200"/>
        <w:rPr>
          <w:rFonts w:hint="eastAsia" w:ascii="宋体" w:hAnsi="宋体"/>
          <w:color w:val="000000"/>
          <w:spacing w:val="8"/>
          <w:sz w:val="28"/>
          <w:szCs w:val="28"/>
        </w:rPr>
      </w:pPr>
      <w:r>
        <w:rPr>
          <w:rFonts w:hint="eastAsia" w:ascii="宋体" w:hAnsi="宋体"/>
          <w:color w:val="000000"/>
          <w:spacing w:val="8"/>
          <w:sz w:val="28"/>
          <w:szCs w:val="28"/>
          <w:highlight w:val="yellow"/>
        </w:rPr>
        <w:t>电话号码：</w:t>
      </w:r>
      <w:r>
        <w:rPr>
          <w:rFonts w:hint="eastAsia" w:ascii="宋体" w:hAnsi="宋体"/>
          <w:color w:val="000000"/>
          <w:spacing w:val="8"/>
          <w:sz w:val="28"/>
          <w:szCs w:val="28"/>
        </w:rPr>
        <w:t>0874-8256548</w:t>
      </w:r>
    </w:p>
    <w:p>
      <w:pPr>
        <w:spacing w:line="360" w:lineRule="auto"/>
        <w:ind w:firstLine="592" w:firstLineChars="200"/>
        <w:rPr>
          <w:rFonts w:hint="eastAsia" w:ascii="宋体" w:hAnsi="宋体"/>
          <w:color w:val="000000"/>
          <w:spacing w:val="8"/>
          <w:sz w:val="28"/>
          <w:szCs w:val="28"/>
        </w:rPr>
      </w:pPr>
    </w:p>
    <w:p>
      <w:pPr>
        <w:spacing w:line="360" w:lineRule="auto"/>
        <w:ind w:firstLine="592" w:firstLineChars="200"/>
        <w:rPr>
          <w:rFonts w:hint="eastAsia" w:ascii="宋体" w:hAnsi="宋体" w:cs="宋体"/>
          <w:color w:val="000000"/>
          <w:spacing w:val="8"/>
          <w:sz w:val="28"/>
          <w:szCs w:val="28"/>
        </w:rPr>
      </w:pPr>
    </w:p>
    <w:p>
      <w:pPr>
        <w:spacing w:line="360" w:lineRule="auto"/>
        <w:ind w:firstLine="592" w:firstLineChars="200"/>
        <w:rPr>
          <w:rFonts w:hint="eastAsia" w:ascii="宋体" w:hAnsi="宋体" w:cs="宋体"/>
          <w:color w:val="000000"/>
          <w:spacing w:val="8"/>
          <w:sz w:val="28"/>
          <w:szCs w:val="28"/>
        </w:rPr>
      </w:pP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技术咨询机构：云南宇清环保工程有限公司</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法人代表：李明儒</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审    查：赵义芳</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 xml:space="preserve">项目负责人：杨志轩  国家清洁生产审核师  第E017921号   </w:t>
      </w:r>
    </w:p>
    <w:p>
      <w:pPr>
        <w:spacing w:line="360" w:lineRule="auto"/>
        <w:ind w:firstLine="592" w:firstLineChars="200"/>
        <w:rPr>
          <w:rFonts w:hint="eastAsia" w:ascii="宋体" w:hAnsi="宋体" w:cs="宋体"/>
          <w:color w:val="000000"/>
          <w:spacing w:val="8"/>
          <w:sz w:val="28"/>
          <w:szCs w:val="28"/>
        </w:rPr>
      </w:pPr>
      <w:r>
        <w:rPr>
          <w:rFonts w:hint="eastAsia" w:ascii="宋体" w:hAnsi="宋体" w:cs="宋体"/>
          <w:color w:val="000000"/>
          <w:spacing w:val="8"/>
          <w:sz w:val="28"/>
          <w:szCs w:val="28"/>
        </w:rPr>
        <w:t>联系电话：15887867848</w:t>
      </w:r>
    </w:p>
    <w:p>
      <w:pPr>
        <w:spacing w:line="360" w:lineRule="auto"/>
        <w:ind w:firstLine="560" w:firstLineChars="200"/>
        <w:rPr>
          <w:rFonts w:hint="eastAsia" w:ascii="宋体" w:hAnsi="宋体" w:cs="宋体"/>
          <w:color w:val="000000"/>
          <w:spacing w:val="8"/>
          <w:sz w:val="28"/>
          <w:szCs w:val="28"/>
        </w:rPr>
      </w:pPr>
      <w:r>
        <w:rPr>
          <w:rFonts w:hint="eastAsia" w:ascii="宋体" w:hAnsi="宋体"/>
          <w:color w:val="000000"/>
          <w:sz w:val="28"/>
          <w:szCs w:val="28"/>
        </w:rPr>
        <mc:AlternateContent>
          <mc:Choice Requires="wps">
            <w:drawing>
              <wp:anchor distT="0" distB="0" distL="114300" distR="114300" simplePos="0" relativeHeight="251660288" behindDoc="0" locked="0" layoutInCell="1" allowOverlap="1">
                <wp:simplePos x="0" y="0"/>
                <wp:positionH relativeFrom="column">
                  <wp:posOffset>2723515</wp:posOffset>
                </wp:positionH>
                <wp:positionV relativeFrom="paragraph">
                  <wp:posOffset>1214755</wp:posOffset>
                </wp:positionV>
                <wp:extent cx="400050" cy="198120"/>
                <wp:effectExtent l="0" t="0" r="0" b="11430"/>
                <wp:wrapTight wrapText="bothSides">
                  <wp:wrapPolygon>
                    <wp:start x="-514" y="0"/>
                    <wp:lineTo x="-514" y="20571"/>
                    <wp:lineTo x="21600" y="20571"/>
                    <wp:lineTo x="21600" y="0"/>
                    <wp:lineTo x="-514" y="0"/>
                  </wp:wrapPolygon>
                </wp:wrapTight>
                <wp:docPr id="2" name="Rectangle 7"/>
                <wp:cNvGraphicFramePr/>
                <a:graphic xmlns:a="http://schemas.openxmlformats.org/drawingml/2006/main">
                  <a:graphicData uri="http://schemas.microsoft.com/office/word/2010/wordprocessingShape">
                    <wps:wsp>
                      <wps:cNvSpPr/>
                      <wps:spPr>
                        <a:xfrm>
                          <a:off x="0" y="0"/>
                          <a:ext cx="400050" cy="198120"/>
                        </a:xfrm>
                        <a:prstGeom prst="rect">
                          <a:avLst/>
                        </a:prstGeom>
                        <a:solidFill>
                          <a:srgbClr val="FFFFFF"/>
                        </a:solidFill>
                        <a:ln>
                          <a:noFill/>
                        </a:ln>
                      </wps:spPr>
                      <wps:bodyPr wrap="square" upright="1"/>
                    </wps:wsp>
                  </a:graphicData>
                </a:graphic>
              </wp:anchor>
            </w:drawing>
          </mc:Choice>
          <mc:Fallback>
            <w:pict>
              <v:rect id="Rectangle 7" o:spid="_x0000_s1026" o:spt="1" style="position:absolute;left:0pt;margin-left:214.45pt;margin-top:95.65pt;height:15.6pt;width:31.5pt;mso-wrap-distance-left:9pt;mso-wrap-distance-right:9pt;z-index:251660288;mso-width-relative:page;mso-height-relative:page;" fillcolor="#FFFFFF" filled="t" stroked="f" coordsize="21600,21600" wrapcoords="-514 0 -514 20571 21600 20571 21600 0 -514 0" o:gfxdata="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BR&#10;yLy52AAAAAsBAAAPAAAAAAAAAAEAIAAAACIAAABkcnMvZG93bnJldi54bWxQSwECFAAUAAAACACH&#10;TuJACzK4vbIBAABvAwAADgAAAAAAAAABACAAAAAnAQAAZHJzL2Uyb0RvYy54bWxQSwUGAAAAAAYA&#10;BgBZAQAASwUAAAAA&#10;">
                <v:fill on="t" focussize="0,0"/>
                <v:stroke on="f"/>
                <v:imagedata o:title=""/>
                <o:lock v:ext="edit" aspectratio="f"/>
                <w10:wrap type="tight"/>
              </v:rect>
            </w:pict>
          </mc:Fallback>
        </mc:AlternateContent>
      </w:r>
      <w:r>
        <w:rPr>
          <w:rFonts w:hint="eastAsia" w:ascii="宋体" w:hAnsi="宋体"/>
          <w:color w:val="000000"/>
          <w:sz w:val="28"/>
          <w:szCs w:val="28"/>
        </w:rPr>
        <mc:AlternateContent>
          <mc:Choice Requires="wps">
            <w:drawing>
              <wp:anchor distT="0" distB="0" distL="114300" distR="114300" simplePos="0" relativeHeight="251659264" behindDoc="0" locked="0" layoutInCell="1" allowOverlap="1">
                <wp:simplePos x="0" y="0"/>
                <wp:positionH relativeFrom="column">
                  <wp:posOffset>2533650</wp:posOffset>
                </wp:positionH>
                <wp:positionV relativeFrom="paragraph">
                  <wp:posOffset>2354580</wp:posOffset>
                </wp:positionV>
                <wp:extent cx="666750" cy="396240"/>
                <wp:effectExtent l="4445" t="4445" r="14605" b="18415"/>
                <wp:wrapTight wrapText="bothSides">
                  <wp:wrapPolygon>
                    <wp:start x="-309" y="-514"/>
                    <wp:lineTo x="-309" y="21086"/>
                    <wp:lineTo x="21909" y="21086"/>
                    <wp:lineTo x="21909" y="-514"/>
                    <wp:lineTo x="-309" y="-514"/>
                  </wp:wrapPolygon>
                </wp:wrapTight>
                <wp:docPr id="1" name="Rectangle 6"/>
                <wp:cNvGraphicFramePr/>
                <a:graphic xmlns:a="http://schemas.openxmlformats.org/drawingml/2006/main">
                  <a:graphicData uri="http://schemas.microsoft.com/office/word/2010/wordprocessingShape">
                    <wps:wsp>
                      <wps:cNvSpPr/>
                      <wps:spPr>
                        <a:xfrm>
                          <a:off x="0" y="0"/>
                          <a:ext cx="666750" cy="396240"/>
                        </a:xfrm>
                        <a:prstGeom prst="rect">
                          <a:avLst/>
                        </a:prstGeom>
                        <a:solidFill>
                          <a:srgbClr val="FFFFFF"/>
                        </a:solidFill>
                        <a:ln w="9525" cap="flat" cmpd="sng">
                          <a:solidFill>
                            <a:srgbClr val="FFFFFF"/>
                          </a:solidFill>
                          <a:prstDash val="solid"/>
                          <a:miter/>
                          <a:headEnd type="none" w="med" len="med"/>
                          <a:tailEnd type="none" w="med" len="med"/>
                        </a:ln>
                      </wps:spPr>
                      <wps:bodyPr wrap="square" upright="1"/>
                    </wps:wsp>
                  </a:graphicData>
                </a:graphic>
              </wp:anchor>
            </w:drawing>
          </mc:Choice>
          <mc:Fallback>
            <w:pict>
              <v:rect id="Rectangle 6" o:spid="_x0000_s1026" o:spt="1" style="position:absolute;left:0pt;margin-left:199.5pt;margin-top:185.4pt;height:31.2pt;width:52.5pt;mso-wrap-distance-left:9pt;mso-wrap-distance-right:9pt;z-index:251659264;mso-width-relative:page;mso-height-relative:page;" fillcolor="#FFFFFF" filled="t" stroked="t" coordsize="21600,21600" wrapcoords="-309 -514 -309 21086 21909 21086 21909 -514 -309 -514" o:gfxdata="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ZHa2QAAAAsBAAAPAAAAAAAAAAEAIAAAACIAAABkcnMvZG93bnJldi54bWxQ&#10;SwECFAAUAAAACACHTuJAwMOdofYBAAAuBAAADgAAAAAAAAABACAAAAAoAQAAZHJzL2Uyb0RvYy54&#10;bWxQSwUGAAAAAAYABgBZAQAAkAUAAAAA&#10;">
                <v:fill on="t" focussize="0,0"/>
                <v:stroke color="#FFFFFF" joinstyle="miter"/>
                <v:imagedata o:title=""/>
                <o:lock v:ext="edit" aspectratio="f"/>
                <w10:wrap type="tight"/>
              </v:rect>
            </w:pict>
          </mc:Fallback>
        </mc:AlternateContent>
      </w:r>
      <w:r>
        <w:rPr>
          <w:rFonts w:hint="eastAsia" w:ascii="宋体" w:hAnsi="宋体" w:cs="宋体"/>
          <w:color w:val="000000"/>
          <w:spacing w:val="8"/>
          <w:sz w:val="28"/>
          <w:szCs w:val="28"/>
        </w:rPr>
        <w:t>项目成员：顾利龙  国家清洁生产审核师  第E023798号</w:t>
      </w:r>
    </w:p>
    <w:p>
      <w:pPr>
        <w:spacing w:line="240" w:lineRule="exact"/>
        <w:ind w:firstLine="392" w:firstLineChars="200"/>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360" w:lineRule="auto"/>
        <w:rPr>
          <w:rFonts w:hint="eastAsia" w:ascii="宋体" w:hAnsi="宋体"/>
          <w:b/>
          <w:color w:val="000000"/>
          <w:sz w:val="28"/>
          <w:szCs w:val="28"/>
        </w:rPr>
      </w:pPr>
    </w:p>
    <w:p>
      <w:pPr>
        <w:spacing w:line="360" w:lineRule="auto"/>
        <w:rPr>
          <w:rFonts w:hint="eastAsia" w:ascii="宋体" w:hAnsi="宋体"/>
          <w:b/>
          <w:color w:val="000000"/>
          <w:sz w:val="28"/>
          <w:szCs w:val="28"/>
        </w:rPr>
      </w:pPr>
    </w:p>
    <w:p>
      <w:pPr>
        <w:jc w:val="center"/>
        <w:rPr>
          <w:rFonts w:hint="eastAsia" w:ascii="宋体" w:hAnsi="宋体"/>
          <w:b/>
          <w:color w:val="000000"/>
          <w:sz w:val="44"/>
          <w:szCs w:val="44"/>
        </w:rPr>
      </w:pPr>
      <w:r>
        <w:rPr>
          <w:rFonts w:hint="eastAsia" w:ascii="宋体" w:hAnsi="宋体"/>
          <w:b/>
          <w:color w:val="000000"/>
          <w:sz w:val="44"/>
          <w:szCs w:val="44"/>
        </w:rPr>
        <w:t>承诺书</w:t>
      </w:r>
    </w:p>
    <w:p>
      <w:pPr>
        <w:rPr>
          <w:rFonts w:hint="eastAsia" w:ascii="宋体" w:hAnsi="宋体"/>
          <w:b/>
          <w:color w:val="000000"/>
          <w:sz w:val="28"/>
          <w:szCs w:val="28"/>
        </w:rPr>
      </w:pPr>
    </w:p>
    <w:p>
      <w:pPr>
        <w:spacing w:line="360" w:lineRule="auto"/>
        <w:rPr>
          <w:rFonts w:hint="eastAsia"/>
          <w:color w:val="000000"/>
          <w:sz w:val="28"/>
          <w:szCs w:val="28"/>
        </w:rPr>
      </w:pPr>
    </w:p>
    <w:p>
      <w:pPr>
        <w:snapToGrid w:val="0"/>
        <w:spacing w:line="360" w:lineRule="auto"/>
        <w:ind w:firstLine="560" w:firstLineChars="200"/>
        <w:rPr>
          <w:rFonts w:hint="eastAsia"/>
          <w:color w:val="000000"/>
          <w:sz w:val="28"/>
          <w:szCs w:val="28"/>
        </w:rPr>
      </w:pPr>
      <w:bookmarkStart w:id="0" w:name="_Toc23000843"/>
      <w:bookmarkStart w:id="1" w:name="_Toc23000631"/>
      <w:bookmarkStart w:id="2" w:name="_Toc22938115"/>
      <w:r>
        <w:rPr>
          <w:rFonts w:hint="eastAsia"/>
          <w:color w:val="000000"/>
          <w:sz w:val="28"/>
          <w:szCs w:val="28"/>
        </w:rPr>
        <w:t>一、材料真实性承诺</w:t>
      </w:r>
      <w:bookmarkEnd w:id="0"/>
      <w:bookmarkEnd w:id="1"/>
      <w:bookmarkEnd w:id="2"/>
    </w:p>
    <w:p>
      <w:pPr>
        <w:snapToGrid w:val="0"/>
        <w:spacing w:line="360" w:lineRule="auto"/>
        <w:ind w:firstLine="560" w:firstLineChars="200"/>
        <w:rPr>
          <w:rFonts w:hint="eastAsia"/>
          <w:color w:val="000000"/>
          <w:sz w:val="28"/>
          <w:szCs w:val="28"/>
        </w:rPr>
      </w:pPr>
      <w:r>
        <w:rPr>
          <w:rFonts w:hint="eastAsia"/>
          <w:color w:val="000000"/>
          <w:sz w:val="28"/>
          <w:szCs w:val="28"/>
        </w:rPr>
        <w:t>本公司所提交的《云南罗平锌电股份有限公司富乐铅锌矿清洁生产审核报告》的数据、技术资料真实、一致、完整，承诺不存在虚假记载、误导性陈述或重大遗漏，并承担相应的法律责任。</w:t>
      </w:r>
    </w:p>
    <w:p>
      <w:pPr>
        <w:snapToGrid w:val="0"/>
        <w:spacing w:line="360" w:lineRule="auto"/>
        <w:ind w:firstLine="560" w:firstLineChars="200"/>
        <w:rPr>
          <w:rFonts w:hint="eastAsia"/>
          <w:color w:val="000000"/>
          <w:sz w:val="28"/>
          <w:szCs w:val="28"/>
        </w:rPr>
      </w:pPr>
      <w:bookmarkStart w:id="3" w:name="_Toc23000844"/>
      <w:bookmarkStart w:id="4" w:name="_Toc23000632"/>
      <w:bookmarkStart w:id="5" w:name="_Toc22938116"/>
      <w:r>
        <w:rPr>
          <w:rFonts w:hint="eastAsia"/>
          <w:color w:val="000000"/>
          <w:sz w:val="28"/>
          <w:szCs w:val="28"/>
        </w:rPr>
        <w:t>二、遵守法律承诺</w:t>
      </w:r>
      <w:bookmarkEnd w:id="3"/>
      <w:bookmarkEnd w:id="4"/>
      <w:bookmarkEnd w:id="5"/>
    </w:p>
    <w:p>
      <w:pPr>
        <w:snapToGrid w:val="0"/>
        <w:spacing w:line="360" w:lineRule="auto"/>
        <w:ind w:firstLine="560" w:firstLineChars="200"/>
        <w:rPr>
          <w:rFonts w:hint="eastAsia"/>
          <w:color w:val="000000"/>
          <w:sz w:val="28"/>
          <w:szCs w:val="28"/>
        </w:rPr>
      </w:pPr>
      <w:r>
        <w:rPr>
          <w:rFonts w:hint="eastAsia"/>
          <w:color w:val="000000"/>
          <w:sz w:val="28"/>
          <w:szCs w:val="28"/>
        </w:rPr>
        <w:t>本公司愿意遵守国家相关的法律法规的规定，严格遵守国家相关环保、节能、安全生产、劳动保护等相关管理规定，如有违法行为自愿承担一切后果及法律责任。</w:t>
      </w:r>
    </w:p>
    <w:p>
      <w:pPr>
        <w:spacing w:line="360" w:lineRule="auto"/>
        <w:ind w:firstLine="560" w:firstLineChars="200"/>
        <w:rPr>
          <w:rFonts w:hint="eastAsia"/>
          <w:color w:val="000000"/>
          <w:sz w:val="28"/>
          <w:szCs w:val="28"/>
        </w:rPr>
      </w:pPr>
    </w:p>
    <w:p>
      <w:pPr>
        <w:spacing w:line="360" w:lineRule="auto"/>
        <w:ind w:firstLine="560" w:firstLineChars="200"/>
        <w:rPr>
          <w:rFonts w:hint="eastAsia"/>
          <w:color w:val="000000"/>
          <w:sz w:val="28"/>
          <w:szCs w:val="28"/>
        </w:rPr>
      </w:pPr>
    </w:p>
    <w:p>
      <w:pPr>
        <w:spacing w:line="360" w:lineRule="auto"/>
        <w:ind w:firstLine="592" w:firstLineChars="200"/>
        <w:jc w:val="center"/>
        <w:rPr>
          <w:rFonts w:hint="eastAsia"/>
          <w:color w:val="000000"/>
          <w:sz w:val="28"/>
          <w:szCs w:val="28"/>
        </w:rPr>
      </w:pPr>
      <w:r>
        <w:rPr>
          <w:rFonts w:hint="eastAsia" w:ascii="宋体" w:hAnsi="宋体"/>
          <w:color w:val="000000"/>
          <w:spacing w:val="8"/>
          <w:sz w:val="28"/>
          <w:szCs w:val="28"/>
        </w:rPr>
        <w:t>云南罗平锌电股份有限公司富乐铅锌矿</w:t>
      </w:r>
      <w:r>
        <w:rPr>
          <w:rFonts w:hint="eastAsia"/>
          <w:color w:val="000000"/>
          <w:sz w:val="28"/>
          <w:szCs w:val="28"/>
        </w:rPr>
        <w:t>（盖章）</w:t>
      </w:r>
    </w:p>
    <w:p>
      <w:pPr>
        <w:spacing w:line="360" w:lineRule="auto"/>
        <w:ind w:firstLine="560" w:firstLineChars="200"/>
        <w:jc w:val="center"/>
        <w:rPr>
          <w:rFonts w:hint="eastAsia" w:ascii="宋体" w:hAnsi="宋体"/>
          <w:color w:val="000000"/>
          <w:sz w:val="28"/>
          <w:szCs w:val="28"/>
        </w:rPr>
      </w:pPr>
      <w:r>
        <w:rPr>
          <w:rFonts w:hint="eastAsia" w:ascii="宋体" w:hAnsi="宋体"/>
          <w:color w:val="000000"/>
          <w:sz w:val="28"/>
          <w:szCs w:val="28"/>
        </w:rPr>
        <w:t>2019年10月25日</w:t>
      </w:r>
    </w:p>
    <w:p>
      <w:pPr>
        <w:spacing w:line="360" w:lineRule="auto"/>
        <w:ind w:firstLine="560" w:firstLineChars="200"/>
        <w:rPr>
          <w:rFonts w:hint="eastAsia"/>
          <w:color w:val="000000"/>
          <w:sz w:val="28"/>
          <w:szCs w:val="28"/>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rPr>
          <w:rFonts w:hint="eastAsia"/>
          <w:color w:val="000000"/>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spacing w:line="240" w:lineRule="exact"/>
        <w:rPr>
          <w:rFonts w:hint="eastAsia" w:ascii="宋体" w:hAnsi="宋体" w:cs="宋体"/>
          <w:color w:val="000000"/>
          <w:spacing w:val="8"/>
          <w:sz w:val="18"/>
          <w:szCs w:val="18"/>
        </w:rPr>
      </w:pPr>
    </w:p>
    <w:p>
      <w:pPr>
        <w:autoSpaceDN w:val="0"/>
        <w:snapToGrid w:val="0"/>
        <w:spacing w:before="124" w:after="124" w:line="360" w:lineRule="auto"/>
        <w:ind w:firstLine="1650"/>
        <w:rPr>
          <w:rFonts w:hAnsi="宋体"/>
          <w:color w:val="000000"/>
        </w:rPr>
      </w:pPr>
      <w:r>
        <w:rPr>
          <w:rFonts w:hint="eastAsia" w:ascii="宋体" w:hAnsi="宋体"/>
          <w:b/>
          <w:color w:val="000000"/>
          <w:sz w:val="32"/>
        </w:rPr>
        <w:t>强制性清洁生产审核企业评估申请表</w:t>
      </w:r>
    </w:p>
    <w:p>
      <w:pPr>
        <w:autoSpaceDN w:val="0"/>
        <w:snapToGrid w:val="0"/>
        <w:spacing w:before="124" w:after="124" w:line="300" w:lineRule="exact"/>
        <w:rPr>
          <w:rFonts w:ascii="宋体" w:hAnsi="宋体" w:cs="宋体"/>
          <w:color w:val="000000"/>
          <w:sz w:val="24"/>
          <w:szCs w:val="24"/>
          <w:u w:val="single"/>
        </w:rPr>
      </w:pPr>
      <w:r>
        <w:rPr>
          <w:rFonts w:hint="eastAsia" w:ascii="宋体" w:hAnsi="宋体" w:cs="宋体"/>
          <w:color w:val="000000"/>
          <w:sz w:val="24"/>
          <w:szCs w:val="24"/>
        </w:rPr>
        <w:t>企业名称（盖公章）：云南罗平锌电股份有限公司富乐铅锌矿    强审批次：15</w:t>
      </w:r>
    </w:p>
    <w:tbl>
      <w:tblPr>
        <w:tblStyle w:val="35"/>
        <w:tblW w:w="0" w:type="auto"/>
        <w:tblInd w:w="108" w:type="dxa"/>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Layout w:type="fixed"/>
        <w:tblCellMar>
          <w:top w:w="0" w:type="dxa"/>
          <w:left w:w="108" w:type="dxa"/>
          <w:bottom w:w="0" w:type="dxa"/>
          <w:right w:w="108" w:type="dxa"/>
        </w:tblCellMar>
      </w:tblPr>
      <w:tblGrid>
        <w:gridCol w:w="1854"/>
        <w:gridCol w:w="1317"/>
        <w:gridCol w:w="241"/>
        <w:gridCol w:w="169"/>
        <w:gridCol w:w="1033"/>
        <w:gridCol w:w="126"/>
        <w:gridCol w:w="249"/>
        <w:gridCol w:w="623"/>
        <w:gridCol w:w="607"/>
        <w:gridCol w:w="1112"/>
        <w:gridCol w:w="463"/>
        <w:gridCol w:w="1574"/>
      </w:tblGrid>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1" w:hRule="atLeast"/>
        </w:trPr>
        <w:tc>
          <w:tcPr>
            <w:tcW w:w="1854" w:type="dxa"/>
            <w:tcBorders>
              <w:top w:val="single" w:color="000000" w:sz="12" w:space="0"/>
              <w:left w:val="single" w:color="000000" w:sz="12" w:space="0"/>
              <w:bottom w:val="single" w:color="000000" w:sz="6" w:space="0"/>
              <w:right w:val="single" w:color="000000" w:sz="6" w:space="0"/>
            </w:tcBorders>
            <w:noWrap w:val="0"/>
            <w:vAlign w:val="top"/>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企业地址</w:t>
            </w:r>
          </w:p>
        </w:tc>
        <w:tc>
          <w:tcPr>
            <w:tcW w:w="7514" w:type="dxa"/>
            <w:gridSpan w:val="11"/>
            <w:tcBorders>
              <w:top w:val="single" w:color="000000" w:sz="12" w:space="0"/>
              <w:left w:val="single" w:color="000000" w:sz="6" w:space="0"/>
              <w:bottom w:val="single" w:color="000000" w:sz="6" w:space="0"/>
              <w:right w:val="single" w:color="000000" w:sz="12" w:space="0"/>
            </w:tcBorders>
            <w:noWrap w:val="0"/>
            <w:vAlign w:val="top"/>
          </w:tcPr>
          <w:p>
            <w:pPr>
              <w:autoSpaceDN w:val="0"/>
              <w:snapToGrid w:val="0"/>
              <w:spacing w:line="400" w:lineRule="exact"/>
              <w:rPr>
                <w:rFonts w:ascii="宋体" w:hAnsi="宋体" w:cs="宋体"/>
                <w:color w:val="000000"/>
                <w:szCs w:val="21"/>
              </w:rPr>
            </w:pPr>
            <w:r>
              <w:rPr>
                <w:rFonts w:hint="eastAsia" w:ascii="宋体" w:hAnsi="宋体"/>
                <w:color w:val="000000"/>
                <w:szCs w:val="21"/>
              </w:rPr>
              <w:t>云南省曲靖市罗平县罗雄镇九龙大道</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6"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ind w:firstLine="210"/>
              <w:jc w:val="center"/>
              <w:rPr>
                <w:rFonts w:ascii="宋体" w:hAnsi="宋体" w:cs="宋体"/>
                <w:color w:val="000000"/>
                <w:szCs w:val="21"/>
              </w:rPr>
            </w:pPr>
            <w:r>
              <w:rPr>
                <w:rFonts w:hint="eastAsia" w:ascii="宋体" w:hAnsi="宋体" w:cs="宋体"/>
                <w:color w:val="000000"/>
                <w:szCs w:val="21"/>
              </w:rPr>
              <w:t>企业类别</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napToGrid w:val="0"/>
              <w:spacing w:line="400" w:lineRule="exact"/>
              <w:rPr>
                <w:rFonts w:ascii="宋体" w:hAnsi="宋体" w:cs="宋体"/>
                <w:color w:val="000000"/>
                <w:szCs w:val="21"/>
              </w:rPr>
            </w:pPr>
            <w:r>
              <w:rPr>
                <w:rFonts w:hint="eastAsia" w:ascii="宋体" w:hAnsi="宋体" w:cs="宋体"/>
                <w:color w:val="000000"/>
                <w:szCs w:val="21"/>
              </w:rPr>
              <w:t xml:space="preserve">双超企业 □   双有企业 □   涉重企业 □      其他企业 </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23"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法定代表人</w:t>
            </w:r>
          </w:p>
        </w:tc>
        <w:tc>
          <w:tcPr>
            <w:tcW w:w="1317"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李尤立</w:t>
            </w:r>
          </w:p>
        </w:tc>
        <w:tc>
          <w:tcPr>
            <w:tcW w:w="1569" w:type="dxa"/>
            <w:gridSpan w:val="4"/>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清洁生产审核负责人</w:t>
            </w:r>
          </w:p>
        </w:tc>
        <w:tc>
          <w:tcPr>
            <w:tcW w:w="1479" w:type="dxa"/>
            <w:gridSpan w:val="3"/>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周伟</w:t>
            </w:r>
          </w:p>
        </w:tc>
        <w:tc>
          <w:tcPr>
            <w:tcW w:w="1112"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联系电话</w:t>
            </w:r>
          </w:p>
        </w:tc>
        <w:tc>
          <w:tcPr>
            <w:tcW w:w="2037" w:type="dxa"/>
            <w:gridSpan w:val="2"/>
            <w:tcBorders>
              <w:top w:val="single" w:color="000000" w:sz="6" w:space="0"/>
              <w:left w:val="single" w:color="000000" w:sz="6" w:space="0"/>
              <w:bottom w:val="single" w:color="000000" w:sz="6" w:space="0"/>
              <w:right w:val="single" w:color="000000" w:sz="12"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13608742347</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6"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企业性质</w:t>
            </w:r>
          </w:p>
        </w:tc>
        <w:tc>
          <w:tcPr>
            <w:tcW w:w="1317"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股份公司</w:t>
            </w:r>
          </w:p>
        </w:tc>
        <w:tc>
          <w:tcPr>
            <w:tcW w:w="1569" w:type="dxa"/>
            <w:gridSpan w:val="4"/>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所属行业</w:t>
            </w:r>
          </w:p>
        </w:tc>
        <w:tc>
          <w:tcPr>
            <w:tcW w:w="1479" w:type="dxa"/>
            <w:gridSpan w:val="3"/>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铅锌选矿</w:t>
            </w:r>
          </w:p>
        </w:tc>
        <w:tc>
          <w:tcPr>
            <w:tcW w:w="1112" w:type="dxa"/>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企业代码</w:t>
            </w:r>
          </w:p>
        </w:tc>
        <w:tc>
          <w:tcPr>
            <w:tcW w:w="2037" w:type="dxa"/>
            <w:gridSpan w:val="2"/>
            <w:tcBorders>
              <w:top w:val="single" w:color="000000" w:sz="6" w:space="0"/>
              <w:left w:val="single" w:color="000000" w:sz="6" w:space="0"/>
              <w:bottom w:val="single" w:color="000000" w:sz="6" w:space="0"/>
              <w:right w:val="single" w:color="000000" w:sz="12" w:space="0"/>
            </w:tcBorders>
            <w:noWrap w:val="0"/>
            <w:vAlign w:val="center"/>
          </w:tcPr>
          <w:p>
            <w:pPr>
              <w:autoSpaceDN w:val="0"/>
              <w:snapToGrid w:val="0"/>
              <w:spacing w:line="400" w:lineRule="exact"/>
              <w:jc w:val="center"/>
              <w:rPr>
                <w:rFonts w:ascii="宋体" w:hAnsi="宋体" w:cs="宋体"/>
                <w:color w:val="000000"/>
                <w:sz w:val="18"/>
                <w:szCs w:val="18"/>
              </w:rPr>
            </w:pPr>
            <w:r>
              <w:rPr>
                <w:color w:val="000000"/>
                <w:sz w:val="18"/>
                <w:szCs w:val="18"/>
              </w:rPr>
              <w:t>915300007089268547</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06" w:hRule="atLeast"/>
        </w:trPr>
        <w:tc>
          <w:tcPr>
            <w:tcW w:w="1854" w:type="dxa"/>
            <w:tcBorders>
              <w:top w:val="single" w:color="000000" w:sz="6" w:space="0"/>
              <w:left w:val="single" w:color="000000" w:sz="12" w:space="0"/>
              <w:bottom w:val="single" w:color="000000" w:sz="6" w:space="0"/>
              <w:right w:val="single" w:color="000000" w:sz="6" w:space="0"/>
            </w:tcBorders>
            <w:noWrap w:val="0"/>
            <w:vAlign w:val="top"/>
          </w:tcPr>
          <w:p>
            <w:pPr>
              <w:autoSpaceDN w:val="0"/>
              <w:snapToGrid w:val="0"/>
              <w:spacing w:line="400" w:lineRule="exact"/>
              <w:rPr>
                <w:rFonts w:ascii="宋体" w:hAnsi="宋体" w:cs="宋体"/>
                <w:color w:val="000000"/>
                <w:szCs w:val="21"/>
              </w:rPr>
            </w:pPr>
            <w:r>
              <w:rPr>
                <w:rFonts w:hint="eastAsia" w:ascii="宋体" w:hAnsi="宋体" w:cs="宋体"/>
                <w:color w:val="000000"/>
                <w:szCs w:val="21"/>
              </w:rPr>
              <w:t>主要产品及规模</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pacing w:line="400" w:lineRule="exact"/>
              <w:rPr>
                <w:rFonts w:ascii="宋体" w:hAnsi="宋体" w:cs="宋体"/>
                <w:color w:val="000000"/>
                <w:szCs w:val="21"/>
              </w:rPr>
            </w:pPr>
            <w:r>
              <w:rPr>
                <w:rFonts w:hint="eastAsia"/>
                <w:color w:val="000000"/>
                <w:spacing w:val="8"/>
                <w:szCs w:val="21"/>
              </w:rPr>
              <w:t>洗选原矿120000t/a</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91" w:hRule="atLeast"/>
        </w:trPr>
        <w:tc>
          <w:tcPr>
            <w:tcW w:w="1854" w:type="dxa"/>
            <w:tcBorders>
              <w:top w:val="single" w:color="000000" w:sz="6" w:space="0"/>
              <w:left w:val="single" w:color="000000" w:sz="12" w:space="0"/>
              <w:bottom w:val="single" w:color="000000" w:sz="6" w:space="0"/>
              <w:right w:val="single" w:color="000000" w:sz="6" w:space="0"/>
            </w:tcBorders>
            <w:noWrap w:val="0"/>
            <w:vAlign w:val="top"/>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主要污染物</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napToGrid w:val="0"/>
              <w:spacing w:line="400" w:lineRule="exact"/>
              <w:ind w:firstLine="210"/>
              <w:rPr>
                <w:rFonts w:hint="eastAsia" w:ascii="宋体" w:hAnsi="宋体" w:cs="宋体"/>
                <w:color w:val="000000"/>
                <w:szCs w:val="21"/>
              </w:rPr>
            </w:pPr>
            <w:r>
              <w:rPr>
                <w:rFonts w:hint="eastAsia" w:ascii="宋体" w:hAnsi="宋体" w:cs="宋体"/>
                <w:color w:val="000000"/>
                <w:szCs w:val="21"/>
              </w:rPr>
              <w:t xml:space="preserve">                颗粒物、废水、</w:t>
            </w:r>
            <w:r>
              <w:rPr>
                <w:rFonts w:hint="eastAsia" w:ascii="Verdana" w:hAnsi="Verdana"/>
                <w:color w:val="000000"/>
                <w:szCs w:val="21"/>
              </w:rPr>
              <w:t>固废</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12" w:hRule="atLeast"/>
        </w:trPr>
        <w:tc>
          <w:tcPr>
            <w:tcW w:w="1854" w:type="dxa"/>
            <w:tcBorders>
              <w:top w:val="single" w:color="000000" w:sz="6" w:space="0"/>
              <w:left w:val="single" w:color="000000" w:sz="12" w:space="0"/>
              <w:bottom w:val="single" w:color="000000" w:sz="6" w:space="0"/>
              <w:right w:val="single" w:color="000000" w:sz="6" w:space="0"/>
            </w:tcBorders>
            <w:noWrap w:val="0"/>
            <w:vAlign w:val="top"/>
          </w:tcPr>
          <w:p>
            <w:pPr>
              <w:autoSpaceDN w:val="0"/>
              <w:snapToGrid w:val="0"/>
              <w:spacing w:line="400" w:lineRule="exact"/>
              <w:rPr>
                <w:rFonts w:ascii="宋体" w:hAnsi="宋体" w:cs="宋体"/>
                <w:color w:val="000000"/>
                <w:szCs w:val="21"/>
              </w:rPr>
            </w:pPr>
            <w:r>
              <w:rPr>
                <w:rFonts w:hint="eastAsia" w:ascii="宋体" w:hAnsi="宋体" w:cs="宋体"/>
                <w:color w:val="000000"/>
                <w:szCs w:val="21"/>
              </w:rPr>
              <w:t>排污许可证总量</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spacing w:line="400" w:lineRule="exact"/>
              <w:rPr>
                <w:rFonts w:ascii="宋体" w:hAnsi="宋体"/>
                <w:color w:val="000000"/>
                <w:sz w:val="24"/>
                <w:szCs w:val="24"/>
              </w:rPr>
            </w:pPr>
            <w:r>
              <w:rPr>
                <w:rFonts w:hint="eastAsia" w:ascii="宋体" w:hAnsi="宋体"/>
                <w:color w:val="000000"/>
                <w:szCs w:val="21"/>
              </w:rPr>
              <w:t>颗粒物37.553t/a，SO</w:t>
            </w:r>
            <w:r>
              <w:rPr>
                <w:rFonts w:hint="eastAsia" w:ascii="宋体" w:hAnsi="宋体"/>
                <w:color w:val="000000"/>
                <w:szCs w:val="21"/>
                <w:vertAlign w:val="subscript"/>
              </w:rPr>
              <w:t>2</w:t>
            </w:r>
            <w:r>
              <w:rPr>
                <w:rFonts w:hint="eastAsia" w:ascii="宋体" w:hAnsi="宋体"/>
                <w:color w:val="000000"/>
                <w:szCs w:val="21"/>
              </w:rPr>
              <w:t>182.017t/a，NO</w:t>
            </w:r>
            <w:r>
              <w:rPr>
                <w:rFonts w:hint="eastAsia" w:ascii="宋体" w:hAnsi="宋体"/>
                <w:color w:val="000000"/>
                <w:szCs w:val="21"/>
                <w:vertAlign w:val="subscript"/>
              </w:rPr>
              <w:t>x</w:t>
            </w:r>
            <w:r>
              <w:rPr>
                <w:rFonts w:hint="eastAsia" w:ascii="宋体" w:hAnsi="宋体"/>
                <w:color w:val="000000"/>
                <w:szCs w:val="21"/>
              </w:rPr>
              <w:t>77.634t/a,铅及其化合物1.5718t/a，汞及其化合物0.01488t/a.</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436" w:hRule="atLeast"/>
        </w:trPr>
        <w:tc>
          <w:tcPr>
            <w:tcW w:w="1854" w:type="dxa"/>
            <w:vMerge w:val="restart"/>
            <w:tcBorders>
              <w:top w:val="single" w:color="000000" w:sz="6" w:space="0"/>
              <w:left w:val="single" w:color="000000" w:sz="12" w:space="0"/>
              <w:bottom w:val="single" w:color="000000" w:sz="6" w:space="0"/>
              <w:right w:val="single" w:color="000000" w:sz="4"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方案实施情况</w:t>
            </w:r>
          </w:p>
        </w:tc>
        <w:tc>
          <w:tcPr>
            <w:tcW w:w="3758" w:type="dxa"/>
            <w:gridSpan w:val="7"/>
            <w:tcBorders>
              <w:top w:val="single" w:color="000000" w:sz="6" w:space="0"/>
              <w:left w:val="single" w:color="000000" w:sz="4" w:space="0"/>
              <w:bottom w:val="single" w:color="000000" w:sz="4" w:space="0"/>
              <w:right w:val="single" w:color="000000" w:sz="4" w:space="0"/>
            </w:tcBorders>
            <w:noWrap w:val="0"/>
            <w:vAlign w:val="top"/>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无/低费方案项目数（个）</w:t>
            </w:r>
          </w:p>
        </w:tc>
        <w:tc>
          <w:tcPr>
            <w:tcW w:w="3756" w:type="dxa"/>
            <w:gridSpan w:val="4"/>
            <w:tcBorders>
              <w:top w:val="single" w:color="000000" w:sz="6" w:space="0"/>
              <w:left w:val="single" w:color="000000" w:sz="4" w:space="0"/>
              <w:bottom w:val="single" w:color="000000" w:sz="6" w:space="0"/>
              <w:right w:val="single" w:color="000000" w:sz="12" w:space="0"/>
            </w:tcBorders>
            <w:noWrap w:val="0"/>
            <w:vAlign w:val="top"/>
          </w:tcPr>
          <w:p>
            <w:pPr>
              <w:jc w:val="center"/>
              <w:rPr>
                <w:rFonts w:hint="eastAsia" w:ascii="宋体" w:hAnsi="宋体"/>
                <w:color w:val="000000"/>
                <w:szCs w:val="21"/>
              </w:rPr>
            </w:pPr>
            <w:r>
              <w:rPr>
                <w:rFonts w:hint="eastAsia" w:ascii="宋体" w:hAnsi="宋体"/>
                <w:color w:val="000000"/>
                <w:szCs w:val="21"/>
              </w:rPr>
              <w:t>27</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301" w:hRule="atLeast"/>
        </w:trPr>
        <w:tc>
          <w:tcPr>
            <w:tcW w:w="0" w:type="auto"/>
            <w:vMerge w:val="continue"/>
            <w:tcBorders>
              <w:top w:val="single" w:color="000000" w:sz="6" w:space="0"/>
              <w:left w:val="single" w:color="000000" w:sz="12" w:space="0"/>
              <w:bottom w:val="single" w:color="000000" w:sz="6" w:space="0"/>
              <w:right w:val="single" w:color="000000" w:sz="4" w:space="0"/>
            </w:tcBorders>
            <w:noWrap w:val="0"/>
            <w:vAlign w:val="center"/>
          </w:tcPr>
          <w:p>
            <w:pPr>
              <w:widowControl/>
              <w:jc w:val="left"/>
              <w:rPr>
                <w:rFonts w:ascii="宋体" w:hAnsi="宋体" w:cs="宋体"/>
                <w:color w:val="000000"/>
                <w:szCs w:val="21"/>
              </w:rPr>
            </w:pPr>
          </w:p>
        </w:tc>
        <w:tc>
          <w:tcPr>
            <w:tcW w:w="3758" w:type="dxa"/>
            <w:gridSpan w:val="7"/>
            <w:tcBorders>
              <w:top w:val="single" w:color="000000" w:sz="4" w:space="0"/>
              <w:left w:val="single" w:color="000000" w:sz="4" w:space="0"/>
              <w:bottom w:val="single" w:color="000000" w:sz="6" w:space="0"/>
              <w:right w:val="single" w:color="000000" w:sz="4" w:space="0"/>
            </w:tcBorders>
            <w:noWrap w:val="0"/>
            <w:vAlign w:val="top"/>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中/高费方案项目数（个）</w:t>
            </w:r>
          </w:p>
        </w:tc>
        <w:tc>
          <w:tcPr>
            <w:tcW w:w="3756" w:type="dxa"/>
            <w:gridSpan w:val="4"/>
            <w:tcBorders>
              <w:top w:val="single" w:color="000000" w:sz="6" w:space="0"/>
              <w:left w:val="single" w:color="000000" w:sz="4" w:space="0"/>
              <w:bottom w:val="single" w:color="000000" w:sz="6" w:space="0"/>
              <w:right w:val="single" w:color="000000" w:sz="12" w:space="0"/>
            </w:tcBorders>
            <w:noWrap w:val="0"/>
            <w:vAlign w:val="center"/>
          </w:tcPr>
          <w:p>
            <w:pPr>
              <w:jc w:val="center"/>
              <w:rPr>
                <w:rFonts w:hint="eastAsia" w:ascii="宋体" w:hAnsi="宋体"/>
                <w:color w:val="000000"/>
                <w:szCs w:val="21"/>
              </w:rPr>
            </w:pPr>
            <w:r>
              <w:rPr>
                <w:rFonts w:hint="eastAsia" w:ascii="宋体" w:hAnsi="宋体"/>
                <w:color w:val="000000"/>
                <w:szCs w:val="21"/>
              </w:rPr>
              <w:t>2</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144" w:hRule="atLeast"/>
        </w:trPr>
        <w:tc>
          <w:tcPr>
            <w:tcW w:w="0" w:type="auto"/>
            <w:vMerge w:val="continue"/>
            <w:tcBorders>
              <w:top w:val="single" w:color="000000" w:sz="6" w:space="0"/>
              <w:left w:val="single" w:color="000000" w:sz="12" w:space="0"/>
              <w:bottom w:val="single" w:color="000000" w:sz="6" w:space="0"/>
              <w:right w:val="single" w:color="000000" w:sz="4" w:space="0"/>
            </w:tcBorders>
            <w:noWrap w:val="0"/>
            <w:vAlign w:val="center"/>
          </w:tcPr>
          <w:p>
            <w:pPr>
              <w:widowControl/>
              <w:jc w:val="left"/>
              <w:rPr>
                <w:rFonts w:ascii="宋体" w:hAnsi="宋体" w:cs="宋体"/>
                <w:color w:val="000000"/>
                <w:szCs w:val="21"/>
              </w:rPr>
            </w:pPr>
          </w:p>
        </w:tc>
        <w:tc>
          <w:tcPr>
            <w:tcW w:w="1727" w:type="dxa"/>
            <w:gridSpan w:val="3"/>
            <w:tcBorders>
              <w:top w:val="single" w:color="000000" w:sz="6" w:space="0"/>
              <w:left w:val="single" w:color="000000" w:sz="4" w:space="0"/>
              <w:bottom w:val="single" w:color="000000" w:sz="6" w:space="0"/>
              <w:right w:val="single" w:color="000000" w:sz="4"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中高费方案名称</w:t>
            </w:r>
          </w:p>
        </w:tc>
        <w:tc>
          <w:tcPr>
            <w:tcW w:w="5787" w:type="dxa"/>
            <w:gridSpan w:val="8"/>
            <w:tcBorders>
              <w:top w:val="single" w:color="000000" w:sz="6" w:space="0"/>
              <w:left w:val="single" w:color="000000" w:sz="4" w:space="0"/>
              <w:bottom w:val="single" w:color="000000" w:sz="6" w:space="0"/>
              <w:right w:val="single" w:color="000000" w:sz="12" w:space="0"/>
            </w:tcBorders>
            <w:noWrap w:val="0"/>
            <w:vAlign w:val="top"/>
          </w:tcPr>
          <w:p>
            <w:pPr>
              <w:spacing w:line="400" w:lineRule="exact"/>
              <w:rPr>
                <w:rFonts w:ascii="宋体" w:hAnsi="宋体" w:cs="宋体"/>
                <w:color w:val="000000"/>
                <w:spacing w:val="8"/>
                <w:sz w:val="18"/>
                <w:szCs w:val="18"/>
              </w:rPr>
            </w:pPr>
            <w:r>
              <w:rPr>
                <w:rFonts w:hint="eastAsia" w:ascii="宋体" w:hAnsi="宋体"/>
                <w:color w:val="000000"/>
                <w:szCs w:val="21"/>
              </w:rPr>
              <w:t>完善选矿厂雨污分流系统，精矿库维护改造</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569" w:hRule="atLeast"/>
        </w:trPr>
        <w:tc>
          <w:tcPr>
            <w:tcW w:w="1854" w:type="dxa"/>
            <w:tcBorders>
              <w:top w:val="single" w:color="000000" w:sz="6" w:space="0"/>
              <w:left w:val="single" w:color="000000" w:sz="12" w:space="0"/>
              <w:bottom w:val="single" w:color="000000" w:sz="6" w:space="0"/>
              <w:right w:val="single" w:color="000000" w:sz="4" w:space="0"/>
            </w:tcBorders>
            <w:noWrap w:val="0"/>
            <w:vAlign w:val="center"/>
          </w:tcPr>
          <w:p>
            <w:pPr>
              <w:autoSpaceDN w:val="0"/>
              <w:snapToGrid w:val="0"/>
              <w:spacing w:line="400" w:lineRule="exact"/>
              <w:rPr>
                <w:rFonts w:ascii="宋体" w:hAnsi="宋体" w:cs="宋体"/>
                <w:color w:val="000000"/>
                <w:szCs w:val="21"/>
              </w:rPr>
            </w:pPr>
            <w:r>
              <w:rPr>
                <w:rFonts w:hint="eastAsia" w:ascii="宋体" w:hAnsi="宋体" w:cs="宋体"/>
                <w:color w:val="000000"/>
                <w:szCs w:val="21"/>
              </w:rPr>
              <w:t>咨询机构名称</w:t>
            </w:r>
          </w:p>
        </w:tc>
        <w:tc>
          <w:tcPr>
            <w:tcW w:w="3135" w:type="dxa"/>
            <w:gridSpan w:val="6"/>
            <w:tcBorders>
              <w:top w:val="single" w:color="000000" w:sz="6" w:space="0"/>
              <w:left w:val="single" w:color="000000" w:sz="4" w:space="0"/>
              <w:bottom w:val="single" w:color="000000" w:sz="6" w:space="0"/>
              <w:right w:val="single" w:color="000000" w:sz="4" w:space="0"/>
            </w:tcBorders>
            <w:noWrap w:val="0"/>
            <w:vAlign w:val="center"/>
          </w:tcPr>
          <w:p>
            <w:pPr>
              <w:autoSpaceDN w:val="0"/>
              <w:snapToGrid w:val="0"/>
              <w:spacing w:line="400" w:lineRule="exact"/>
              <w:rPr>
                <w:rFonts w:ascii="宋体" w:hAnsi="宋体" w:cs="宋体"/>
                <w:color w:val="000000"/>
                <w:szCs w:val="21"/>
              </w:rPr>
            </w:pPr>
            <w:r>
              <w:rPr>
                <w:rFonts w:hint="eastAsia" w:ascii="宋体" w:hAnsi="宋体" w:cs="宋体"/>
                <w:color w:val="000000"/>
                <w:szCs w:val="21"/>
              </w:rPr>
              <w:t>云南宇清环保工程有限公司</w:t>
            </w:r>
          </w:p>
        </w:tc>
        <w:tc>
          <w:tcPr>
            <w:tcW w:w="1230" w:type="dxa"/>
            <w:gridSpan w:val="2"/>
            <w:tcBorders>
              <w:top w:val="single" w:color="000000" w:sz="6" w:space="0"/>
              <w:left w:val="single" w:color="000000" w:sz="4" w:space="0"/>
              <w:bottom w:val="single" w:color="000000" w:sz="6" w:space="0"/>
              <w:right w:val="single" w:color="000000" w:sz="4"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联系人及联系方式</w:t>
            </w:r>
          </w:p>
        </w:tc>
        <w:tc>
          <w:tcPr>
            <w:tcW w:w="3149" w:type="dxa"/>
            <w:gridSpan w:val="3"/>
            <w:tcBorders>
              <w:top w:val="single" w:color="000000" w:sz="6" w:space="0"/>
              <w:left w:val="single" w:color="000000" w:sz="4" w:space="0"/>
              <w:bottom w:val="single" w:color="000000" w:sz="6" w:space="0"/>
              <w:right w:val="single" w:color="000000" w:sz="12"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杨志轩15887867848</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812"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开始审</w:t>
            </w:r>
          </w:p>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核时间</w:t>
            </w:r>
          </w:p>
        </w:tc>
        <w:tc>
          <w:tcPr>
            <w:tcW w:w="1558"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2019．1</w:t>
            </w:r>
          </w:p>
        </w:tc>
        <w:tc>
          <w:tcPr>
            <w:tcW w:w="1202"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完成审</w:t>
            </w:r>
          </w:p>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核时间</w:t>
            </w:r>
          </w:p>
        </w:tc>
        <w:tc>
          <w:tcPr>
            <w:tcW w:w="1605" w:type="dxa"/>
            <w:gridSpan w:val="4"/>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2019．10</w:t>
            </w:r>
          </w:p>
        </w:tc>
        <w:tc>
          <w:tcPr>
            <w:tcW w:w="1575" w:type="dxa"/>
            <w:gridSpan w:val="2"/>
            <w:tcBorders>
              <w:top w:val="single" w:color="000000" w:sz="6" w:space="0"/>
              <w:left w:val="single" w:color="000000" w:sz="6"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申请评</w:t>
            </w:r>
          </w:p>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估时间</w:t>
            </w:r>
          </w:p>
        </w:tc>
        <w:tc>
          <w:tcPr>
            <w:tcW w:w="1574" w:type="dxa"/>
            <w:tcBorders>
              <w:top w:val="single" w:color="000000" w:sz="6" w:space="0"/>
              <w:left w:val="single" w:color="000000" w:sz="6" w:space="0"/>
              <w:bottom w:val="single" w:color="000000" w:sz="6" w:space="0"/>
              <w:right w:val="single" w:color="000000" w:sz="12"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2019．10</w:t>
            </w: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077" w:hRule="atLeast"/>
        </w:trPr>
        <w:tc>
          <w:tcPr>
            <w:tcW w:w="1854" w:type="dxa"/>
            <w:tcBorders>
              <w:top w:val="single" w:color="000000" w:sz="6" w:space="0"/>
              <w:left w:val="single" w:color="000000" w:sz="12" w:space="0"/>
              <w:bottom w:val="single" w:color="000000" w:sz="6"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县(市)、区生态环境局初审意见</w:t>
            </w:r>
          </w:p>
        </w:tc>
        <w:tc>
          <w:tcPr>
            <w:tcW w:w="7514" w:type="dxa"/>
            <w:gridSpan w:val="11"/>
            <w:tcBorders>
              <w:top w:val="single" w:color="000000" w:sz="6" w:space="0"/>
              <w:left w:val="single" w:color="000000" w:sz="6" w:space="0"/>
              <w:bottom w:val="single" w:color="000000" w:sz="6" w:space="0"/>
              <w:right w:val="single" w:color="000000" w:sz="12" w:space="0"/>
            </w:tcBorders>
            <w:noWrap w:val="0"/>
            <w:vAlign w:val="top"/>
          </w:tcPr>
          <w:p>
            <w:pPr>
              <w:autoSpaceDN w:val="0"/>
              <w:snapToGrid w:val="0"/>
              <w:spacing w:line="400" w:lineRule="exact"/>
              <w:rPr>
                <w:rFonts w:ascii="宋体" w:hAnsi="宋体" w:cs="宋体"/>
                <w:color w:val="000000"/>
                <w:szCs w:val="21"/>
              </w:rPr>
            </w:pPr>
          </w:p>
          <w:p>
            <w:pPr>
              <w:autoSpaceDN w:val="0"/>
              <w:snapToGrid w:val="0"/>
              <w:spacing w:line="400" w:lineRule="exact"/>
              <w:rPr>
                <w:rFonts w:hint="eastAsia" w:ascii="宋体" w:hAnsi="宋体" w:cs="宋体"/>
                <w:color w:val="000000"/>
                <w:szCs w:val="21"/>
              </w:rPr>
            </w:pPr>
          </w:p>
          <w:p>
            <w:pPr>
              <w:autoSpaceDN w:val="0"/>
              <w:snapToGrid w:val="0"/>
              <w:spacing w:line="400" w:lineRule="exact"/>
              <w:rPr>
                <w:rFonts w:hint="eastAsia" w:ascii="宋体" w:hAnsi="宋体" w:cs="宋体"/>
                <w:color w:val="000000"/>
                <w:szCs w:val="21"/>
              </w:rPr>
            </w:pPr>
          </w:p>
          <w:p>
            <w:pPr>
              <w:autoSpaceDN w:val="0"/>
              <w:snapToGrid w:val="0"/>
              <w:spacing w:line="400" w:lineRule="exact"/>
              <w:ind w:firstLine="4725"/>
              <w:rPr>
                <w:rFonts w:hint="eastAsia" w:ascii="宋体" w:hAnsi="宋体" w:cs="宋体"/>
                <w:color w:val="000000"/>
                <w:szCs w:val="21"/>
              </w:rPr>
            </w:pPr>
            <w:r>
              <w:rPr>
                <w:rFonts w:hint="eastAsia" w:ascii="宋体" w:hAnsi="宋体" w:cs="宋体"/>
                <w:color w:val="000000"/>
                <w:szCs w:val="21"/>
              </w:rPr>
              <w:t>（盖章）</w:t>
            </w:r>
          </w:p>
          <w:p>
            <w:pPr>
              <w:autoSpaceDN w:val="0"/>
              <w:snapToGrid w:val="0"/>
              <w:spacing w:line="400" w:lineRule="exact"/>
              <w:jc w:val="center"/>
              <w:rPr>
                <w:rFonts w:hint="eastAsia" w:ascii="宋体" w:hAnsi="宋体" w:cs="宋体"/>
                <w:color w:val="000000"/>
                <w:szCs w:val="21"/>
              </w:rPr>
            </w:pPr>
            <w:r>
              <w:rPr>
                <w:rFonts w:hint="eastAsia" w:ascii="宋体" w:hAnsi="宋体" w:cs="宋体"/>
                <w:color w:val="000000"/>
                <w:szCs w:val="21"/>
              </w:rPr>
              <w:t xml:space="preserve">             经办人：               年      月     日</w:t>
            </w:r>
          </w:p>
          <w:p>
            <w:pPr>
              <w:autoSpaceDN w:val="0"/>
              <w:snapToGrid w:val="0"/>
              <w:spacing w:line="400" w:lineRule="exact"/>
              <w:jc w:val="center"/>
              <w:rPr>
                <w:rFonts w:hint="eastAsia" w:ascii="宋体" w:hAnsi="宋体" w:cs="宋体"/>
                <w:color w:val="000000"/>
                <w:szCs w:val="21"/>
              </w:rPr>
            </w:pPr>
          </w:p>
          <w:p>
            <w:pPr>
              <w:autoSpaceDN w:val="0"/>
              <w:snapToGrid w:val="0"/>
              <w:spacing w:line="400" w:lineRule="exact"/>
              <w:jc w:val="center"/>
              <w:rPr>
                <w:rFonts w:ascii="宋体" w:hAnsi="宋体" w:cs="宋体"/>
                <w:color w:val="000000"/>
                <w:szCs w:val="21"/>
              </w:rPr>
            </w:pPr>
          </w:p>
        </w:tc>
      </w:tr>
      <w:tr>
        <w:tblPrEx>
          <w:tblBorders>
            <w:top w:val="single" w:color="000000" w:sz="12" w:space="0"/>
            <w:left w:val="single" w:color="000000" w:sz="12" w:space="0"/>
            <w:bottom w:val="single" w:color="000000" w:sz="12" w:space="0"/>
            <w:right w:val="single" w:color="000000" w:sz="12"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439" w:hRule="atLeast"/>
        </w:trPr>
        <w:tc>
          <w:tcPr>
            <w:tcW w:w="1854" w:type="dxa"/>
            <w:tcBorders>
              <w:top w:val="single" w:color="000000" w:sz="6" w:space="0"/>
              <w:left w:val="single" w:color="000000" w:sz="12" w:space="0"/>
              <w:bottom w:val="single" w:color="000000" w:sz="12" w:space="0"/>
              <w:right w:val="single" w:color="000000" w:sz="6" w:space="0"/>
            </w:tcBorders>
            <w:noWrap w:val="0"/>
            <w:vAlign w:val="center"/>
          </w:tcPr>
          <w:p>
            <w:pPr>
              <w:autoSpaceDN w:val="0"/>
              <w:snapToGrid w:val="0"/>
              <w:spacing w:line="400" w:lineRule="exact"/>
              <w:jc w:val="center"/>
              <w:rPr>
                <w:rFonts w:ascii="宋体" w:hAnsi="宋体" w:cs="宋体"/>
                <w:color w:val="000000"/>
                <w:szCs w:val="21"/>
              </w:rPr>
            </w:pPr>
            <w:r>
              <w:rPr>
                <w:rFonts w:hint="eastAsia" w:ascii="宋体" w:hAnsi="宋体" w:cs="宋体"/>
                <w:color w:val="000000"/>
                <w:szCs w:val="21"/>
              </w:rPr>
              <w:t>州（市）生态环境局初审意见</w:t>
            </w:r>
          </w:p>
        </w:tc>
        <w:tc>
          <w:tcPr>
            <w:tcW w:w="7514" w:type="dxa"/>
            <w:gridSpan w:val="11"/>
            <w:tcBorders>
              <w:top w:val="single" w:color="000000" w:sz="6" w:space="0"/>
              <w:left w:val="single" w:color="000000" w:sz="6" w:space="0"/>
              <w:bottom w:val="single" w:color="000000" w:sz="12" w:space="0"/>
              <w:right w:val="single" w:color="000000" w:sz="12" w:space="0"/>
            </w:tcBorders>
            <w:noWrap w:val="0"/>
            <w:vAlign w:val="top"/>
          </w:tcPr>
          <w:p>
            <w:pPr>
              <w:autoSpaceDN w:val="0"/>
              <w:snapToGrid w:val="0"/>
              <w:spacing w:line="400" w:lineRule="exact"/>
              <w:ind w:firstLine="630"/>
              <w:rPr>
                <w:rFonts w:ascii="宋体" w:hAnsi="宋体" w:cs="宋体"/>
                <w:color w:val="000000"/>
                <w:szCs w:val="21"/>
              </w:rPr>
            </w:pPr>
          </w:p>
          <w:p>
            <w:pPr>
              <w:autoSpaceDN w:val="0"/>
              <w:snapToGrid w:val="0"/>
              <w:spacing w:line="400" w:lineRule="exact"/>
              <w:rPr>
                <w:rFonts w:hint="eastAsia" w:ascii="宋体" w:hAnsi="宋体" w:cs="宋体"/>
                <w:color w:val="000000"/>
                <w:szCs w:val="21"/>
              </w:rPr>
            </w:pPr>
          </w:p>
          <w:p>
            <w:pPr>
              <w:autoSpaceDN w:val="0"/>
              <w:snapToGrid w:val="0"/>
              <w:spacing w:line="400" w:lineRule="exact"/>
              <w:ind w:firstLine="2310"/>
              <w:rPr>
                <w:rFonts w:hint="eastAsia" w:ascii="宋体" w:hAnsi="宋体" w:cs="宋体"/>
                <w:color w:val="000000"/>
                <w:szCs w:val="21"/>
              </w:rPr>
            </w:pPr>
            <w:r>
              <w:rPr>
                <w:rFonts w:hint="eastAsia" w:ascii="宋体" w:hAnsi="宋体" w:cs="宋体"/>
                <w:color w:val="000000"/>
                <w:szCs w:val="21"/>
              </w:rPr>
              <w:t xml:space="preserve">         </w:t>
            </w:r>
          </w:p>
          <w:p>
            <w:pPr>
              <w:autoSpaceDN w:val="0"/>
              <w:snapToGrid w:val="0"/>
              <w:spacing w:line="400" w:lineRule="exact"/>
              <w:ind w:firstLine="4725"/>
              <w:rPr>
                <w:rFonts w:hint="eastAsia" w:ascii="宋体" w:hAnsi="宋体" w:cs="宋体"/>
                <w:color w:val="000000"/>
                <w:szCs w:val="21"/>
              </w:rPr>
            </w:pPr>
            <w:r>
              <w:rPr>
                <w:rFonts w:hint="eastAsia" w:ascii="宋体" w:hAnsi="宋体" w:cs="宋体"/>
                <w:color w:val="000000"/>
                <w:szCs w:val="21"/>
              </w:rPr>
              <w:t>（盖章）</w:t>
            </w:r>
          </w:p>
          <w:p>
            <w:pPr>
              <w:autoSpaceDN w:val="0"/>
              <w:snapToGrid w:val="0"/>
              <w:spacing w:line="400" w:lineRule="exact"/>
              <w:ind w:firstLine="630"/>
              <w:rPr>
                <w:rFonts w:hint="eastAsia" w:ascii="宋体" w:hAnsi="宋体" w:cs="宋体"/>
                <w:color w:val="000000"/>
                <w:szCs w:val="21"/>
              </w:rPr>
            </w:pPr>
            <w:r>
              <w:rPr>
                <w:rFonts w:hint="eastAsia" w:ascii="宋体" w:hAnsi="宋体" w:cs="宋体"/>
                <w:color w:val="000000"/>
                <w:szCs w:val="21"/>
              </w:rPr>
              <w:t xml:space="preserve">              经办人：              年      月     日</w:t>
            </w:r>
          </w:p>
          <w:p>
            <w:pPr>
              <w:autoSpaceDN w:val="0"/>
              <w:snapToGrid w:val="0"/>
              <w:spacing w:line="400" w:lineRule="exact"/>
              <w:ind w:firstLine="630"/>
              <w:rPr>
                <w:rFonts w:hint="eastAsia" w:ascii="宋体" w:hAnsi="宋体" w:cs="宋体"/>
                <w:color w:val="000000"/>
                <w:szCs w:val="21"/>
              </w:rPr>
            </w:pPr>
          </w:p>
          <w:p>
            <w:pPr>
              <w:autoSpaceDN w:val="0"/>
              <w:snapToGrid w:val="0"/>
              <w:spacing w:line="400" w:lineRule="exact"/>
              <w:ind w:firstLine="630"/>
              <w:rPr>
                <w:rFonts w:ascii="宋体" w:hAnsi="宋体" w:cs="宋体"/>
                <w:color w:val="000000"/>
                <w:szCs w:val="21"/>
              </w:rPr>
            </w:pPr>
          </w:p>
        </w:tc>
      </w:tr>
    </w:tbl>
    <w:p>
      <w:pPr>
        <w:spacing w:line="240" w:lineRule="exact"/>
        <w:jc w:val="center"/>
        <w:rPr>
          <w:rFonts w:hint="eastAsia" w:ascii="宋体" w:hAnsi="宋体"/>
          <w:color w:val="000000"/>
          <w:sz w:val="28"/>
          <w:szCs w:val="28"/>
        </w:rPr>
      </w:pPr>
    </w:p>
    <w:p>
      <w:pPr>
        <w:spacing w:line="240" w:lineRule="exact"/>
        <w:jc w:val="center"/>
        <w:rPr>
          <w:rFonts w:hint="eastAsia" w:ascii="宋体" w:hAnsi="宋体"/>
          <w:color w:val="000000"/>
          <w:sz w:val="28"/>
          <w:szCs w:val="28"/>
        </w:rPr>
      </w:pPr>
    </w:p>
    <w:p>
      <w:pPr>
        <w:spacing w:line="240" w:lineRule="exact"/>
        <w:rPr>
          <w:rFonts w:hint="eastAsia" w:ascii="宋体" w:hAnsi="宋体" w:cs="宋体"/>
          <w:color w:val="000000"/>
          <w:spacing w:val="8"/>
          <w:sz w:val="18"/>
          <w:szCs w:val="18"/>
        </w:rPr>
      </w:pPr>
    </w:p>
    <w:p>
      <w:pPr>
        <w:spacing w:line="320" w:lineRule="exact"/>
        <w:ind w:firstLine="840" w:firstLineChars="400"/>
        <w:jc w:val="center"/>
        <w:rPr>
          <w:color w:val="000000"/>
          <w:lang/>
        </w:rPr>
      </w:pPr>
      <w:r>
        <w:rPr>
          <w:rFonts w:hint="eastAsia"/>
          <w:color w:val="000000"/>
          <w:szCs w:val="21"/>
        </w:rPr>
        <w:t>目录</w:t>
      </w:r>
      <w:r>
        <w:rPr>
          <w:color w:val="000000"/>
          <w:szCs w:val="21"/>
        </w:rPr>
        <w:fldChar w:fldCharType="begin"/>
      </w:r>
      <w:r>
        <w:rPr>
          <w:color w:val="000000"/>
          <w:szCs w:val="21"/>
        </w:rPr>
        <w:instrText xml:space="preserve"> TOC \o "1-3" \h \z \u </w:instrText>
      </w:r>
      <w:r>
        <w:rPr>
          <w:color w:val="000000"/>
          <w:szCs w:val="21"/>
        </w:rPr>
        <w:fldChar w:fldCharType="separate"/>
      </w:r>
    </w:p>
    <w:p>
      <w:pPr>
        <w:pStyle w:val="23"/>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"_Toc23000845"</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前</w:t>
      </w:r>
      <w:r>
        <w:rPr>
          <w:rStyle w:val="42"/>
          <w:rFonts w:ascii="宋体" w:hAnsi="宋体"/>
          <w:color w:val="000000"/>
          <w:lang/>
        </w:rPr>
        <w:t xml:space="preserve">  </w:t>
      </w:r>
      <w:r>
        <w:rPr>
          <w:rStyle w:val="42"/>
          <w:rFonts w:hint="eastAsia" w:ascii="宋体" w:hAnsi="宋体"/>
          <w:color w:val="000000"/>
          <w:lang/>
        </w:rPr>
        <w:t>言</w:t>
      </w:r>
      <w:r>
        <w:rPr>
          <w:color w:val="000000"/>
          <w:lang/>
        </w:rPr>
        <w:tab/>
      </w:r>
      <w:r>
        <w:rPr>
          <w:color w:val="000000"/>
          <w:lang/>
        </w:rPr>
        <w:fldChar w:fldCharType="begin"/>
      </w:r>
      <w:r>
        <w:rPr>
          <w:color w:val="000000"/>
          <w:lang/>
        </w:rPr>
        <w:instrText xml:space="preserve"> PAGEREF _Toc23000845 \h </w:instrText>
      </w:r>
      <w:r>
        <w:rPr>
          <w:color w:val="000000"/>
          <w:lang/>
        </w:rPr>
        <w:fldChar w:fldCharType="separate"/>
      </w:r>
      <w:r>
        <w:rPr>
          <w:color w:val="000000"/>
          <w:lang/>
        </w:rPr>
        <w:t>8</w:t>
      </w:r>
      <w:r>
        <w:rPr>
          <w:color w:val="000000"/>
          <w:lang/>
        </w:rPr>
        <w:fldChar w:fldCharType="end"/>
      </w:r>
      <w:r>
        <w:rPr>
          <w:color w:val="000000"/>
          <w:lang/>
        </w:rPr>
        <w:fldChar w:fldCharType="end"/>
      </w:r>
    </w:p>
    <w:p>
      <w:pPr>
        <w:pStyle w:val="23"/>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"_Toc23000846"</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报告编制依据</w:t>
      </w:r>
      <w:r>
        <w:rPr>
          <w:color w:val="000000"/>
          <w:lang/>
        </w:rPr>
        <w:tab/>
      </w:r>
      <w:r>
        <w:rPr>
          <w:color w:val="000000"/>
          <w:lang/>
        </w:rPr>
        <w:fldChar w:fldCharType="begin"/>
      </w:r>
      <w:r>
        <w:rPr>
          <w:color w:val="000000"/>
          <w:lang/>
        </w:rPr>
        <w:instrText xml:space="preserve"> PAGEREF _Toc23000846 \h </w:instrText>
      </w:r>
      <w:r>
        <w:rPr>
          <w:color w:val="000000"/>
          <w:lang/>
        </w:rPr>
        <w:fldChar w:fldCharType="separate"/>
      </w:r>
      <w:r>
        <w:rPr>
          <w:color w:val="000000"/>
          <w:lang/>
        </w:rPr>
        <w:t>9</w:t>
      </w:r>
      <w:r>
        <w:rPr>
          <w:color w:val="000000"/>
          <w:lang/>
        </w:rPr>
        <w:fldChar w:fldCharType="end"/>
      </w:r>
      <w:r>
        <w:rPr>
          <w:color w:val="000000"/>
          <w:lang/>
        </w:rPr>
        <w:fldChar w:fldCharType="end"/>
      </w:r>
    </w:p>
    <w:p>
      <w:pPr>
        <w:pStyle w:val="23"/>
        <w:ind w:firstLine="0" w:firstLineChars="0"/>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"_Toc23000847"</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第</w:t>
      </w:r>
      <w:r>
        <w:rPr>
          <w:rStyle w:val="42"/>
          <w:rFonts w:ascii="宋体" w:hAnsi="宋体"/>
          <w:color w:val="000000"/>
          <w:lang/>
        </w:rPr>
        <w:t>1</w:t>
      </w:r>
      <w:r>
        <w:rPr>
          <w:rStyle w:val="42"/>
          <w:rFonts w:hint="eastAsia" w:ascii="宋体" w:hAnsi="宋体"/>
          <w:color w:val="000000"/>
          <w:lang/>
        </w:rPr>
        <w:t>章</w:t>
      </w:r>
      <w:r>
        <w:rPr>
          <w:rStyle w:val="42"/>
          <w:rFonts w:ascii="宋体" w:hAnsi="宋体"/>
          <w:color w:val="000000"/>
          <w:lang/>
        </w:rPr>
        <w:t xml:space="preserve">  </w:t>
      </w:r>
      <w:r>
        <w:rPr>
          <w:rStyle w:val="42"/>
          <w:rFonts w:hint="eastAsia" w:ascii="宋体" w:hAnsi="宋体"/>
          <w:color w:val="000000"/>
          <w:lang/>
        </w:rPr>
        <w:t>审核准备</w:t>
      </w:r>
      <w:r>
        <w:rPr>
          <w:color w:val="000000"/>
          <w:lang/>
        </w:rPr>
        <w:tab/>
      </w:r>
      <w:r>
        <w:rPr>
          <w:color w:val="000000"/>
          <w:lang/>
        </w:rPr>
        <w:fldChar w:fldCharType="begin"/>
      </w:r>
      <w:r>
        <w:rPr>
          <w:color w:val="000000"/>
          <w:lang/>
        </w:rPr>
        <w:instrText xml:space="preserve"> PAGEREF _Toc23000847 \h </w:instrText>
      </w:r>
      <w:r>
        <w:rPr>
          <w:color w:val="000000"/>
          <w:lang/>
        </w:rPr>
        <w:fldChar w:fldCharType="separate"/>
      </w:r>
      <w:r>
        <w:rPr>
          <w:color w:val="000000"/>
          <w:lang/>
        </w:rPr>
        <w:t>11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"_Toc23000848"</w:instrText>
      </w:r>
      <w:r>
        <w:rPr>
          <w:rStyle w:val="42"/>
          <w:color w:val="000000"/>
          <w:lang/>
        </w:rPr>
        <w:instrText xml:space="preserve"> </w:instrText>
      </w:r>
      <w:r>
        <w:rPr>
          <w:color w:val="000000"/>
          <w:lang/>
        </w:rPr>
        <w:fldChar w:fldCharType="separate"/>
      </w:r>
      <w:r>
        <w:rPr>
          <w:rStyle w:val="42"/>
          <w:color w:val="000000"/>
          <w:lang/>
        </w:rPr>
        <w:t xml:space="preserve">1.1 </w:t>
      </w:r>
      <w:r>
        <w:rPr>
          <w:rStyle w:val="42"/>
          <w:rFonts w:hint="eastAsia"/>
          <w:color w:val="000000"/>
          <w:lang/>
        </w:rPr>
        <w:t>取得高层领导的支持和参与</w:t>
      </w:r>
      <w:r>
        <w:rPr>
          <w:color w:val="000000"/>
          <w:lang/>
        </w:rPr>
        <w:tab/>
      </w:r>
      <w:r>
        <w:rPr>
          <w:color w:val="000000"/>
          <w:lang/>
        </w:rPr>
        <w:fldChar w:fldCharType="begin"/>
      </w:r>
      <w:r>
        <w:rPr>
          <w:color w:val="000000"/>
          <w:lang/>
        </w:rPr>
        <w:instrText xml:space="preserve"> PAGEREF _Toc23000848 \h </w:instrText>
      </w:r>
      <w:r>
        <w:rPr>
          <w:color w:val="000000"/>
          <w:lang/>
        </w:rPr>
        <w:fldChar w:fldCharType="separate"/>
      </w:r>
      <w:r>
        <w:rPr>
          <w:color w:val="000000"/>
          <w:lang/>
        </w:rPr>
        <w:t>11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"_Toc23000849"</w:instrText>
      </w:r>
      <w:r>
        <w:rPr>
          <w:rStyle w:val="42"/>
          <w:color w:val="000000"/>
          <w:lang/>
        </w:rPr>
        <w:instrText xml:space="preserve"> </w:instrText>
      </w:r>
      <w:r>
        <w:rPr>
          <w:color w:val="000000"/>
          <w:lang/>
        </w:rPr>
        <w:fldChar w:fldCharType="separate"/>
      </w:r>
      <w:r>
        <w:rPr>
          <w:rStyle w:val="42"/>
          <w:color w:val="000000"/>
          <w:lang/>
        </w:rPr>
        <w:t xml:space="preserve">1.2 </w:t>
      </w:r>
      <w:r>
        <w:rPr>
          <w:rStyle w:val="42"/>
          <w:rFonts w:hint="eastAsia"/>
          <w:color w:val="000000"/>
          <w:lang/>
        </w:rPr>
        <w:t>成立清洁生产工作组织机构</w:t>
      </w:r>
      <w:r>
        <w:rPr>
          <w:color w:val="000000"/>
          <w:lang/>
        </w:rPr>
        <w:tab/>
      </w:r>
      <w:r>
        <w:rPr>
          <w:color w:val="000000"/>
          <w:lang/>
        </w:rPr>
        <w:fldChar w:fldCharType="begin"/>
      </w:r>
      <w:r>
        <w:rPr>
          <w:color w:val="000000"/>
          <w:lang/>
        </w:rPr>
        <w:instrText xml:space="preserve"> PAGEREF _Toc23000849 \h </w:instrText>
      </w:r>
      <w:r>
        <w:rPr>
          <w:color w:val="000000"/>
          <w:lang/>
        </w:rPr>
        <w:fldChar w:fldCharType="separate"/>
      </w:r>
      <w:r>
        <w:rPr>
          <w:color w:val="000000"/>
          <w:lang/>
        </w:rPr>
        <w:t>11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"_Toc23000850"</w:instrText>
      </w:r>
      <w:r>
        <w:rPr>
          <w:rStyle w:val="42"/>
          <w:color w:val="000000"/>
          <w:lang/>
        </w:rPr>
        <w:instrText xml:space="preserve"> </w:instrText>
      </w:r>
      <w:r>
        <w:rPr>
          <w:color w:val="000000"/>
          <w:lang/>
        </w:rPr>
        <w:fldChar w:fldCharType="separate"/>
      </w:r>
      <w:r>
        <w:rPr>
          <w:rStyle w:val="42"/>
          <w:color w:val="000000"/>
          <w:lang w:val="zh-CN"/>
        </w:rPr>
        <w:t xml:space="preserve">1.3 </w:t>
      </w:r>
      <w:r>
        <w:rPr>
          <w:rStyle w:val="42"/>
          <w:rFonts w:hint="eastAsia"/>
          <w:color w:val="000000"/>
          <w:lang w:val="zh-CN"/>
        </w:rPr>
        <w:t>制定清洁生产审核工作计划</w:t>
      </w:r>
      <w:r>
        <w:rPr>
          <w:color w:val="000000"/>
          <w:lang/>
        </w:rPr>
        <w:tab/>
      </w:r>
      <w:r>
        <w:rPr>
          <w:color w:val="000000"/>
          <w:lang/>
        </w:rPr>
        <w:fldChar w:fldCharType="begin"/>
      </w:r>
      <w:r>
        <w:rPr>
          <w:color w:val="000000"/>
          <w:lang/>
        </w:rPr>
        <w:instrText xml:space="preserve"> PAGEREF _Toc23000850 \h </w:instrText>
      </w:r>
      <w:r>
        <w:rPr>
          <w:color w:val="000000"/>
          <w:lang/>
        </w:rPr>
        <w:fldChar w:fldCharType="separate"/>
      </w:r>
      <w:r>
        <w:rPr>
          <w:color w:val="000000"/>
          <w:lang/>
        </w:rPr>
        <w:t>13</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"_Toc23000851"</w:instrText>
      </w:r>
      <w:r>
        <w:rPr>
          <w:rStyle w:val="42"/>
          <w:color w:val="000000"/>
          <w:lang/>
        </w:rPr>
        <w:instrText xml:space="preserve"> </w:instrText>
      </w:r>
      <w:r>
        <w:rPr>
          <w:color w:val="000000"/>
          <w:lang/>
        </w:rPr>
        <w:fldChar w:fldCharType="separate"/>
      </w:r>
      <w:r>
        <w:rPr>
          <w:rStyle w:val="42"/>
          <w:color w:val="000000"/>
          <w:lang/>
        </w:rPr>
        <w:t xml:space="preserve">1.4 </w:t>
      </w:r>
      <w:r>
        <w:rPr>
          <w:rStyle w:val="42"/>
          <w:rFonts w:hint="eastAsia"/>
          <w:color w:val="000000"/>
          <w:lang/>
        </w:rPr>
        <w:t>宣传、发动和教育</w:t>
      </w:r>
      <w:r>
        <w:rPr>
          <w:color w:val="000000"/>
          <w:lang/>
        </w:rPr>
        <w:tab/>
      </w:r>
      <w:r>
        <w:rPr>
          <w:color w:val="000000"/>
          <w:lang/>
        </w:rPr>
        <w:fldChar w:fldCharType="begin"/>
      </w:r>
      <w:r>
        <w:rPr>
          <w:color w:val="000000"/>
          <w:lang/>
        </w:rPr>
        <w:instrText xml:space="preserve"> PAGEREF _Toc23000851 \h </w:instrText>
      </w:r>
      <w:r>
        <w:rPr>
          <w:color w:val="000000"/>
          <w:lang/>
        </w:rPr>
        <w:fldChar w:fldCharType="separate"/>
      </w:r>
      <w:r>
        <w:rPr>
          <w:color w:val="000000"/>
          <w:lang/>
        </w:rPr>
        <w:t>14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"_Toc23000852"</w:instrText>
      </w:r>
      <w:r>
        <w:rPr>
          <w:rStyle w:val="42"/>
          <w:color w:val="000000"/>
          <w:lang/>
        </w:rPr>
        <w:instrText xml:space="preserve"> </w:instrText>
      </w:r>
      <w:r>
        <w:rPr>
          <w:color w:val="000000"/>
          <w:lang/>
        </w:rPr>
        <w:fldChar w:fldCharType="separate"/>
      </w:r>
      <w:r>
        <w:rPr>
          <w:rStyle w:val="42"/>
          <w:color w:val="000000"/>
          <w:lang/>
        </w:rPr>
        <w:t xml:space="preserve">1.4.1 </w:t>
      </w:r>
      <w:r>
        <w:rPr>
          <w:rStyle w:val="42"/>
          <w:rFonts w:hint="eastAsia"/>
          <w:color w:val="000000"/>
          <w:lang/>
        </w:rPr>
        <w:t>宣传教育方式及内容</w:t>
      </w:r>
      <w:r>
        <w:rPr>
          <w:color w:val="000000"/>
          <w:lang/>
        </w:rPr>
        <w:tab/>
      </w:r>
      <w:r>
        <w:rPr>
          <w:color w:val="000000"/>
          <w:lang/>
        </w:rPr>
        <w:fldChar w:fldCharType="begin"/>
      </w:r>
      <w:r>
        <w:rPr>
          <w:color w:val="000000"/>
          <w:lang/>
        </w:rPr>
        <w:instrText xml:space="preserve"> PAGEREF _Toc23000852 \h </w:instrText>
      </w:r>
      <w:r>
        <w:rPr>
          <w:color w:val="000000"/>
          <w:lang/>
        </w:rPr>
        <w:fldChar w:fldCharType="separate"/>
      </w:r>
      <w:r>
        <w:rPr>
          <w:color w:val="000000"/>
          <w:lang/>
        </w:rPr>
        <w:t>14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"_Toc23000853"</w:instrText>
      </w:r>
      <w:r>
        <w:rPr>
          <w:rStyle w:val="42"/>
          <w:color w:val="000000"/>
          <w:lang/>
        </w:rPr>
        <w:instrText xml:space="preserve"> </w:instrText>
      </w:r>
      <w:r>
        <w:rPr>
          <w:color w:val="000000"/>
          <w:lang/>
        </w:rPr>
        <w:fldChar w:fldCharType="separate"/>
      </w:r>
      <w:r>
        <w:rPr>
          <w:rStyle w:val="42"/>
          <w:color w:val="000000"/>
          <w:lang/>
        </w:rPr>
        <w:t>1.4.2</w:t>
      </w:r>
      <w:r>
        <w:rPr>
          <w:rStyle w:val="42"/>
          <w:rFonts w:hint="eastAsia"/>
          <w:color w:val="000000"/>
          <w:lang/>
        </w:rPr>
        <w:t>克服障碍</w:t>
      </w:r>
      <w:r>
        <w:rPr>
          <w:color w:val="000000"/>
          <w:lang/>
        </w:rPr>
        <w:tab/>
      </w:r>
      <w:r>
        <w:rPr>
          <w:color w:val="000000"/>
          <w:lang/>
        </w:rPr>
        <w:fldChar w:fldCharType="begin"/>
      </w:r>
      <w:r>
        <w:rPr>
          <w:color w:val="000000"/>
          <w:lang/>
        </w:rPr>
        <w:instrText xml:space="preserve"> PAGEREF _Toc23000853 \h </w:instrText>
      </w:r>
      <w:r>
        <w:rPr>
          <w:color w:val="000000"/>
          <w:lang/>
        </w:rPr>
        <w:fldChar w:fldCharType="separate"/>
      </w:r>
      <w:r>
        <w:rPr>
          <w:color w:val="000000"/>
          <w:lang/>
        </w:rPr>
        <w:t>15</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"_Toc23000854"</w:instrText>
      </w:r>
      <w:r>
        <w:rPr>
          <w:rStyle w:val="42"/>
          <w:color w:val="000000"/>
          <w:lang/>
        </w:rPr>
        <w:instrText xml:space="preserve"> </w:instrText>
      </w:r>
      <w:r>
        <w:rPr>
          <w:color w:val="000000"/>
          <w:lang/>
        </w:rPr>
        <w:fldChar w:fldCharType="separate"/>
      </w:r>
      <w:r>
        <w:rPr>
          <w:rStyle w:val="42"/>
          <w:color w:val="000000"/>
          <w:lang/>
        </w:rPr>
        <w:t xml:space="preserve">1.5 </w:t>
      </w:r>
      <w:r>
        <w:rPr>
          <w:rStyle w:val="42"/>
          <w:rFonts w:hint="eastAsia"/>
          <w:color w:val="000000"/>
          <w:lang/>
        </w:rPr>
        <w:t>历年清洁生产审核情况</w:t>
      </w:r>
      <w:r>
        <w:rPr>
          <w:color w:val="000000"/>
          <w:lang/>
        </w:rPr>
        <w:tab/>
      </w:r>
      <w:r>
        <w:rPr>
          <w:color w:val="000000"/>
          <w:lang/>
        </w:rPr>
        <w:fldChar w:fldCharType="begin"/>
      </w:r>
      <w:r>
        <w:rPr>
          <w:color w:val="000000"/>
          <w:lang/>
        </w:rPr>
        <w:instrText xml:space="preserve"> PAGEREF _Toc23000854 \h </w:instrText>
      </w:r>
      <w:r>
        <w:rPr>
          <w:color w:val="000000"/>
          <w:lang/>
        </w:rPr>
        <w:fldChar w:fldCharType="separate"/>
      </w:r>
      <w:r>
        <w:rPr>
          <w:color w:val="000000"/>
          <w:lang/>
        </w:rPr>
        <w:t>16</w:t>
      </w:r>
      <w:r>
        <w:rPr>
          <w:color w:val="000000"/>
          <w:lang/>
        </w:rPr>
        <w:fldChar w:fldCharType="end"/>
      </w:r>
      <w:r>
        <w:rPr>
          <w:color w:val="000000"/>
          <w:lang/>
        </w:rPr>
        <w:fldChar w:fldCharType="end"/>
      </w:r>
    </w:p>
    <w:p>
      <w:pPr>
        <w:pStyle w:val="23"/>
        <w:ind w:firstLine="0" w:firstLineChars="0"/>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"_Toc23000855"</w:instrText>
      </w:r>
      <w:r>
        <w:rPr>
          <w:rStyle w:val="42"/>
          <w:color w:val="000000"/>
          <w:lang/>
        </w:rPr>
        <w:instrText xml:space="preserve"> </w:instrText>
      </w:r>
      <w:r>
        <w:rPr>
          <w:color w:val="000000"/>
          <w:lang/>
        </w:rPr>
        <w:fldChar w:fldCharType="separate"/>
      </w:r>
      <w:r>
        <w:rPr>
          <w:rStyle w:val="42"/>
          <w:rFonts w:hint="eastAsia" w:ascii="宋体" w:hAnsi="宋体"/>
          <w:color w:val="000000"/>
          <w:lang w:val="zh-CN"/>
        </w:rPr>
        <w:t>第</w:t>
      </w:r>
      <w:r>
        <w:rPr>
          <w:rStyle w:val="42"/>
          <w:rFonts w:ascii="宋体" w:hAnsi="宋体"/>
          <w:color w:val="000000"/>
          <w:lang w:val="zh-CN"/>
        </w:rPr>
        <w:t>2</w:t>
      </w:r>
      <w:r>
        <w:rPr>
          <w:rStyle w:val="42"/>
          <w:rFonts w:hint="eastAsia" w:ascii="宋体" w:hAnsi="宋体"/>
          <w:color w:val="000000"/>
          <w:lang w:val="zh-CN"/>
        </w:rPr>
        <w:t>章</w:t>
      </w:r>
      <w:r>
        <w:rPr>
          <w:rStyle w:val="42"/>
          <w:rFonts w:ascii="宋体" w:hAnsi="宋体"/>
          <w:color w:val="000000"/>
          <w:lang w:val="zh-CN"/>
        </w:rPr>
        <w:t xml:space="preserve"> </w:t>
      </w:r>
      <w:r>
        <w:rPr>
          <w:rStyle w:val="42"/>
          <w:rFonts w:hint="eastAsia" w:ascii="宋体" w:hAnsi="宋体"/>
          <w:color w:val="000000"/>
          <w:lang w:val="zh-CN"/>
        </w:rPr>
        <w:t>预审核</w:t>
      </w:r>
      <w:r>
        <w:rPr>
          <w:color w:val="000000"/>
          <w:lang/>
        </w:rPr>
        <w:tab/>
      </w:r>
      <w:r>
        <w:rPr>
          <w:color w:val="000000"/>
          <w:lang/>
        </w:rPr>
        <w:fldChar w:fldCharType="begin"/>
      </w:r>
      <w:r>
        <w:rPr>
          <w:color w:val="000000"/>
          <w:lang/>
        </w:rPr>
        <w:instrText xml:space="preserve"> PAGEREF _Toc23000855 \h </w:instrText>
      </w:r>
      <w:r>
        <w:rPr>
          <w:color w:val="000000"/>
          <w:lang/>
        </w:rPr>
        <w:fldChar w:fldCharType="separate"/>
      </w:r>
      <w:r>
        <w:rPr>
          <w:color w:val="000000"/>
          <w:lang/>
        </w:rPr>
        <w:t>17</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"_Toc23000856"</w:instrText>
      </w:r>
      <w:r>
        <w:rPr>
          <w:rStyle w:val="42"/>
          <w:color w:val="000000"/>
          <w:lang/>
        </w:rPr>
        <w:instrText xml:space="preserve"> </w:instrText>
      </w:r>
      <w:r>
        <w:rPr>
          <w:color w:val="000000"/>
          <w:lang/>
        </w:rPr>
        <w:fldChar w:fldCharType="separate"/>
      </w:r>
      <w:r>
        <w:rPr>
          <w:rStyle w:val="42"/>
          <w:color w:val="000000"/>
          <w:lang/>
        </w:rPr>
        <w:t xml:space="preserve">2.1 </w:t>
      </w:r>
      <w:r>
        <w:rPr>
          <w:rStyle w:val="42"/>
          <w:rFonts w:hint="eastAsia"/>
          <w:color w:val="000000"/>
          <w:lang/>
        </w:rPr>
        <w:t>企业概况</w:t>
      </w:r>
      <w:r>
        <w:rPr>
          <w:color w:val="000000"/>
          <w:lang/>
        </w:rPr>
        <w:tab/>
      </w:r>
      <w:r>
        <w:rPr>
          <w:color w:val="000000"/>
          <w:lang/>
        </w:rPr>
        <w:fldChar w:fldCharType="begin"/>
      </w:r>
      <w:r>
        <w:rPr>
          <w:color w:val="000000"/>
          <w:lang/>
        </w:rPr>
        <w:instrText xml:space="preserve"> PAGEREF _Toc23000856 \h </w:instrText>
      </w:r>
      <w:r>
        <w:rPr>
          <w:color w:val="000000"/>
          <w:lang/>
        </w:rPr>
        <w:fldChar w:fldCharType="separate"/>
      </w:r>
      <w:r>
        <w:rPr>
          <w:color w:val="000000"/>
          <w:lang/>
        </w:rPr>
        <w:t>17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"_Toc23000857"</w:instrText>
      </w:r>
      <w:r>
        <w:rPr>
          <w:rStyle w:val="42"/>
          <w:color w:val="000000"/>
          <w:lang/>
        </w:rPr>
        <w:instrText xml:space="preserve"> </w:instrText>
      </w:r>
      <w:r>
        <w:rPr>
          <w:color w:val="000000"/>
          <w:lang/>
        </w:rPr>
        <w:fldChar w:fldCharType="separate"/>
      </w:r>
      <w:r>
        <w:rPr>
          <w:rStyle w:val="42"/>
          <w:color w:val="000000"/>
          <w:lang/>
        </w:rPr>
        <w:t>2.1.1</w:t>
      </w:r>
      <w:r>
        <w:rPr>
          <w:rStyle w:val="42"/>
          <w:rFonts w:hint="eastAsia"/>
          <w:color w:val="000000"/>
          <w:lang/>
        </w:rPr>
        <w:t>企业基本情况</w:t>
      </w:r>
      <w:r>
        <w:rPr>
          <w:color w:val="000000"/>
          <w:lang/>
        </w:rPr>
        <w:tab/>
      </w:r>
      <w:r>
        <w:rPr>
          <w:color w:val="000000"/>
          <w:lang/>
        </w:rPr>
        <w:fldChar w:fldCharType="begin"/>
      </w:r>
      <w:r>
        <w:rPr>
          <w:color w:val="000000"/>
          <w:lang/>
        </w:rPr>
        <w:instrText xml:space="preserve"> PAGEREF _Toc23000857 \h </w:instrText>
      </w:r>
      <w:r>
        <w:rPr>
          <w:color w:val="000000"/>
          <w:lang/>
        </w:rPr>
        <w:fldChar w:fldCharType="separate"/>
      </w:r>
      <w:r>
        <w:rPr>
          <w:color w:val="000000"/>
          <w:lang/>
        </w:rPr>
        <w:t>17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"_Toc23000858"</w:instrText>
      </w:r>
      <w:r>
        <w:rPr>
          <w:rStyle w:val="42"/>
          <w:color w:val="000000"/>
          <w:lang/>
        </w:rPr>
        <w:instrText xml:space="preserve"> </w:instrText>
      </w:r>
      <w:r>
        <w:rPr>
          <w:color w:val="000000"/>
          <w:lang/>
        </w:rPr>
        <w:fldChar w:fldCharType="separate"/>
      </w:r>
      <w:r>
        <w:rPr>
          <w:rStyle w:val="42"/>
          <w:color w:val="000000"/>
          <w:lang/>
        </w:rPr>
        <w:t>2.1.2</w:t>
      </w:r>
      <w:r>
        <w:rPr>
          <w:rStyle w:val="42"/>
          <w:rFonts w:hint="eastAsia"/>
          <w:color w:val="000000"/>
          <w:lang/>
        </w:rPr>
        <w:t>厂区地理位置</w:t>
      </w:r>
      <w:r>
        <w:rPr>
          <w:color w:val="000000"/>
          <w:lang/>
        </w:rPr>
        <w:tab/>
      </w:r>
      <w:r>
        <w:rPr>
          <w:color w:val="000000"/>
          <w:lang/>
        </w:rPr>
        <w:fldChar w:fldCharType="begin"/>
      </w:r>
      <w:r>
        <w:rPr>
          <w:color w:val="000000"/>
          <w:lang/>
        </w:rPr>
        <w:instrText xml:space="preserve"> PAGEREF _Toc23000858 \h </w:instrText>
      </w:r>
      <w:r>
        <w:rPr>
          <w:color w:val="000000"/>
          <w:lang/>
        </w:rPr>
        <w:fldChar w:fldCharType="separate"/>
      </w:r>
      <w:r>
        <w:rPr>
          <w:color w:val="000000"/>
          <w:lang/>
        </w:rPr>
        <w:t>18</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"_Toc23000859"</w:instrText>
      </w:r>
      <w:r>
        <w:rPr>
          <w:rStyle w:val="42"/>
          <w:color w:val="000000"/>
          <w:lang/>
        </w:rPr>
        <w:instrText xml:space="preserve"> </w:instrText>
      </w:r>
      <w:r>
        <w:rPr>
          <w:color w:val="000000"/>
          <w:lang/>
        </w:rPr>
        <w:fldChar w:fldCharType="separate"/>
      </w:r>
      <w:r>
        <w:rPr>
          <w:rStyle w:val="42"/>
          <w:color w:val="000000"/>
          <w:lang/>
        </w:rPr>
        <w:t>2.1.3</w:t>
      </w:r>
      <w:r>
        <w:rPr>
          <w:rStyle w:val="42"/>
          <w:rFonts w:hint="eastAsia"/>
          <w:color w:val="000000"/>
          <w:lang/>
        </w:rPr>
        <w:t>企业厂区平面布置</w:t>
      </w:r>
      <w:r>
        <w:rPr>
          <w:color w:val="000000"/>
          <w:lang/>
        </w:rPr>
        <w:tab/>
      </w:r>
      <w:r>
        <w:rPr>
          <w:color w:val="000000"/>
          <w:lang/>
        </w:rPr>
        <w:fldChar w:fldCharType="begin"/>
      </w:r>
      <w:r>
        <w:rPr>
          <w:color w:val="000000"/>
          <w:lang/>
        </w:rPr>
        <w:instrText xml:space="preserve"> PAGEREF _Toc23000859 \h </w:instrText>
      </w:r>
      <w:r>
        <w:rPr>
          <w:color w:val="000000"/>
          <w:lang/>
        </w:rPr>
        <w:fldChar w:fldCharType="separate"/>
      </w:r>
      <w:r>
        <w:rPr>
          <w:color w:val="000000"/>
          <w:lang/>
        </w:rPr>
        <w:t>19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"_Toc23000860"</w:instrText>
      </w:r>
      <w:r>
        <w:rPr>
          <w:rStyle w:val="42"/>
          <w:color w:val="000000"/>
          <w:lang/>
        </w:rPr>
        <w:instrText xml:space="preserve"> </w:instrText>
      </w:r>
      <w:r>
        <w:rPr>
          <w:color w:val="000000"/>
          <w:lang/>
        </w:rPr>
        <w:fldChar w:fldCharType="separate"/>
      </w:r>
      <w:r>
        <w:rPr>
          <w:rStyle w:val="42"/>
          <w:color w:val="000000"/>
          <w:lang/>
        </w:rPr>
        <w:t>2.1.4</w:t>
      </w:r>
      <w:r>
        <w:rPr>
          <w:rStyle w:val="42"/>
          <w:rFonts w:hint="eastAsia"/>
          <w:color w:val="000000"/>
          <w:lang/>
        </w:rPr>
        <w:t>企业组织结构</w:t>
      </w:r>
      <w:r>
        <w:rPr>
          <w:color w:val="000000"/>
          <w:lang/>
        </w:rPr>
        <w:tab/>
      </w:r>
      <w:r>
        <w:rPr>
          <w:color w:val="000000"/>
          <w:lang/>
        </w:rPr>
        <w:fldChar w:fldCharType="begin"/>
      </w:r>
      <w:r>
        <w:rPr>
          <w:color w:val="000000"/>
          <w:lang/>
        </w:rPr>
        <w:instrText xml:space="preserve"> PAGEREF _Toc23000860 \h </w:instrText>
      </w:r>
      <w:r>
        <w:rPr>
          <w:color w:val="000000"/>
          <w:lang/>
        </w:rPr>
        <w:fldChar w:fldCharType="separate"/>
      </w:r>
      <w:r>
        <w:rPr>
          <w:color w:val="000000"/>
          <w:lang/>
        </w:rPr>
        <w:t>19</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"_Toc23000861"</w:instrText>
      </w:r>
      <w:r>
        <w:rPr>
          <w:rStyle w:val="42"/>
          <w:color w:val="000000"/>
          <w:lang/>
        </w:rPr>
        <w:instrText xml:space="preserve"> </w:instrText>
      </w:r>
      <w:r>
        <w:rPr>
          <w:color w:val="000000"/>
          <w:lang/>
        </w:rPr>
        <w:fldChar w:fldCharType="separate"/>
      </w:r>
      <w:r>
        <w:rPr>
          <w:rStyle w:val="42"/>
          <w:color w:val="000000"/>
          <w:lang/>
        </w:rPr>
        <w:t xml:space="preserve">2.2 </w:t>
      </w:r>
      <w:r>
        <w:rPr>
          <w:rStyle w:val="42"/>
          <w:rFonts w:hint="eastAsia"/>
          <w:color w:val="000000"/>
          <w:lang/>
        </w:rPr>
        <w:t>现状考察</w:t>
      </w:r>
      <w:r>
        <w:rPr>
          <w:color w:val="000000"/>
          <w:lang/>
        </w:rPr>
        <w:tab/>
      </w:r>
      <w:r>
        <w:rPr>
          <w:color w:val="000000"/>
          <w:lang/>
        </w:rPr>
        <w:fldChar w:fldCharType="begin"/>
      </w:r>
      <w:r>
        <w:rPr>
          <w:color w:val="000000"/>
          <w:lang/>
        </w:rPr>
        <w:instrText xml:space="preserve"> PAGEREF _Toc23000861 \h </w:instrText>
      </w:r>
      <w:r>
        <w:rPr>
          <w:color w:val="000000"/>
          <w:lang/>
        </w:rPr>
        <w:fldChar w:fldCharType="separate"/>
      </w:r>
      <w:r>
        <w:rPr>
          <w:color w:val="000000"/>
          <w:lang/>
        </w:rPr>
        <w:t>20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"_Toc23000862"</w:instrText>
      </w:r>
      <w:r>
        <w:rPr>
          <w:rStyle w:val="42"/>
          <w:color w:val="000000"/>
          <w:lang/>
        </w:rPr>
        <w:instrText xml:space="preserve"> </w:instrText>
      </w:r>
      <w:r>
        <w:rPr>
          <w:color w:val="000000"/>
          <w:lang/>
        </w:rPr>
        <w:fldChar w:fldCharType="separate"/>
      </w:r>
      <w:r>
        <w:rPr>
          <w:rStyle w:val="42"/>
          <w:color w:val="000000"/>
          <w:lang/>
        </w:rPr>
        <w:t>2.2.1</w:t>
      </w:r>
      <w:r>
        <w:rPr>
          <w:rStyle w:val="42"/>
          <w:rFonts w:hint="eastAsia"/>
          <w:color w:val="000000"/>
          <w:lang/>
        </w:rPr>
        <w:t>生产工艺概况</w:t>
      </w:r>
      <w:r>
        <w:rPr>
          <w:color w:val="000000"/>
          <w:lang/>
        </w:rPr>
        <w:tab/>
      </w:r>
      <w:r>
        <w:rPr>
          <w:color w:val="000000"/>
          <w:lang/>
        </w:rPr>
        <w:fldChar w:fldCharType="begin"/>
      </w:r>
      <w:r>
        <w:rPr>
          <w:color w:val="000000"/>
          <w:lang/>
        </w:rPr>
        <w:instrText xml:space="preserve"> PAGEREF _Toc23000862 \h </w:instrText>
      </w:r>
      <w:r>
        <w:rPr>
          <w:color w:val="000000"/>
          <w:lang/>
        </w:rPr>
        <w:fldChar w:fldCharType="separate"/>
      </w:r>
      <w:r>
        <w:rPr>
          <w:color w:val="000000"/>
          <w:lang/>
        </w:rPr>
        <w:t>20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"_Toc23000863"</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2.2.2 </w:t>
      </w:r>
      <w:r>
        <w:rPr>
          <w:rStyle w:val="42"/>
          <w:rFonts w:hint="eastAsia" w:ascii="宋体" w:hAnsi="宋体"/>
          <w:color w:val="000000"/>
          <w:lang/>
        </w:rPr>
        <w:t>生产工艺评价</w:t>
      </w:r>
      <w:r>
        <w:rPr>
          <w:color w:val="000000"/>
          <w:lang/>
        </w:rPr>
        <w:tab/>
      </w:r>
      <w:r>
        <w:rPr>
          <w:color w:val="000000"/>
          <w:lang/>
        </w:rPr>
        <w:fldChar w:fldCharType="begin"/>
      </w:r>
      <w:r>
        <w:rPr>
          <w:color w:val="000000"/>
          <w:lang/>
        </w:rPr>
        <w:instrText xml:space="preserve"> PAGEREF _Toc23000863 \h </w:instrText>
      </w:r>
      <w:r>
        <w:rPr>
          <w:color w:val="000000"/>
          <w:lang/>
        </w:rPr>
        <w:fldChar w:fldCharType="separate"/>
      </w:r>
      <w:r>
        <w:rPr>
          <w:color w:val="000000"/>
          <w:lang/>
        </w:rPr>
        <w:t>29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"_Toc23000864"</w:instrText>
      </w:r>
      <w:r>
        <w:rPr>
          <w:rStyle w:val="42"/>
          <w:color w:val="000000"/>
          <w:lang/>
        </w:rPr>
        <w:instrText xml:space="preserve"> </w:instrText>
      </w:r>
      <w:r>
        <w:rPr>
          <w:color w:val="000000"/>
          <w:lang/>
        </w:rPr>
        <w:fldChar w:fldCharType="separate"/>
      </w:r>
      <w:r>
        <w:rPr>
          <w:rStyle w:val="42"/>
          <w:rFonts w:ascii="宋体" w:hAnsi="宋体"/>
          <w:color w:val="000000"/>
          <w:lang/>
        </w:rPr>
        <w:t>2.2.3</w:t>
      </w:r>
      <w:r>
        <w:rPr>
          <w:rStyle w:val="42"/>
          <w:rFonts w:hint="eastAsia" w:ascii="宋体" w:hAnsi="宋体"/>
          <w:color w:val="000000"/>
          <w:lang/>
        </w:rPr>
        <w:t>企业生产设备</w:t>
      </w:r>
      <w:r>
        <w:rPr>
          <w:color w:val="000000"/>
          <w:lang/>
        </w:rPr>
        <w:tab/>
      </w:r>
      <w:r>
        <w:rPr>
          <w:color w:val="000000"/>
          <w:lang/>
        </w:rPr>
        <w:fldChar w:fldCharType="begin"/>
      </w:r>
      <w:r>
        <w:rPr>
          <w:color w:val="000000"/>
          <w:lang/>
        </w:rPr>
        <w:instrText xml:space="preserve"> PAGEREF _Toc23000864 \h </w:instrText>
      </w:r>
      <w:r>
        <w:rPr>
          <w:color w:val="000000"/>
          <w:lang/>
        </w:rPr>
        <w:fldChar w:fldCharType="separate"/>
      </w:r>
      <w:r>
        <w:rPr>
          <w:color w:val="000000"/>
          <w:lang/>
        </w:rPr>
        <w:t>30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"_Toc23000865"</w:instrText>
      </w:r>
      <w:r>
        <w:rPr>
          <w:rStyle w:val="42"/>
          <w:color w:val="000000"/>
          <w:lang/>
        </w:rPr>
        <w:instrText xml:space="preserve"> </w:instrText>
      </w:r>
      <w:r>
        <w:rPr>
          <w:color w:val="000000"/>
          <w:lang/>
        </w:rPr>
        <w:fldChar w:fldCharType="separate"/>
      </w:r>
      <w:r>
        <w:rPr>
          <w:rStyle w:val="42"/>
          <w:rFonts w:ascii="宋体" w:hAnsi="宋体"/>
          <w:color w:val="000000"/>
          <w:lang/>
        </w:rPr>
        <w:t>2.2.4</w:t>
      </w:r>
      <w:r>
        <w:rPr>
          <w:rStyle w:val="42"/>
          <w:rFonts w:hint="eastAsia" w:ascii="宋体" w:hAnsi="宋体"/>
          <w:color w:val="000000"/>
          <w:lang/>
        </w:rPr>
        <w:t>计量设备的配置与管理</w:t>
      </w:r>
      <w:r>
        <w:rPr>
          <w:color w:val="000000"/>
          <w:lang/>
        </w:rPr>
        <w:tab/>
      </w:r>
      <w:r>
        <w:rPr>
          <w:color w:val="000000"/>
          <w:lang/>
        </w:rPr>
        <w:fldChar w:fldCharType="begin"/>
      </w:r>
      <w:r>
        <w:rPr>
          <w:color w:val="000000"/>
          <w:lang/>
        </w:rPr>
        <w:instrText xml:space="preserve"> PAGEREF _Toc23000865 \h </w:instrText>
      </w:r>
      <w:r>
        <w:rPr>
          <w:color w:val="000000"/>
          <w:lang/>
        </w:rPr>
        <w:fldChar w:fldCharType="separate"/>
      </w:r>
      <w:r>
        <w:rPr>
          <w:color w:val="000000"/>
          <w:lang/>
        </w:rPr>
        <w:t>31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"_Toc23000866"</w:instrText>
      </w:r>
      <w:r>
        <w:rPr>
          <w:rStyle w:val="42"/>
          <w:color w:val="000000"/>
          <w:lang/>
        </w:rPr>
        <w:instrText xml:space="preserve"> </w:instrText>
      </w:r>
      <w:r>
        <w:rPr>
          <w:color w:val="000000"/>
          <w:lang/>
        </w:rPr>
        <w:fldChar w:fldCharType="separate"/>
      </w:r>
      <w:r>
        <w:rPr>
          <w:rStyle w:val="42"/>
          <w:color w:val="000000"/>
          <w:lang/>
        </w:rPr>
        <w:t>2.3</w:t>
      </w:r>
      <w:r>
        <w:rPr>
          <w:rStyle w:val="42"/>
          <w:rFonts w:hint="eastAsia"/>
          <w:color w:val="000000"/>
          <w:lang/>
        </w:rPr>
        <w:t>资源与能源消耗分析</w:t>
      </w:r>
      <w:r>
        <w:rPr>
          <w:color w:val="000000"/>
          <w:lang/>
        </w:rPr>
        <w:tab/>
      </w:r>
      <w:r>
        <w:rPr>
          <w:color w:val="000000"/>
          <w:lang/>
        </w:rPr>
        <w:fldChar w:fldCharType="begin"/>
      </w:r>
      <w:r>
        <w:rPr>
          <w:color w:val="000000"/>
          <w:lang/>
        </w:rPr>
        <w:instrText xml:space="preserve"> PAGEREF _Toc23000866 \h </w:instrText>
      </w:r>
      <w:r>
        <w:rPr>
          <w:color w:val="000000"/>
          <w:lang/>
        </w:rPr>
        <w:fldChar w:fldCharType="separate"/>
      </w:r>
      <w:r>
        <w:rPr>
          <w:color w:val="000000"/>
          <w:lang/>
        </w:rPr>
        <w:t>31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"_Toc23000867"</w:instrText>
      </w:r>
      <w:r>
        <w:rPr>
          <w:rStyle w:val="42"/>
          <w:color w:val="000000"/>
          <w:lang/>
        </w:rPr>
        <w:instrText xml:space="preserve"> </w:instrText>
      </w:r>
      <w:r>
        <w:rPr>
          <w:color w:val="000000"/>
          <w:lang/>
        </w:rPr>
        <w:fldChar w:fldCharType="separate"/>
      </w:r>
      <w:r>
        <w:rPr>
          <w:rStyle w:val="42"/>
          <w:color w:val="000000"/>
          <w:lang/>
        </w:rPr>
        <w:t>2.3.1</w:t>
      </w:r>
      <w:r>
        <w:rPr>
          <w:rStyle w:val="42"/>
          <w:rFonts w:hint="eastAsia"/>
          <w:color w:val="000000"/>
          <w:lang/>
        </w:rPr>
        <w:t>产品产量、原辅材料及能源消耗</w:t>
      </w:r>
      <w:r>
        <w:rPr>
          <w:color w:val="000000"/>
          <w:lang/>
        </w:rPr>
        <w:tab/>
      </w:r>
      <w:r>
        <w:rPr>
          <w:color w:val="000000"/>
          <w:lang/>
        </w:rPr>
        <w:fldChar w:fldCharType="begin"/>
      </w:r>
      <w:r>
        <w:rPr>
          <w:color w:val="000000"/>
          <w:lang/>
        </w:rPr>
        <w:instrText xml:space="preserve"> PAGEREF _Toc23000867 \h </w:instrText>
      </w:r>
      <w:r>
        <w:rPr>
          <w:color w:val="000000"/>
          <w:lang/>
        </w:rPr>
        <w:fldChar w:fldCharType="separate"/>
      </w:r>
      <w:r>
        <w:rPr>
          <w:color w:val="000000"/>
          <w:lang/>
        </w:rPr>
        <w:t>31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"_Toc23000868"</w:instrText>
      </w:r>
      <w:r>
        <w:rPr>
          <w:rStyle w:val="42"/>
          <w:color w:val="000000"/>
          <w:lang/>
        </w:rPr>
        <w:instrText xml:space="preserve"> </w:instrText>
      </w:r>
      <w:r>
        <w:rPr>
          <w:color w:val="000000"/>
          <w:lang/>
        </w:rPr>
        <w:fldChar w:fldCharType="separate"/>
      </w:r>
      <w:r>
        <w:rPr>
          <w:rStyle w:val="42"/>
          <w:color w:val="000000"/>
          <w:lang/>
        </w:rPr>
        <w:t>2.3.2</w:t>
      </w:r>
      <w:r>
        <w:rPr>
          <w:rStyle w:val="42"/>
          <w:rFonts w:hint="eastAsia"/>
          <w:color w:val="000000"/>
          <w:lang/>
        </w:rPr>
        <w:t>原辅材料消耗和能源成本分析</w:t>
      </w:r>
      <w:r>
        <w:rPr>
          <w:color w:val="000000"/>
          <w:lang/>
        </w:rPr>
        <w:tab/>
      </w:r>
      <w:r>
        <w:rPr>
          <w:color w:val="000000"/>
          <w:lang/>
        </w:rPr>
        <w:fldChar w:fldCharType="begin"/>
      </w:r>
      <w:r>
        <w:rPr>
          <w:color w:val="000000"/>
          <w:lang/>
        </w:rPr>
        <w:instrText xml:space="preserve"> PAGEREF _Toc23000868 \h </w:instrText>
      </w:r>
      <w:r>
        <w:rPr>
          <w:color w:val="000000"/>
          <w:lang/>
        </w:rPr>
        <w:fldChar w:fldCharType="separate"/>
      </w:r>
      <w:r>
        <w:rPr>
          <w:color w:val="000000"/>
          <w:lang/>
        </w:rPr>
        <w:t>33</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"_Toc23000869"</w:instrText>
      </w:r>
      <w:r>
        <w:rPr>
          <w:rStyle w:val="42"/>
          <w:color w:val="000000"/>
          <w:lang/>
        </w:rPr>
        <w:instrText xml:space="preserve"> </w:instrText>
      </w:r>
      <w:r>
        <w:rPr>
          <w:color w:val="000000"/>
          <w:lang/>
        </w:rPr>
        <w:fldChar w:fldCharType="separate"/>
      </w:r>
      <w:r>
        <w:rPr>
          <w:rStyle w:val="42"/>
          <w:color w:val="000000"/>
          <w:lang/>
        </w:rPr>
        <w:t>2.3.3</w:t>
      </w:r>
      <w:r>
        <w:rPr>
          <w:rStyle w:val="42"/>
          <w:rFonts w:hint="eastAsia"/>
          <w:color w:val="000000"/>
          <w:lang/>
        </w:rPr>
        <w:t>资源、能源消耗对标分析</w:t>
      </w:r>
      <w:r>
        <w:rPr>
          <w:color w:val="000000"/>
          <w:lang/>
        </w:rPr>
        <w:tab/>
      </w:r>
      <w:r>
        <w:rPr>
          <w:color w:val="000000"/>
          <w:lang/>
        </w:rPr>
        <w:fldChar w:fldCharType="begin"/>
      </w:r>
      <w:r>
        <w:rPr>
          <w:color w:val="000000"/>
          <w:lang/>
        </w:rPr>
        <w:instrText xml:space="preserve"> PAGEREF _Toc23000869 \h </w:instrText>
      </w:r>
      <w:r>
        <w:rPr>
          <w:color w:val="000000"/>
          <w:lang/>
        </w:rPr>
        <w:fldChar w:fldCharType="separate"/>
      </w:r>
      <w:r>
        <w:rPr>
          <w:color w:val="000000"/>
          <w:lang/>
        </w:rPr>
        <w:t>36</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"_Toc23000870"</w:instrText>
      </w:r>
      <w:r>
        <w:rPr>
          <w:rStyle w:val="42"/>
          <w:color w:val="000000"/>
          <w:lang/>
        </w:rPr>
        <w:instrText xml:space="preserve"> </w:instrText>
      </w:r>
      <w:r>
        <w:rPr>
          <w:color w:val="000000"/>
          <w:lang/>
        </w:rPr>
        <w:fldChar w:fldCharType="separate"/>
      </w:r>
      <w:r>
        <w:rPr>
          <w:rStyle w:val="42"/>
          <w:color w:val="000000"/>
          <w:lang/>
        </w:rPr>
        <w:t>2.4</w:t>
      </w:r>
      <w:r>
        <w:rPr>
          <w:rStyle w:val="42"/>
          <w:rFonts w:hint="eastAsia"/>
          <w:color w:val="000000"/>
          <w:lang/>
        </w:rPr>
        <w:t>企业环境保护状况</w:t>
      </w:r>
      <w:r>
        <w:rPr>
          <w:color w:val="000000"/>
          <w:lang/>
        </w:rPr>
        <w:tab/>
      </w:r>
      <w:r>
        <w:rPr>
          <w:color w:val="000000"/>
          <w:lang/>
        </w:rPr>
        <w:fldChar w:fldCharType="begin"/>
      </w:r>
      <w:r>
        <w:rPr>
          <w:color w:val="000000"/>
          <w:lang/>
        </w:rPr>
        <w:instrText xml:space="preserve"> PAGEREF _Toc23000870 \h </w:instrText>
      </w:r>
      <w:r>
        <w:rPr>
          <w:color w:val="000000"/>
          <w:lang/>
        </w:rPr>
        <w:fldChar w:fldCharType="separate"/>
      </w:r>
      <w:r>
        <w:rPr>
          <w:color w:val="000000"/>
          <w:lang/>
        </w:rPr>
        <w:t>37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"_Toc23000871"</w:instrText>
      </w:r>
      <w:r>
        <w:rPr>
          <w:rStyle w:val="42"/>
          <w:color w:val="000000"/>
          <w:lang/>
        </w:rPr>
        <w:instrText xml:space="preserve"> </w:instrText>
      </w:r>
      <w:r>
        <w:rPr>
          <w:color w:val="000000"/>
          <w:lang/>
        </w:rPr>
        <w:fldChar w:fldCharType="separate"/>
      </w:r>
      <w:r>
        <w:rPr>
          <w:rStyle w:val="42"/>
          <w:color w:val="000000"/>
          <w:lang/>
        </w:rPr>
        <w:t>2.4.1</w:t>
      </w:r>
      <w:r>
        <w:rPr>
          <w:rStyle w:val="42"/>
          <w:rFonts w:hint="eastAsia"/>
          <w:color w:val="000000"/>
          <w:lang/>
        </w:rPr>
        <w:t>建设项目产业政策符合性</w:t>
      </w:r>
      <w:r>
        <w:rPr>
          <w:color w:val="000000"/>
          <w:lang/>
        </w:rPr>
        <w:tab/>
      </w:r>
      <w:r>
        <w:rPr>
          <w:color w:val="000000"/>
          <w:lang/>
        </w:rPr>
        <w:fldChar w:fldCharType="begin"/>
      </w:r>
      <w:r>
        <w:rPr>
          <w:color w:val="000000"/>
          <w:lang/>
        </w:rPr>
        <w:instrText xml:space="preserve"> PAGEREF _Toc23000871 \h </w:instrText>
      </w:r>
      <w:r>
        <w:rPr>
          <w:color w:val="000000"/>
          <w:lang/>
        </w:rPr>
        <w:fldChar w:fldCharType="separate"/>
      </w:r>
      <w:r>
        <w:rPr>
          <w:color w:val="000000"/>
          <w:lang/>
        </w:rPr>
        <w:t>37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"_Toc23000872"</w:instrText>
      </w:r>
      <w:r>
        <w:rPr>
          <w:rStyle w:val="42"/>
          <w:color w:val="000000"/>
          <w:lang/>
        </w:rPr>
        <w:instrText xml:space="preserve"> </w:instrText>
      </w:r>
      <w:r>
        <w:rPr>
          <w:color w:val="000000"/>
          <w:lang/>
        </w:rPr>
        <w:fldChar w:fldCharType="separate"/>
      </w:r>
      <w:r>
        <w:rPr>
          <w:rStyle w:val="42"/>
          <w:color w:val="000000"/>
          <w:lang/>
        </w:rPr>
        <w:t>2.4.2“</w:t>
      </w:r>
      <w:r>
        <w:rPr>
          <w:rStyle w:val="42"/>
          <w:rFonts w:hint="eastAsia"/>
          <w:color w:val="000000"/>
          <w:lang/>
        </w:rPr>
        <w:t>环境影响评价”与“三同时”制度执行情况</w:t>
      </w:r>
      <w:r>
        <w:rPr>
          <w:color w:val="000000"/>
          <w:lang/>
        </w:rPr>
        <w:tab/>
      </w:r>
      <w:r>
        <w:rPr>
          <w:color w:val="000000"/>
          <w:lang/>
        </w:rPr>
        <w:fldChar w:fldCharType="begin"/>
      </w:r>
      <w:r>
        <w:rPr>
          <w:color w:val="000000"/>
          <w:lang/>
        </w:rPr>
        <w:instrText xml:space="preserve"> PAGEREF _Toc23000872 \h </w:instrText>
      </w:r>
      <w:r>
        <w:rPr>
          <w:color w:val="000000"/>
          <w:lang/>
        </w:rPr>
        <w:fldChar w:fldCharType="separate"/>
      </w:r>
      <w:r>
        <w:rPr>
          <w:color w:val="000000"/>
          <w:lang/>
        </w:rPr>
        <w:t>38</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"_Toc23000873"</w:instrText>
      </w:r>
      <w:r>
        <w:rPr>
          <w:rStyle w:val="42"/>
          <w:color w:val="000000"/>
          <w:lang/>
        </w:rPr>
        <w:instrText xml:space="preserve"> </w:instrText>
      </w:r>
      <w:r>
        <w:rPr>
          <w:color w:val="000000"/>
          <w:lang/>
        </w:rPr>
        <w:fldChar w:fldCharType="separate"/>
      </w:r>
      <w:r>
        <w:rPr>
          <w:rStyle w:val="42"/>
          <w:color w:val="000000"/>
          <w:lang/>
        </w:rPr>
        <w:t xml:space="preserve">2.4.3 </w:t>
      </w:r>
      <w:r>
        <w:rPr>
          <w:rStyle w:val="42"/>
          <w:rFonts w:hint="eastAsia"/>
          <w:color w:val="000000"/>
          <w:lang/>
        </w:rPr>
        <w:t>排污许可证的领取情况</w:t>
      </w:r>
      <w:r>
        <w:rPr>
          <w:color w:val="000000"/>
          <w:lang/>
        </w:rPr>
        <w:tab/>
      </w:r>
      <w:r>
        <w:rPr>
          <w:color w:val="000000"/>
          <w:lang/>
        </w:rPr>
        <w:fldChar w:fldCharType="begin"/>
      </w:r>
      <w:r>
        <w:rPr>
          <w:color w:val="000000"/>
          <w:lang/>
        </w:rPr>
        <w:instrText xml:space="preserve"> PAGEREF _Toc23000873 \h </w:instrText>
      </w:r>
      <w:r>
        <w:rPr>
          <w:color w:val="000000"/>
          <w:lang/>
        </w:rPr>
        <w:fldChar w:fldCharType="separate"/>
      </w:r>
      <w:r>
        <w:rPr>
          <w:color w:val="000000"/>
          <w:lang/>
        </w:rPr>
        <w:t>40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"_Toc23000874"</w:instrText>
      </w:r>
      <w:r>
        <w:rPr>
          <w:rStyle w:val="42"/>
          <w:color w:val="000000"/>
          <w:lang/>
        </w:rPr>
        <w:instrText xml:space="preserve"> </w:instrText>
      </w:r>
      <w:r>
        <w:rPr>
          <w:color w:val="000000"/>
          <w:lang/>
        </w:rPr>
        <w:fldChar w:fldCharType="separate"/>
      </w:r>
      <w:r>
        <w:rPr>
          <w:rStyle w:val="42"/>
          <w:color w:val="000000"/>
          <w:lang/>
        </w:rPr>
        <w:t>2.4.4</w:t>
      </w:r>
      <w:r>
        <w:rPr>
          <w:rStyle w:val="42"/>
          <w:rFonts w:hint="eastAsia"/>
          <w:color w:val="000000"/>
          <w:lang/>
        </w:rPr>
        <w:t>企业执行的环境标准</w:t>
      </w:r>
      <w:r>
        <w:rPr>
          <w:color w:val="000000"/>
          <w:lang/>
        </w:rPr>
        <w:tab/>
      </w:r>
      <w:r>
        <w:rPr>
          <w:color w:val="000000"/>
          <w:lang/>
        </w:rPr>
        <w:fldChar w:fldCharType="begin"/>
      </w:r>
      <w:r>
        <w:rPr>
          <w:color w:val="000000"/>
          <w:lang/>
        </w:rPr>
        <w:instrText xml:space="preserve"> PAGEREF _Toc23000874 \h </w:instrText>
      </w:r>
      <w:r>
        <w:rPr>
          <w:color w:val="000000"/>
          <w:lang/>
        </w:rPr>
        <w:fldChar w:fldCharType="separate"/>
      </w:r>
      <w:r>
        <w:rPr>
          <w:color w:val="000000"/>
          <w:lang/>
        </w:rPr>
        <w:t>40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"_Toc23000875"</w:instrText>
      </w:r>
      <w:r>
        <w:rPr>
          <w:rStyle w:val="42"/>
          <w:color w:val="000000"/>
          <w:lang/>
        </w:rPr>
        <w:instrText xml:space="preserve"> </w:instrText>
      </w:r>
      <w:r>
        <w:rPr>
          <w:color w:val="000000"/>
          <w:lang/>
        </w:rPr>
        <w:fldChar w:fldCharType="separate"/>
      </w:r>
      <w:r>
        <w:rPr>
          <w:rStyle w:val="42"/>
          <w:color w:val="000000"/>
          <w:lang/>
        </w:rPr>
        <w:t>2.4.5</w:t>
      </w:r>
      <w:r>
        <w:rPr>
          <w:rStyle w:val="42"/>
          <w:rFonts w:hint="eastAsia"/>
          <w:color w:val="000000"/>
          <w:lang/>
        </w:rPr>
        <w:t>污染物排放总量控制与达标情况</w:t>
      </w:r>
      <w:r>
        <w:rPr>
          <w:color w:val="000000"/>
          <w:lang/>
        </w:rPr>
        <w:tab/>
      </w:r>
      <w:r>
        <w:rPr>
          <w:color w:val="000000"/>
          <w:lang/>
        </w:rPr>
        <w:fldChar w:fldCharType="begin"/>
      </w:r>
      <w:r>
        <w:rPr>
          <w:color w:val="000000"/>
          <w:lang/>
        </w:rPr>
        <w:instrText xml:space="preserve"> PAGEREF _Toc23000875 \h </w:instrText>
      </w:r>
      <w:r>
        <w:rPr>
          <w:color w:val="000000"/>
          <w:lang/>
        </w:rPr>
        <w:fldChar w:fldCharType="separate"/>
      </w:r>
      <w:r>
        <w:rPr>
          <w:color w:val="000000"/>
          <w:lang/>
        </w:rPr>
        <w:t>42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"_Toc23000876"</w:instrText>
      </w:r>
      <w:r>
        <w:rPr>
          <w:rStyle w:val="42"/>
          <w:color w:val="000000"/>
          <w:lang/>
        </w:rPr>
        <w:instrText xml:space="preserve"> </w:instrText>
      </w:r>
      <w:r>
        <w:rPr>
          <w:color w:val="000000"/>
          <w:lang/>
        </w:rPr>
        <w:fldChar w:fldCharType="separate"/>
      </w:r>
      <w:r>
        <w:rPr>
          <w:rStyle w:val="42"/>
          <w:rFonts w:ascii="宋体" w:hAnsi="宋体"/>
          <w:color w:val="000000"/>
          <w:lang/>
        </w:rPr>
        <w:t>2.4.6</w:t>
      </w:r>
      <w:r>
        <w:rPr>
          <w:rStyle w:val="42"/>
          <w:rFonts w:hint="eastAsia" w:ascii="宋体" w:hAnsi="宋体"/>
          <w:color w:val="000000"/>
          <w:lang/>
        </w:rPr>
        <w:t>污染物产生和排放情况</w:t>
      </w:r>
      <w:r>
        <w:rPr>
          <w:color w:val="000000"/>
          <w:lang/>
        </w:rPr>
        <w:tab/>
      </w:r>
      <w:r>
        <w:rPr>
          <w:color w:val="000000"/>
          <w:lang/>
        </w:rPr>
        <w:fldChar w:fldCharType="begin"/>
      </w:r>
      <w:r>
        <w:rPr>
          <w:color w:val="000000"/>
          <w:lang/>
        </w:rPr>
        <w:instrText xml:space="preserve"> PAGEREF _Toc23000876 \h </w:instrText>
      </w:r>
      <w:r>
        <w:rPr>
          <w:color w:val="000000"/>
          <w:lang/>
        </w:rPr>
        <w:fldChar w:fldCharType="separate"/>
      </w:r>
      <w:r>
        <w:rPr>
          <w:color w:val="000000"/>
          <w:lang/>
        </w:rPr>
        <w:t>56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"_Toc23000877"</w:instrText>
      </w:r>
      <w:r>
        <w:rPr>
          <w:rStyle w:val="42"/>
          <w:color w:val="000000"/>
          <w:lang/>
        </w:rPr>
        <w:instrText xml:space="preserve"> </w:instrText>
      </w:r>
      <w:r>
        <w:rPr>
          <w:color w:val="000000"/>
          <w:lang/>
        </w:rPr>
        <w:fldChar w:fldCharType="separate"/>
      </w:r>
      <w:r>
        <w:rPr>
          <w:rStyle w:val="42"/>
          <w:color w:val="000000"/>
          <w:lang/>
        </w:rPr>
        <w:t>2.4.7</w:t>
      </w:r>
      <w:r>
        <w:rPr>
          <w:rStyle w:val="42"/>
          <w:rFonts w:hint="eastAsia"/>
          <w:color w:val="000000"/>
          <w:lang/>
        </w:rPr>
        <w:t>污染物治理情况</w:t>
      </w:r>
      <w:r>
        <w:rPr>
          <w:color w:val="000000"/>
          <w:lang/>
        </w:rPr>
        <w:tab/>
      </w:r>
      <w:r>
        <w:rPr>
          <w:color w:val="000000"/>
          <w:lang/>
        </w:rPr>
        <w:fldChar w:fldCharType="begin"/>
      </w:r>
      <w:r>
        <w:rPr>
          <w:color w:val="000000"/>
          <w:lang/>
        </w:rPr>
        <w:instrText xml:space="preserve"> PAGEREF _Toc23000877 \h </w:instrText>
      </w:r>
      <w:r>
        <w:rPr>
          <w:color w:val="000000"/>
          <w:lang/>
        </w:rPr>
        <w:fldChar w:fldCharType="separate"/>
      </w:r>
      <w:r>
        <w:rPr>
          <w:color w:val="000000"/>
          <w:lang/>
        </w:rPr>
        <w:t>60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"_Toc23000878"</w:instrText>
      </w:r>
      <w:r>
        <w:rPr>
          <w:rStyle w:val="42"/>
          <w:color w:val="000000"/>
          <w:lang/>
        </w:rPr>
        <w:instrText xml:space="preserve"> </w:instrText>
      </w:r>
      <w:r>
        <w:rPr>
          <w:color w:val="000000"/>
          <w:lang/>
        </w:rPr>
        <w:fldChar w:fldCharType="separate"/>
      </w:r>
      <w:r>
        <w:rPr>
          <w:rStyle w:val="42"/>
          <w:color w:val="000000"/>
          <w:lang/>
        </w:rPr>
        <w:t>2.4.8</w:t>
      </w:r>
      <w:r>
        <w:rPr>
          <w:rStyle w:val="42"/>
          <w:rFonts w:hint="eastAsia"/>
          <w:color w:val="000000"/>
          <w:lang/>
        </w:rPr>
        <w:t>环保设施情况</w:t>
      </w:r>
      <w:r>
        <w:rPr>
          <w:color w:val="000000"/>
          <w:lang/>
        </w:rPr>
        <w:tab/>
      </w:r>
      <w:r>
        <w:rPr>
          <w:color w:val="000000"/>
          <w:lang/>
        </w:rPr>
        <w:fldChar w:fldCharType="begin"/>
      </w:r>
      <w:r>
        <w:rPr>
          <w:color w:val="000000"/>
          <w:lang/>
        </w:rPr>
        <w:instrText xml:space="preserve"> PAGEREF _Toc23000878 \h </w:instrText>
      </w:r>
      <w:r>
        <w:rPr>
          <w:color w:val="000000"/>
          <w:lang/>
        </w:rPr>
        <w:fldChar w:fldCharType="separate"/>
      </w:r>
      <w:r>
        <w:rPr>
          <w:color w:val="000000"/>
          <w:lang/>
        </w:rPr>
        <w:t>67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"_Toc23000879"</w:instrText>
      </w:r>
      <w:r>
        <w:rPr>
          <w:rStyle w:val="42"/>
          <w:color w:val="000000"/>
          <w:lang/>
        </w:rPr>
        <w:instrText xml:space="preserve"> </w:instrText>
      </w:r>
      <w:r>
        <w:rPr>
          <w:color w:val="000000"/>
          <w:lang/>
        </w:rPr>
        <w:fldChar w:fldCharType="separate"/>
      </w:r>
      <w:r>
        <w:rPr>
          <w:rStyle w:val="42"/>
          <w:color w:val="000000"/>
          <w:lang/>
        </w:rPr>
        <w:t>2.4.9</w:t>
      </w:r>
      <w:r>
        <w:rPr>
          <w:rStyle w:val="42"/>
          <w:rFonts w:hint="eastAsia"/>
          <w:color w:val="000000"/>
          <w:lang/>
        </w:rPr>
        <w:t>重金属污染防治情况</w:t>
      </w:r>
      <w:r>
        <w:rPr>
          <w:color w:val="000000"/>
          <w:lang/>
        </w:rPr>
        <w:tab/>
      </w:r>
      <w:r>
        <w:rPr>
          <w:color w:val="000000"/>
          <w:lang/>
        </w:rPr>
        <w:fldChar w:fldCharType="begin"/>
      </w:r>
      <w:r>
        <w:rPr>
          <w:color w:val="000000"/>
          <w:lang/>
        </w:rPr>
        <w:instrText xml:space="preserve"> PAGEREF _Toc23000879 \h </w:instrText>
      </w:r>
      <w:r>
        <w:rPr>
          <w:color w:val="000000"/>
          <w:lang/>
        </w:rPr>
        <w:fldChar w:fldCharType="separate"/>
      </w:r>
      <w:r>
        <w:rPr>
          <w:color w:val="000000"/>
          <w:lang/>
        </w:rPr>
        <w:t>69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"_Toc23000880"</w:instrText>
      </w:r>
      <w:r>
        <w:rPr>
          <w:rStyle w:val="42"/>
          <w:color w:val="000000"/>
          <w:lang/>
        </w:rPr>
        <w:instrText xml:space="preserve"> </w:instrText>
      </w:r>
      <w:r>
        <w:rPr>
          <w:color w:val="000000"/>
          <w:lang/>
        </w:rPr>
        <w:fldChar w:fldCharType="separate"/>
      </w:r>
      <w:r>
        <w:rPr>
          <w:rStyle w:val="42"/>
          <w:color w:val="000000"/>
          <w:lang/>
        </w:rPr>
        <w:t>2.4.10</w:t>
      </w:r>
      <w:r>
        <w:rPr>
          <w:rStyle w:val="42"/>
          <w:rFonts w:hint="eastAsia"/>
          <w:color w:val="000000"/>
          <w:lang/>
        </w:rPr>
        <w:t>生态保护、生态修复情况</w:t>
      </w:r>
      <w:r>
        <w:rPr>
          <w:color w:val="000000"/>
          <w:lang/>
        </w:rPr>
        <w:tab/>
      </w:r>
      <w:r>
        <w:rPr>
          <w:color w:val="000000"/>
          <w:lang/>
        </w:rPr>
        <w:fldChar w:fldCharType="begin"/>
      </w:r>
      <w:r>
        <w:rPr>
          <w:color w:val="000000"/>
          <w:lang/>
        </w:rPr>
        <w:instrText xml:space="preserve"> PAGEREF _Toc23000880 \h </w:instrText>
      </w:r>
      <w:r>
        <w:rPr>
          <w:color w:val="000000"/>
          <w:lang/>
        </w:rPr>
        <w:fldChar w:fldCharType="separate"/>
      </w:r>
      <w:r>
        <w:rPr>
          <w:color w:val="000000"/>
          <w:lang/>
        </w:rPr>
        <w:t>70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"_Toc23000881"</w:instrText>
      </w:r>
      <w:r>
        <w:rPr>
          <w:rStyle w:val="42"/>
          <w:color w:val="000000"/>
          <w:lang/>
        </w:rPr>
        <w:instrText xml:space="preserve"> </w:instrText>
      </w:r>
      <w:r>
        <w:rPr>
          <w:color w:val="000000"/>
          <w:lang/>
        </w:rPr>
        <w:fldChar w:fldCharType="separate"/>
      </w:r>
      <w:r>
        <w:rPr>
          <w:rStyle w:val="42"/>
          <w:color w:val="000000"/>
          <w:lang/>
        </w:rPr>
        <w:t>2.4.11</w:t>
      </w:r>
      <w:r>
        <w:rPr>
          <w:rStyle w:val="42"/>
          <w:rFonts w:hint="eastAsia"/>
          <w:color w:val="000000"/>
          <w:lang/>
        </w:rPr>
        <w:t>环境敏感区影响</w:t>
      </w:r>
      <w:r>
        <w:rPr>
          <w:color w:val="000000"/>
          <w:lang/>
        </w:rPr>
        <w:tab/>
      </w:r>
      <w:r>
        <w:rPr>
          <w:color w:val="000000"/>
          <w:lang/>
        </w:rPr>
        <w:fldChar w:fldCharType="begin"/>
      </w:r>
      <w:r>
        <w:rPr>
          <w:color w:val="000000"/>
          <w:lang/>
        </w:rPr>
        <w:instrText xml:space="preserve"> PAGEREF _Toc23000881 \h </w:instrText>
      </w:r>
      <w:r>
        <w:rPr>
          <w:color w:val="000000"/>
          <w:lang/>
        </w:rPr>
        <w:fldChar w:fldCharType="separate"/>
      </w:r>
      <w:r>
        <w:rPr>
          <w:color w:val="000000"/>
          <w:lang/>
        </w:rPr>
        <w:t>71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"_Toc23000882"</w:instrText>
      </w:r>
      <w:r>
        <w:rPr>
          <w:rStyle w:val="42"/>
          <w:color w:val="000000"/>
          <w:lang/>
        </w:rPr>
        <w:instrText xml:space="preserve"> </w:instrText>
      </w:r>
      <w:r>
        <w:rPr>
          <w:color w:val="000000"/>
          <w:lang/>
        </w:rPr>
        <w:fldChar w:fldCharType="separate"/>
      </w:r>
      <w:r>
        <w:rPr>
          <w:rStyle w:val="42"/>
          <w:color w:val="000000"/>
          <w:lang/>
        </w:rPr>
        <w:t>2.4.12</w:t>
      </w:r>
      <w:r>
        <w:rPr>
          <w:rStyle w:val="42"/>
          <w:rFonts w:hint="eastAsia"/>
          <w:color w:val="000000"/>
          <w:lang/>
        </w:rPr>
        <w:t>环境信息情况</w:t>
      </w:r>
      <w:r>
        <w:rPr>
          <w:color w:val="000000"/>
          <w:lang/>
        </w:rPr>
        <w:tab/>
      </w:r>
      <w:r>
        <w:rPr>
          <w:color w:val="000000"/>
          <w:lang/>
        </w:rPr>
        <w:fldChar w:fldCharType="begin"/>
      </w:r>
      <w:r>
        <w:rPr>
          <w:color w:val="000000"/>
          <w:lang/>
        </w:rPr>
        <w:instrText xml:space="preserve"> PAGEREF _Toc23000882 \h </w:instrText>
      </w:r>
      <w:r>
        <w:rPr>
          <w:color w:val="000000"/>
          <w:lang/>
        </w:rPr>
        <w:fldChar w:fldCharType="separate"/>
      </w:r>
      <w:r>
        <w:rPr>
          <w:color w:val="000000"/>
          <w:lang/>
        </w:rPr>
        <w:t>72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"_Toc23000883"</w:instrText>
      </w:r>
      <w:r>
        <w:rPr>
          <w:rStyle w:val="42"/>
          <w:color w:val="000000"/>
          <w:lang/>
        </w:rPr>
        <w:instrText xml:space="preserve"> </w:instrText>
      </w:r>
      <w:r>
        <w:rPr>
          <w:color w:val="000000"/>
          <w:lang/>
        </w:rPr>
        <w:fldChar w:fldCharType="separate"/>
      </w:r>
      <w:r>
        <w:rPr>
          <w:rStyle w:val="42"/>
          <w:color w:val="000000"/>
          <w:lang/>
        </w:rPr>
        <w:t>2.4.13</w:t>
      </w:r>
      <w:r>
        <w:rPr>
          <w:rStyle w:val="42"/>
          <w:rFonts w:hint="eastAsia"/>
          <w:color w:val="000000"/>
          <w:lang/>
        </w:rPr>
        <w:t>危险废弃物处置情况</w:t>
      </w:r>
      <w:r>
        <w:rPr>
          <w:color w:val="000000"/>
          <w:lang/>
        </w:rPr>
        <w:tab/>
      </w:r>
      <w:r>
        <w:rPr>
          <w:color w:val="000000"/>
          <w:lang/>
        </w:rPr>
        <w:fldChar w:fldCharType="begin"/>
      </w:r>
      <w:r>
        <w:rPr>
          <w:color w:val="000000"/>
          <w:lang/>
        </w:rPr>
        <w:instrText xml:space="preserve"> PAGEREF _Toc23000883 \h </w:instrText>
      </w:r>
      <w:r>
        <w:rPr>
          <w:color w:val="000000"/>
          <w:lang/>
        </w:rPr>
        <w:fldChar w:fldCharType="separate"/>
      </w:r>
      <w:r>
        <w:rPr>
          <w:color w:val="000000"/>
          <w:lang/>
        </w:rPr>
        <w:t>72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"_Toc23000884"</w:instrText>
      </w:r>
      <w:r>
        <w:rPr>
          <w:rStyle w:val="42"/>
          <w:color w:val="000000"/>
          <w:lang/>
        </w:rPr>
        <w:instrText xml:space="preserve"> </w:instrText>
      </w:r>
      <w:r>
        <w:rPr>
          <w:color w:val="000000"/>
          <w:lang/>
        </w:rPr>
        <w:fldChar w:fldCharType="separate"/>
      </w:r>
      <w:r>
        <w:rPr>
          <w:rStyle w:val="42"/>
          <w:color w:val="000000"/>
          <w:lang/>
        </w:rPr>
        <w:t>2.4.14</w:t>
      </w:r>
      <w:r>
        <w:rPr>
          <w:rStyle w:val="42"/>
          <w:rFonts w:hint="eastAsia"/>
          <w:color w:val="000000"/>
          <w:lang/>
        </w:rPr>
        <w:t>放射源管理</w:t>
      </w:r>
      <w:r>
        <w:rPr>
          <w:color w:val="000000"/>
          <w:lang/>
        </w:rPr>
        <w:tab/>
      </w:r>
      <w:r>
        <w:rPr>
          <w:color w:val="000000"/>
          <w:lang/>
        </w:rPr>
        <w:fldChar w:fldCharType="begin"/>
      </w:r>
      <w:r>
        <w:rPr>
          <w:color w:val="000000"/>
          <w:lang/>
        </w:rPr>
        <w:instrText xml:space="preserve"> PAGEREF _Toc23000884 \h </w:instrText>
      </w:r>
      <w:r>
        <w:rPr>
          <w:color w:val="000000"/>
          <w:lang/>
        </w:rPr>
        <w:fldChar w:fldCharType="separate"/>
      </w:r>
      <w:r>
        <w:rPr>
          <w:color w:val="000000"/>
          <w:lang/>
        </w:rPr>
        <w:t>72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"_Toc23000885"</w:instrText>
      </w:r>
      <w:r>
        <w:rPr>
          <w:rStyle w:val="42"/>
          <w:color w:val="000000"/>
          <w:lang/>
        </w:rPr>
        <w:instrText xml:space="preserve"> </w:instrText>
      </w:r>
      <w:r>
        <w:rPr>
          <w:color w:val="000000"/>
          <w:lang/>
        </w:rPr>
        <w:fldChar w:fldCharType="separate"/>
      </w:r>
      <w:r>
        <w:rPr>
          <w:rStyle w:val="42"/>
          <w:color w:val="000000"/>
          <w:lang/>
        </w:rPr>
        <w:t xml:space="preserve">2.4.15 </w:t>
      </w:r>
      <w:r>
        <w:rPr>
          <w:rStyle w:val="42"/>
          <w:rFonts w:hint="eastAsia"/>
          <w:color w:val="000000"/>
          <w:lang/>
        </w:rPr>
        <w:t>危险化学品污染防治</w:t>
      </w:r>
      <w:r>
        <w:rPr>
          <w:color w:val="000000"/>
          <w:lang/>
        </w:rPr>
        <w:tab/>
      </w:r>
      <w:r>
        <w:rPr>
          <w:color w:val="000000"/>
          <w:lang/>
        </w:rPr>
        <w:fldChar w:fldCharType="begin"/>
      </w:r>
      <w:r>
        <w:rPr>
          <w:color w:val="000000"/>
          <w:lang/>
        </w:rPr>
        <w:instrText xml:space="preserve"> PAGEREF _Toc23000885 \h </w:instrText>
      </w:r>
      <w:r>
        <w:rPr>
          <w:color w:val="000000"/>
          <w:lang/>
        </w:rPr>
        <w:fldChar w:fldCharType="separate"/>
      </w:r>
      <w:r>
        <w:rPr>
          <w:color w:val="000000"/>
          <w:lang/>
        </w:rPr>
        <w:t>72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"_Toc23000886"</w:instrText>
      </w:r>
      <w:r>
        <w:rPr>
          <w:rStyle w:val="42"/>
          <w:color w:val="000000"/>
          <w:lang/>
        </w:rPr>
        <w:instrText xml:space="preserve"> </w:instrText>
      </w:r>
      <w:r>
        <w:rPr>
          <w:color w:val="000000"/>
          <w:lang/>
        </w:rPr>
        <w:fldChar w:fldCharType="separate"/>
      </w:r>
      <w:r>
        <w:rPr>
          <w:rStyle w:val="42"/>
          <w:color w:val="000000"/>
          <w:lang/>
        </w:rPr>
        <w:t>2.4.16</w:t>
      </w:r>
      <w:r>
        <w:rPr>
          <w:rStyle w:val="42"/>
          <w:rFonts w:hint="eastAsia"/>
          <w:color w:val="000000"/>
          <w:lang/>
        </w:rPr>
        <w:t>环境风险</w:t>
      </w:r>
      <w:r>
        <w:rPr>
          <w:color w:val="000000"/>
          <w:lang/>
        </w:rPr>
        <w:tab/>
      </w:r>
      <w:r>
        <w:rPr>
          <w:color w:val="000000"/>
          <w:lang/>
        </w:rPr>
        <w:fldChar w:fldCharType="begin"/>
      </w:r>
      <w:r>
        <w:rPr>
          <w:color w:val="000000"/>
          <w:lang/>
        </w:rPr>
        <w:instrText xml:space="preserve"> PAGEREF _Toc23000886 \h </w:instrText>
      </w:r>
      <w:r>
        <w:rPr>
          <w:color w:val="000000"/>
          <w:lang/>
        </w:rPr>
        <w:fldChar w:fldCharType="separate"/>
      </w:r>
      <w:r>
        <w:rPr>
          <w:color w:val="000000"/>
          <w:lang/>
        </w:rPr>
        <w:t>72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"_Toc23000887"</w:instrText>
      </w:r>
      <w:r>
        <w:rPr>
          <w:rStyle w:val="42"/>
          <w:color w:val="000000"/>
          <w:lang/>
        </w:rPr>
        <w:instrText xml:space="preserve"> </w:instrText>
      </w:r>
      <w:r>
        <w:rPr>
          <w:color w:val="000000"/>
          <w:lang/>
        </w:rPr>
        <w:fldChar w:fldCharType="separate"/>
      </w:r>
      <w:r>
        <w:rPr>
          <w:rStyle w:val="42"/>
          <w:color w:val="000000"/>
          <w:lang/>
        </w:rPr>
        <w:t>2.4.17</w:t>
      </w:r>
      <w:r>
        <w:rPr>
          <w:rStyle w:val="42"/>
          <w:rFonts w:hint="eastAsia"/>
          <w:color w:val="000000"/>
          <w:lang/>
        </w:rPr>
        <w:t>企业环境管理情况</w:t>
      </w:r>
      <w:r>
        <w:rPr>
          <w:color w:val="000000"/>
          <w:lang/>
        </w:rPr>
        <w:tab/>
      </w:r>
      <w:r>
        <w:rPr>
          <w:color w:val="000000"/>
          <w:lang/>
        </w:rPr>
        <w:fldChar w:fldCharType="begin"/>
      </w:r>
      <w:r>
        <w:rPr>
          <w:color w:val="000000"/>
          <w:lang/>
        </w:rPr>
        <w:instrText xml:space="preserve"> PAGEREF _Toc23000887 \h </w:instrText>
      </w:r>
      <w:r>
        <w:rPr>
          <w:color w:val="000000"/>
          <w:lang/>
        </w:rPr>
        <w:fldChar w:fldCharType="separate"/>
      </w:r>
      <w:r>
        <w:rPr>
          <w:color w:val="000000"/>
          <w:lang/>
        </w:rPr>
        <w:t>74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"_Toc23000888"</w:instrText>
      </w:r>
      <w:r>
        <w:rPr>
          <w:rStyle w:val="42"/>
          <w:color w:val="000000"/>
          <w:lang/>
        </w:rPr>
        <w:instrText xml:space="preserve"> </w:instrText>
      </w:r>
      <w:r>
        <w:rPr>
          <w:color w:val="000000"/>
          <w:lang/>
        </w:rPr>
        <w:fldChar w:fldCharType="separate"/>
      </w:r>
      <w:r>
        <w:rPr>
          <w:rStyle w:val="42"/>
          <w:color w:val="000000"/>
          <w:lang/>
        </w:rPr>
        <w:t>2.4.18</w:t>
      </w:r>
      <w:r>
        <w:rPr>
          <w:rStyle w:val="42"/>
          <w:rFonts w:hint="eastAsia"/>
          <w:color w:val="000000"/>
          <w:lang/>
        </w:rPr>
        <w:t>环境管理水平现状总结及清洁生产潜力分析</w:t>
      </w:r>
      <w:r>
        <w:rPr>
          <w:color w:val="000000"/>
          <w:lang/>
        </w:rPr>
        <w:tab/>
      </w:r>
      <w:r>
        <w:rPr>
          <w:color w:val="000000"/>
          <w:lang/>
        </w:rPr>
        <w:fldChar w:fldCharType="begin"/>
      </w:r>
      <w:r>
        <w:rPr>
          <w:color w:val="000000"/>
          <w:lang/>
        </w:rPr>
        <w:instrText xml:space="preserve"> PAGEREF _Toc23000888 \h </w:instrText>
      </w:r>
      <w:r>
        <w:rPr>
          <w:color w:val="000000"/>
          <w:lang/>
        </w:rPr>
        <w:fldChar w:fldCharType="separate"/>
      </w:r>
      <w:r>
        <w:rPr>
          <w:color w:val="000000"/>
          <w:lang/>
        </w:rPr>
        <w:t>75</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"_Toc23000889"</w:instrText>
      </w:r>
      <w:r>
        <w:rPr>
          <w:rStyle w:val="42"/>
          <w:color w:val="000000"/>
          <w:lang/>
        </w:rPr>
        <w:instrText xml:space="preserve"> </w:instrText>
      </w:r>
      <w:r>
        <w:rPr>
          <w:color w:val="000000"/>
          <w:lang/>
        </w:rPr>
        <w:fldChar w:fldCharType="separate"/>
      </w:r>
      <w:r>
        <w:rPr>
          <w:rStyle w:val="42"/>
          <w:color w:val="000000"/>
          <w:lang/>
        </w:rPr>
        <w:t>2.5</w:t>
      </w:r>
      <w:r>
        <w:rPr>
          <w:rStyle w:val="42"/>
          <w:rFonts w:hint="eastAsia"/>
          <w:color w:val="000000"/>
          <w:lang/>
        </w:rPr>
        <w:t>企业各项指标与国家清洁生产标准对比</w:t>
      </w:r>
      <w:r>
        <w:rPr>
          <w:color w:val="000000"/>
          <w:lang/>
        </w:rPr>
        <w:tab/>
      </w:r>
      <w:r>
        <w:rPr>
          <w:color w:val="000000"/>
          <w:lang/>
        </w:rPr>
        <w:fldChar w:fldCharType="begin"/>
      </w:r>
      <w:r>
        <w:rPr>
          <w:color w:val="000000"/>
          <w:lang/>
        </w:rPr>
        <w:instrText xml:space="preserve"> PAGEREF _Toc23000889 \h </w:instrText>
      </w:r>
      <w:r>
        <w:rPr>
          <w:color w:val="000000"/>
          <w:lang/>
        </w:rPr>
        <w:fldChar w:fldCharType="separate"/>
      </w:r>
      <w:r>
        <w:rPr>
          <w:color w:val="000000"/>
          <w:lang/>
        </w:rPr>
        <w:t>76</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"_Toc23000890"</w:instrText>
      </w:r>
      <w:r>
        <w:rPr>
          <w:rStyle w:val="42"/>
          <w:color w:val="000000"/>
          <w:lang/>
        </w:rPr>
        <w:instrText xml:space="preserve"> </w:instrText>
      </w:r>
      <w:r>
        <w:rPr>
          <w:color w:val="000000"/>
          <w:lang/>
        </w:rPr>
        <w:fldChar w:fldCharType="separate"/>
      </w:r>
      <w:r>
        <w:rPr>
          <w:rStyle w:val="42"/>
          <w:color w:val="000000"/>
          <w:lang/>
        </w:rPr>
        <w:t>2.6</w:t>
      </w:r>
      <w:r>
        <w:rPr>
          <w:rStyle w:val="42"/>
          <w:rFonts w:hint="eastAsia"/>
          <w:color w:val="000000"/>
          <w:lang/>
        </w:rPr>
        <w:t>确定审核重点</w:t>
      </w:r>
      <w:r>
        <w:rPr>
          <w:color w:val="000000"/>
          <w:lang/>
        </w:rPr>
        <w:tab/>
      </w:r>
      <w:r>
        <w:rPr>
          <w:color w:val="000000"/>
          <w:lang/>
        </w:rPr>
        <w:fldChar w:fldCharType="begin"/>
      </w:r>
      <w:r>
        <w:rPr>
          <w:color w:val="000000"/>
          <w:lang/>
        </w:rPr>
        <w:instrText xml:space="preserve"> PAGEREF _Toc23000890 \h </w:instrText>
      </w:r>
      <w:r>
        <w:rPr>
          <w:color w:val="000000"/>
          <w:lang/>
        </w:rPr>
        <w:fldChar w:fldCharType="separate"/>
      </w:r>
      <w:r>
        <w:rPr>
          <w:color w:val="000000"/>
          <w:lang/>
        </w:rPr>
        <w:t>81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"_Toc23000891"</w:instrText>
      </w:r>
      <w:r>
        <w:rPr>
          <w:rStyle w:val="42"/>
          <w:color w:val="000000"/>
          <w:lang/>
        </w:rPr>
        <w:instrText xml:space="preserve"> </w:instrText>
      </w:r>
      <w:r>
        <w:rPr>
          <w:color w:val="000000"/>
          <w:lang/>
        </w:rPr>
        <w:fldChar w:fldCharType="separate"/>
      </w:r>
      <w:r>
        <w:rPr>
          <w:rStyle w:val="42"/>
          <w:color w:val="000000"/>
          <w:lang/>
        </w:rPr>
        <w:t xml:space="preserve">2.6.1  </w:t>
      </w:r>
      <w:r>
        <w:rPr>
          <w:rStyle w:val="42"/>
          <w:rFonts w:hint="eastAsia"/>
          <w:color w:val="000000"/>
          <w:lang/>
        </w:rPr>
        <w:t>确定备选重点</w:t>
      </w:r>
      <w:r>
        <w:rPr>
          <w:color w:val="000000"/>
          <w:lang/>
        </w:rPr>
        <w:tab/>
      </w:r>
      <w:r>
        <w:rPr>
          <w:color w:val="000000"/>
          <w:lang/>
        </w:rPr>
        <w:fldChar w:fldCharType="begin"/>
      </w:r>
      <w:r>
        <w:rPr>
          <w:color w:val="000000"/>
          <w:lang/>
        </w:rPr>
        <w:instrText xml:space="preserve"> PAGEREF _Toc23000891 \h </w:instrText>
      </w:r>
      <w:r>
        <w:rPr>
          <w:color w:val="000000"/>
          <w:lang/>
        </w:rPr>
        <w:fldChar w:fldCharType="separate"/>
      </w:r>
      <w:r>
        <w:rPr>
          <w:color w:val="000000"/>
          <w:lang/>
        </w:rPr>
        <w:t>81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"_Toc23000892"</w:instrText>
      </w:r>
      <w:r>
        <w:rPr>
          <w:rStyle w:val="42"/>
          <w:color w:val="000000"/>
          <w:lang/>
        </w:rPr>
        <w:instrText xml:space="preserve"> </w:instrText>
      </w:r>
      <w:r>
        <w:rPr>
          <w:color w:val="000000"/>
          <w:lang/>
        </w:rPr>
        <w:fldChar w:fldCharType="separate"/>
      </w:r>
      <w:r>
        <w:rPr>
          <w:rStyle w:val="42"/>
          <w:color w:val="000000"/>
          <w:lang/>
        </w:rPr>
        <w:t>2.6.2</w:t>
      </w:r>
      <w:r>
        <w:rPr>
          <w:rStyle w:val="42"/>
          <w:rFonts w:hint="eastAsia"/>
          <w:color w:val="000000"/>
          <w:lang/>
        </w:rPr>
        <w:t>确定审核重点</w:t>
      </w:r>
      <w:r>
        <w:rPr>
          <w:color w:val="000000"/>
          <w:lang/>
        </w:rPr>
        <w:tab/>
      </w:r>
      <w:r>
        <w:rPr>
          <w:color w:val="000000"/>
          <w:lang/>
        </w:rPr>
        <w:fldChar w:fldCharType="begin"/>
      </w:r>
      <w:r>
        <w:rPr>
          <w:color w:val="000000"/>
          <w:lang/>
        </w:rPr>
        <w:instrText xml:space="preserve"> PAGEREF _Toc23000892 \h </w:instrText>
      </w:r>
      <w:r>
        <w:rPr>
          <w:color w:val="000000"/>
          <w:lang/>
        </w:rPr>
        <w:fldChar w:fldCharType="separate"/>
      </w:r>
      <w:r>
        <w:rPr>
          <w:color w:val="000000"/>
          <w:lang/>
        </w:rPr>
        <w:t>81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"_Toc23000893"</w:instrText>
      </w:r>
      <w:r>
        <w:rPr>
          <w:rStyle w:val="42"/>
          <w:color w:val="000000"/>
          <w:lang/>
        </w:rPr>
        <w:instrText xml:space="preserve"> </w:instrText>
      </w:r>
      <w:r>
        <w:rPr>
          <w:color w:val="000000"/>
          <w:lang/>
        </w:rPr>
        <w:fldChar w:fldCharType="separate"/>
      </w:r>
      <w:r>
        <w:rPr>
          <w:rStyle w:val="42"/>
          <w:color w:val="000000"/>
          <w:lang/>
        </w:rPr>
        <w:t>2.7</w:t>
      </w:r>
      <w:r>
        <w:rPr>
          <w:rStyle w:val="42"/>
          <w:rFonts w:hint="eastAsia"/>
          <w:color w:val="000000"/>
          <w:lang/>
        </w:rPr>
        <w:t>设置清洁生产审核目标</w:t>
      </w:r>
      <w:r>
        <w:rPr>
          <w:color w:val="000000"/>
          <w:lang/>
        </w:rPr>
        <w:tab/>
      </w:r>
      <w:r>
        <w:rPr>
          <w:color w:val="000000"/>
          <w:lang/>
        </w:rPr>
        <w:fldChar w:fldCharType="begin"/>
      </w:r>
      <w:r>
        <w:rPr>
          <w:color w:val="000000"/>
          <w:lang/>
        </w:rPr>
        <w:instrText xml:space="preserve"> PAGEREF _Toc23000893 \h </w:instrText>
      </w:r>
      <w:r>
        <w:rPr>
          <w:color w:val="000000"/>
          <w:lang/>
        </w:rPr>
        <w:fldChar w:fldCharType="separate"/>
      </w:r>
      <w:r>
        <w:rPr>
          <w:color w:val="000000"/>
          <w:lang/>
        </w:rPr>
        <w:t>81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"_Toc23000894"</w:instrText>
      </w:r>
      <w:r>
        <w:rPr>
          <w:rStyle w:val="42"/>
          <w:color w:val="000000"/>
          <w:lang/>
        </w:rPr>
        <w:instrText xml:space="preserve"> </w:instrText>
      </w:r>
      <w:r>
        <w:rPr>
          <w:color w:val="000000"/>
          <w:lang/>
        </w:rPr>
        <w:fldChar w:fldCharType="separate"/>
      </w:r>
      <w:r>
        <w:rPr>
          <w:rStyle w:val="42"/>
          <w:color w:val="000000"/>
          <w:lang/>
        </w:rPr>
        <w:t>2.8</w:t>
      </w:r>
      <w:r>
        <w:rPr>
          <w:rStyle w:val="42"/>
          <w:rFonts w:hint="eastAsia"/>
          <w:color w:val="000000"/>
          <w:lang/>
        </w:rPr>
        <w:t>清洁生产方案提出</w:t>
      </w:r>
      <w:r>
        <w:rPr>
          <w:color w:val="000000"/>
          <w:lang/>
        </w:rPr>
        <w:tab/>
      </w:r>
      <w:r>
        <w:rPr>
          <w:color w:val="000000"/>
          <w:lang/>
        </w:rPr>
        <w:fldChar w:fldCharType="begin"/>
      </w:r>
      <w:r>
        <w:rPr>
          <w:color w:val="000000"/>
          <w:lang/>
        </w:rPr>
        <w:instrText xml:space="preserve"> PAGEREF _Toc23000894 \h </w:instrText>
      </w:r>
      <w:r>
        <w:rPr>
          <w:color w:val="000000"/>
          <w:lang/>
        </w:rPr>
        <w:fldChar w:fldCharType="separate"/>
      </w:r>
      <w:r>
        <w:rPr>
          <w:color w:val="000000"/>
          <w:lang/>
        </w:rPr>
        <w:t>82</w:t>
      </w:r>
      <w:r>
        <w:rPr>
          <w:color w:val="000000"/>
          <w:lang/>
        </w:rPr>
        <w:fldChar w:fldCharType="end"/>
      </w:r>
      <w:r>
        <w:rPr>
          <w:color w:val="000000"/>
          <w:lang/>
        </w:rPr>
        <w:fldChar w:fldCharType="end"/>
      </w:r>
    </w:p>
    <w:p>
      <w:pPr>
        <w:pStyle w:val="23"/>
        <w:ind w:firstLine="0" w:firstLineChars="0"/>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"_Toc23000895"</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第</w:t>
      </w:r>
      <w:r>
        <w:rPr>
          <w:rStyle w:val="42"/>
          <w:rFonts w:ascii="宋体" w:hAnsi="宋体"/>
          <w:color w:val="000000"/>
          <w:lang/>
        </w:rPr>
        <w:t>3</w:t>
      </w:r>
      <w:r>
        <w:rPr>
          <w:rStyle w:val="42"/>
          <w:rFonts w:hint="eastAsia" w:ascii="宋体" w:hAnsi="宋体"/>
          <w:color w:val="000000"/>
          <w:lang/>
        </w:rPr>
        <w:t>章</w:t>
      </w:r>
      <w:r>
        <w:rPr>
          <w:rStyle w:val="42"/>
          <w:rFonts w:ascii="宋体" w:hAnsi="宋体"/>
          <w:color w:val="000000"/>
          <w:lang/>
        </w:rPr>
        <w:t xml:space="preserve">  </w:t>
      </w:r>
      <w:r>
        <w:rPr>
          <w:rStyle w:val="42"/>
          <w:rFonts w:hint="eastAsia" w:ascii="宋体" w:hAnsi="宋体"/>
          <w:color w:val="000000"/>
          <w:lang/>
        </w:rPr>
        <w:t>审核</w:t>
      </w:r>
      <w:r>
        <w:rPr>
          <w:color w:val="000000"/>
          <w:lang/>
        </w:rPr>
        <w:tab/>
      </w:r>
      <w:r>
        <w:rPr>
          <w:color w:val="000000"/>
          <w:lang/>
        </w:rPr>
        <w:fldChar w:fldCharType="begin"/>
      </w:r>
      <w:r>
        <w:rPr>
          <w:color w:val="000000"/>
          <w:lang/>
        </w:rPr>
        <w:instrText xml:space="preserve"> PAGEREF _Toc23000895 \h </w:instrText>
      </w:r>
      <w:r>
        <w:rPr>
          <w:color w:val="000000"/>
          <w:lang/>
        </w:rPr>
        <w:fldChar w:fldCharType="separate"/>
      </w:r>
      <w:r>
        <w:rPr>
          <w:color w:val="000000"/>
          <w:lang/>
        </w:rPr>
        <w:t>84</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"_Toc23000896"</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3.1 </w:t>
      </w:r>
      <w:r>
        <w:rPr>
          <w:rStyle w:val="42"/>
          <w:rFonts w:hint="eastAsia" w:ascii="宋体" w:hAnsi="宋体"/>
          <w:color w:val="000000"/>
          <w:lang/>
        </w:rPr>
        <w:t>审核重点概况</w:t>
      </w:r>
      <w:r>
        <w:rPr>
          <w:color w:val="000000"/>
          <w:lang/>
        </w:rPr>
        <w:tab/>
      </w:r>
      <w:r>
        <w:rPr>
          <w:color w:val="000000"/>
          <w:lang/>
        </w:rPr>
        <w:fldChar w:fldCharType="begin"/>
      </w:r>
      <w:r>
        <w:rPr>
          <w:color w:val="000000"/>
          <w:lang/>
        </w:rPr>
        <w:instrText xml:space="preserve"> PAGEREF _Toc23000896 \h </w:instrText>
      </w:r>
      <w:r>
        <w:rPr>
          <w:color w:val="000000"/>
          <w:lang/>
        </w:rPr>
        <w:fldChar w:fldCharType="separate"/>
      </w:r>
      <w:r>
        <w:rPr>
          <w:color w:val="000000"/>
          <w:lang/>
        </w:rPr>
        <w:t>84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"_Toc23000897"</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3.1.1 </w:t>
      </w:r>
      <w:r>
        <w:rPr>
          <w:rStyle w:val="42"/>
          <w:rFonts w:hint="eastAsia" w:ascii="宋体" w:hAnsi="宋体"/>
          <w:color w:val="000000"/>
          <w:lang/>
        </w:rPr>
        <w:t>基本情况</w:t>
      </w:r>
      <w:r>
        <w:rPr>
          <w:color w:val="000000"/>
          <w:lang/>
        </w:rPr>
        <w:tab/>
      </w:r>
      <w:r>
        <w:rPr>
          <w:color w:val="000000"/>
          <w:lang/>
        </w:rPr>
        <w:fldChar w:fldCharType="begin"/>
      </w:r>
      <w:r>
        <w:rPr>
          <w:color w:val="000000"/>
          <w:lang/>
        </w:rPr>
        <w:instrText xml:space="preserve"> PAGEREF _Toc23000897 \h </w:instrText>
      </w:r>
      <w:r>
        <w:rPr>
          <w:color w:val="000000"/>
          <w:lang/>
        </w:rPr>
        <w:fldChar w:fldCharType="separate"/>
      </w:r>
      <w:r>
        <w:rPr>
          <w:color w:val="000000"/>
          <w:lang/>
        </w:rPr>
        <w:t>84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"_Toc23000898"</w:instrText>
      </w:r>
      <w:r>
        <w:rPr>
          <w:rStyle w:val="42"/>
          <w:color w:val="000000"/>
          <w:lang/>
        </w:rPr>
        <w:instrText xml:space="preserve"> </w:instrText>
      </w:r>
      <w:r>
        <w:rPr>
          <w:color w:val="000000"/>
          <w:lang/>
        </w:rPr>
        <w:fldChar w:fldCharType="separate"/>
      </w:r>
      <w:r>
        <w:rPr>
          <w:rStyle w:val="42"/>
          <w:color w:val="000000"/>
          <w:lang/>
        </w:rPr>
        <w:t>3</w:t>
      </w:r>
      <w:r>
        <w:rPr>
          <w:rStyle w:val="42"/>
          <w:color w:val="000000"/>
          <w:lang w:val="en-GB"/>
        </w:rPr>
        <w:t>.1</w:t>
      </w:r>
      <w:r>
        <w:rPr>
          <w:rStyle w:val="42"/>
          <w:color w:val="000000"/>
          <w:lang/>
        </w:rPr>
        <w:t>.2</w:t>
      </w:r>
      <w:r>
        <w:rPr>
          <w:rStyle w:val="42"/>
          <w:rFonts w:hint="eastAsia"/>
          <w:color w:val="000000"/>
          <w:lang w:val="en-GB"/>
        </w:rPr>
        <w:t>审核重点工艺流程图及工艺说明</w:t>
      </w:r>
      <w:r>
        <w:rPr>
          <w:color w:val="000000"/>
          <w:lang/>
        </w:rPr>
        <w:tab/>
      </w:r>
      <w:r>
        <w:rPr>
          <w:color w:val="000000"/>
          <w:lang/>
        </w:rPr>
        <w:fldChar w:fldCharType="begin"/>
      </w:r>
      <w:r>
        <w:rPr>
          <w:color w:val="000000"/>
          <w:lang/>
        </w:rPr>
        <w:instrText xml:space="preserve"> PAGEREF _Toc23000898 \h </w:instrText>
      </w:r>
      <w:r>
        <w:rPr>
          <w:color w:val="000000"/>
          <w:lang/>
        </w:rPr>
        <w:fldChar w:fldCharType="separate"/>
      </w:r>
      <w:r>
        <w:rPr>
          <w:color w:val="000000"/>
          <w:lang/>
        </w:rPr>
        <w:t>84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"_Toc23000899"</w:instrText>
      </w:r>
      <w:r>
        <w:rPr>
          <w:rStyle w:val="42"/>
          <w:color w:val="000000"/>
          <w:lang/>
        </w:rPr>
        <w:instrText xml:space="preserve"> </w:instrText>
      </w:r>
      <w:r>
        <w:rPr>
          <w:color w:val="000000"/>
          <w:lang/>
        </w:rPr>
        <w:fldChar w:fldCharType="separate"/>
      </w:r>
      <w:r>
        <w:rPr>
          <w:rStyle w:val="42"/>
          <w:rFonts w:ascii="宋体" w:hAnsi="宋体"/>
          <w:color w:val="000000"/>
          <w:lang/>
        </w:rPr>
        <w:t>3.1.3</w:t>
      </w:r>
      <w:r>
        <w:rPr>
          <w:rStyle w:val="42"/>
          <w:rFonts w:hint="eastAsia" w:ascii="宋体" w:hAnsi="宋体"/>
          <w:color w:val="000000"/>
          <w:lang/>
        </w:rPr>
        <w:t>审核重点单元操作功能说明</w:t>
      </w:r>
      <w:r>
        <w:rPr>
          <w:color w:val="000000"/>
          <w:lang/>
        </w:rPr>
        <w:tab/>
      </w:r>
      <w:r>
        <w:rPr>
          <w:color w:val="000000"/>
          <w:lang/>
        </w:rPr>
        <w:fldChar w:fldCharType="begin"/>
      </w:r>
      <w:r>
        <w:rPr>
          <w:color w:val="000000"/>
          <w:lang/>
        </w:rPr>
        <w:instrText xml:space="preserve"> PAGEREF _Toc23000899 \h </w:instrText>
      </w:r>
      <w:r>
        <w:rPr>
          <w:color w:val="000000"/>
          <w:lang/>
        </w:rPr>
        <w:fldChar w:fldCharType="separate"/>
      </w:r>
      <w:r>
        <w:rPr>
          <w:color w:val="000000"/>
          <w:lang/>
        </w:rPr>
        <w:t>87</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"_Toc23000900"</w:instrText>
      </w:r>
      <w:r>
        <w:rPr>
          <w:rStyle w:val="42"/>
          <w:color w:val="000000"/>
          <w:lang/>
        </w:rPr>
        <w:instrText xml:space="preserve"> </w:instrText>
      </w:r>
      <w:r>
        <w:rPr>
          <w:color w:val="000000"/>
          <w:lang/>
        </w:rPr>
        <w:fldChar w:fldCharType="separate"/>
      </w:r>
      <w:r>
        <w:rPr>
          <w:rStyle w:val="42"/>
          <w:color w:val="000000"/>
          <w:lang/>
        </w:rPr>
        <w:t>3.2</w:t>
      </w:r>
      <w:r>
        <w:rPr>
          <w:rStyle w:val="42"/>
          <w:rFonts w:hint="eastAsia"/>
          <w:color w:val="000000"/>
          <w:lang/>
        </w:rPr>
        <w:t>审核重点输入、输出物料平衡情况</w:t>
      </w:r>
      <w:r>
        <w:rPr>
          <w:color w:val="000000"/>
          <w:lang/>
        </w:rPr>
        <w:tab/>
      </w:r>
      <w:r>
        <w:rPr>
          <w:color w:val="000000"/>
          <w:lang/>
        </w:rPr>
        <w:fldChar w:fldCharType="begin"/>
      </w:r>
      <w:r>
        <w:rPr>
          <w:color w:val="000000"/>
          <w:lang/>
        </w:rPr>
        <w:instrText xml:space="preserve"> PAGEREF _Toc23000900 \h </w:instrText>
      </w:r>
      <w:r>
        <w:rPr>
          <w:color w:val="000000"/>
          <w:lang/>
        </w:rPr>
        <w:fldChar w:fldCharType="separate"/>
      </w:r>
      <w:r>
        <w:rPr>
          <w:color w:val="000000"/>
          <w:lang/>
        </w:rPr>
        <w:t>87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"_Toc23000901"</w:instrText>
      </w:r>
      <w:r>
        <w:rPr>
          <w:rStyle w:val="42"/>
          <w:color w:val="000000"/>
          <w:lang/>
        </w:rPr>
        <w:instrText xml:space="preserve"> </w:instrText>
      </w:r>
      <w:r>
        <w:rPr>
          <w:color w:val="000000"/>
          <w:lang/>
        </w:rPr>
        <w:fldChar w:fldCharType="separate"/>
      </w:r>
      <w:r>
        <w:rPr>
          <w:rStyle w:val="42"/>
          <w:rFonts w:ascii="宋体" w:hAnsi="宋体"/>
          <w:color w:val="000000"/>
          <w:lang w:val="en-GB"/>
        </w:rPr>
        <w:t>3.2.1</w:t>
      </w:r>
      <w:r>
        <w:rPr>
          <w:rStyle w:val="42"/>
          <w:rFonts w:hint="eastAsia" w:ascii="宋体" w:hAnsi="宋体"/>
          <w:color w:val="000000"/>
          <w:lang w:val="en-GB"/>
        </w:rPr>
        <w:t>实测准备</w:t>
      </w:r>
      <w:r>
        <w:rPr>
          <w:color w:val="000000"/>
          <w:lang/>
        </w:rPr>
        <w:tab/>
      </w:r>
      <w:r>
        <w:rPr>
          <w:color w:val="000000"/>
          <w:lang/>
        </w:rPr>
        <w:fldChar w:fldCharType="begin"/>
      </w:r>
      <w:r>
        <w:rPr>
          <w:color w:val="000000"/>
          <w:lang/>
        </w:rPr>
        <w:instrText xml:space="preserve"> PAGEREF _Toc23000901 \h </w:instrText>
      </w:r>
      <w:r>
        <w:rPr>
          <w:color w:val="000000"/>
          <w:lang/>
        </w:rPr>
        <w:fldChar w:fldCharType="separate"/>
      </w:r>
      <w:r>
        <w:rPr>
          <w:color w:val="000000"/>
          <w:lang/>
        </w:rPr>
        <w:t>87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"_Toc23000902"</w:instrText>
      </w:r>
      <w:r>
        <w:rPr>
          <w:rStyle w:val="42"/>
          <w:color w:val="000000"/>
          <w:lang/>
        </w:rPr>
        <w:instrText xml:space="preserve"> </w:instrText>
      </w:r>
      <w:r>
        <w:rPr>
          <w:color w:val="000000"/>
          <w:lang/>
        </w:rPr>
        <w:fldChar w:fldCharType="separate"/>
      </w:r>
      <w:r>
        <w:rPr>
          <w:rStyle w:val="42"/>
          <w:rFonts w:ascii="宋体" w:hAnsi="宋体"/>
          <w:color w:val="000000"/>
          <w:lang w:val="en-GB"/>
        </w:rPr>
        <w:t xml:space="preserve">3.2.2 </w:t>
      </w:r>
      <w:r>
        <w:rPr>
          <w:rStyle w:val="42"/>
          <w:rFonts w:hint="eastAsia" w:ascii="宋体" w:hAnsi="宋体"/>
          <w:color w:val="000000"/>
          <w:lang w:val="en-GB"/>
        </w:rPr>
        <w:t>实测输入输出物流</w:t>
      </w:r>
      <w:r>
        <w:rPr>
          <w:color w:val="000000"/>
          <w:lang/>
        </w:rPr>
        <w:tab/>
      </w:r>
      <w:r>
        <w:rPr>
          <w:color w:val="000000"/>
          <w:lang/>
        </w:rPr>
        <w:fldChar w:fldCharType="begin"/>
      </w:r>
      <w:r>
        <w:rPr>
          <w:color w:val="000000"/>
          <w:lang/>
        </w:rPr>
        <w:instrText xml:space="preserve"> PAGEREF _Toc23000902 \h </w:instrText>
      </w:r>
      <w:r>
        <w:rPr>
          <w:color w:val="000000"/>
          <w:lang/>
        </w:rPr>
        <w:fldChar w:fldCharType="separate"/>
      </w:r>
      <w:r>
        <w:rPr>
          <w:color w:val="000000"/>
          <w:lang/>
        </w:rPr>
        <w:t>87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"_Toc23000903"</w:instrText>
      </w:r>
      <w:r>
        <w:rPr>
          <w:rStyle w:val="42"/>
          <w:color w:val="000000"/>
          <w:lang/>
        </w:rPr>
        <w:instrText xml:space="preserve"> </w:instrText>
      </w:r>
      <w:r>
        <w:rPr>
          <w:color w:val="000000"/>
          <w:lang/>
        </w:rPr>
        <w:fldChar w:fldCharType="separate"/>
      </w:r>
      <w:r>
        <w:rPr>
          <w:rStyle w:val="42"/>
          <w:rFonts w:ascii="宋体" w:hAnsi="宋体"/>
          <w:color w:val="000000"/>
          <w:lang w:val="en-GB"/>
        </w:rPr>
        <w:t xml:space="preserve">3.2.3 </w:t>
      </w:r>
      <w:r>
        <w:rPr>
          <w:rStyle w:val="42"/>
          <w:rFonts w:hint="eastAsia" w:ascii="宋体" w:hAnsi="宋体"/>
          <w:color w:val="000000"/>
          <w:lang w:val="en-GB"/>
        </w:rPr>
        <w:t>重点车间物料平衡</w:t>
      </w:r>
      <w:r>
        <w:rPr>
          <w:color w:val="000000"/>
          <w:lang/>
        </w:rPr>
        <w:tab/>
      </w:r>
      <w:r>
        <w:rPr>
          <w:color w:val="000000"/>
          <w:lang/>
        </w:rPr>
        <w:fldChar w:fldCharType="begin"/>
      </w:r>
      <w:r>
        <w:rPr>
          <w:color w:val="000000"/>
          <w:lang/>
        </w:rPr>
        <w:instrText xml:space="preserve"> PAGEREF _Toc23000903 \h </w:instrText>
      </w:r>
      <w:r>
        <w:rPr>
          <w:color w:val="000000"/>
          <w:lang/>
        </w:rPr>
        <w:fldChar w:fldCharType="separate"/>
      </w:r>
      <w:r>
        <w:rPr>
          <w:color w:val="000000"/>
          <w:lang/>
        </w:rPr>
        <w:t>88</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"_Toc23000904"</w:instrText>
      </w:r>
      <w:r>
        <w:rPr>
          <w:rStyle w:val="42"/>
          <w:color w:val="000000"/>
          <w:lang/>
        </w:rPr>
        <w:instrText xml:space="preserve"> </w:instrText>
      </w:r>
      <w:r>
        <w:rPr>
          <w:color w:val="000000"/>
          <w:lang/>
        </w:rPr>
        <w:fldChar w:fldCharType="separate"/>
      </w:r>
      <w:r>
        <w:rPr>
          <w:rStyle w:val="42"/>
          <w:color w:val="000000"/>
          <w:lang/>
        </w:rPr>
        <w:t>3.3</w:t>
      </w:r>
      <w:r>
        <w:rPr>
          <w:rStyle w:val="42"/>
          <w:rFonts w:hint="eastAsia"/>
          <w:color w:val="000000"/>
          <w:lang/>
        </w:rPr>
        <w:t>物料平衡分析</w:t>
      </w:r>
      <w:r>
        <w:rPr>
          <w:color w:val="000000"/>
          <w:lang/>
        </w:rPr>
        <w:tab/>
      </w:r>
      <w:r>
        <w:rPr>
          <w:color w:val="000000"/>
          <w:lang/>
        </w:rPr>
        <w:fldChar w:fldCharType="begin"/>
      </w:r>
      <w:r>
        <w:rPr>
          <w:color w:val="000000"/>
          <w:lang/>
        </w:rPr>
        <w:instrText xml:space="preserve"> PAGEREF _Toc23000904 \h </w:instrText>
      </w:r>
      <w:r>
        <w:rPr>
          <w:color w:val="000000"/>
          <w:lang/>
        </w:rPr>
        <w:fldChar w:fldCharType="separate"/>
      </w:r>
      <w:r>
        <w:rPr>
          <w:color w:val="000000"/>
          <w:lang/>
        </w:rPr>
        <w:t>92</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"_Toc23000905"</w:instrText>
      </w:r>
      <w:r>
        <w:rPr>
          <w:rStyle w:val="42"/>
          <w:color w:val="000000"/>
          <w:lang/>
        </w:rPr>
        <w:instrText xml:space="preserve"> </w:instrText>
      </w:r>
      <w:r>
        <w:rPr>
          <w:color w:val="000000"/>
          <w:lang/>
        </w:rPr>
        <w:fldChar w:fldCharType="separate"/>
      </w:r>
      <w:r>
        <w:rPr>
          <w:rStyle w:val="42"/>
          <w:color w:val="000000"/>
          <w:lang/>
        </w:rPr>
        <w:t>3.4</w:t>
      </w:r>
      <w:r>
        <w:rPr>
          <w:rStyle w:val="42"/>
          <w:rFonts w:hint="eastAsia"/>
          <w:color w:val="000000"/>
          <w:lang/>
        </w:rPr>
        <w:t>审核重点物料流失原因分析</w:t>
      </w:r>
      <w:r>
        <w:rPr>
          <w:color w:val="000000"/>
          <w:lang/>
        </w:rPr>
        <w:tab/>
      </w:r>
      <w:r>
        <w:rPr>
          <w:color w:val="000000"/>
          <w:lang/>
        </w:rPr>
        <w:fldChar w:fldCharType="begin"/>
      </w:r>
      <w:r>
        <w:rPr>
          <w:color w:val="000000"/>
          <w:lang/>
        </w:rPr>
        <w:instrText xml:space="preserve"> PAGEREF _Toc23000905 \h </w:instrText>
      </w:r>
      <w:r>
        <w:rPr>
          <w:color w:val="000000"/>
          <w:lang/>
        </w:rPr>
        <w:fldChar w:fldCharType="separate"/>
      </w:r>
      <w:r>
        <w:rPr>
          <w:color w:val="000000"/>
          <w:lang/>
        </w:rPr>
        <w:t>93</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"_Toc23000906"</w:instrText>
      </w:r>
      <w:r>
        <w:rPr>
          <w:rStyle w:val="42"/>
          <w:color w:val="000000"/>
          <w:lang/>
        </w:rPr>
        <w:instrText xml:space="preserve"> </w:instrText>
      </w:r>
      <w:r>
        <w:rPr>
          <w:color w:val="000000"/>
          <w:lang/>
        </w:rPr>
        <w:fldChar w:fldCharType="separate"/>
      </w:r>
      <w:r>
        <w:rPr>
          <w:rStyle w:val="42"/>
          <w:rFonts w:ascii="宋体" w:hAnsi="宋体"/>
          <w:color w:val="000000"/>
          <w:lang w:val="zh-CN"/>
        </w:rPr>
        <w:t>3.</w:t>
      </w:r>
      <w:r>
        <w:rPr>
          <w:rStyle w:val="42"/>
          <w:rFonts w:ascii="宋体" w:hAnsi="宋体"/>
          <w:color w:val="000000"/>
          <w:lang/>
        </w:rPr>
        <w:t>5</w:t>
      </w:r>
      <w:r>
        <w:rPr>
          <w:rStyle w:val="42"/>
          <w:rFonts w:hint="eastAsia" w:ascii="宋体" w:hAnsi="宋体"/>
          <w:color w:val="000000"/>
          <w:lang w:val="zh-CN"/>
        </w:rPr>
        <w:t>继续提出和实施无</w:t>
      </w:r>
      <w:r>
        <w:rPr>
          <w:rStyle w:val="42"/>
          <w:rFonts w:ascii="宋体" w:hAnsi="宋体"/>
          <w:color w:val="000000"/>
          <w:lang w:val="zh-CN"/>
        </w:rPr>
        <w:t>/</w:t>
      </w:r>
      <w:r>
        <w:rPr>
          <w:rStyle w:val="42"/>
          <w:rFonts w:hint="eastAsia" w:ascii="宋体" w:hAnsi="宋体"/>
          <w:color w:val="000000"/>
          <w:lang w:val="zh-CN"/>
        </w:rPr>
        <w:t>低费方案</w:t>
      </w:r>
      <w:r>
        <w:rPr>
          <w:color w:val="000000"/>
          <w:lang/>
        </w:rPr>
        <w:tab/>
      </w:r>
      <w:r>
        <w:rPr>
          <w:color w:val="000000"/>
          <w:lang/>
        </w:rPr>
        <w:fldChar w:fldCharType="begin"/>
      </w:r>
      <w:r>
        <w:rPr>
          <w:color w:val="000000"/>
          <w:lang/>
        </w:rPr>
        <w:instrText xml:space="preserve"> PAGEREF _Toc23000906 \h </w:instrText>
      </w:r>
      <w:r>
        <w:rPr>
          <w:color w:val="000000"/>
          <w:lang/>
        </w:rPr>
        <w:fldChar w:fldCharType="separate"/>
      </w:r>
      <w:r>
        <w:rPr>
          <w:color w:val="000000"/>
          <w:lang/>
        </w:rPr>
        <w:t>94</w:t>
      </w:r>
      <w:r>
        <w:rPr>
          <w:color w:val="000000"/>
          <w:lang/>
        </w:rPr>
        <w:fldChar w:fldCharType="end"/>
      </w:r>
      <w:r>
        <w:rPr>
          <w:color w:val="000000"/>
          <w:lang/>
        </w:rPr>
        <w:fldChar w:fldCharType="end"/>
      </w:r>
    </w:p>
    <w:p>
      <w:pPr>
        <w:pStyle w:val="23"/>
        <w:ind w:firstLine="0" w:firstLineChars="0"/>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"_Toc23000907"</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第</w:t>
      </w:r>
      <w:r>
        <w:rPr>
          <w:rStyle w:val="42"/>
          <w:rFonts w:ascii="宋体" w:hAnsi="宋体"/>
          <w:color w:val="000000"/>
          <w:lang/>
        </w:rPr>
        <w:t>4</w:t>
      </w:r>
      <w:r>
        <w:rPr>
          <w:rStyle w:val="42"/>
          <w:rFonts w:hint="eastAsia" w:ascii="宋体" w:hAnsi="宋体"/>
          <w:color w:val="000000"/>
          <w:lang/>
        </w:rPr>
        <w:t>章</w:t>
      </w:r>
      <w:r>
        <w:rPr>
          <w:rStyle w:val="42"/>
          <w:rFonts w:ascii="宋体" w:hAnsi="宋体"/>
          <w:color w:val="000000"/>
          <w:lang/>
        </w:rPr>
        <w:t xml:space="preserve">  </w:t>
      </w:r>
      <w:r>
        <w:rPr>
          <w:rStyle w:val="42"/>
          <w:rFonts w:hint="eastAsia" w:ascii="宋体" w:hAnsi="宋体"/>
          <w:color w:val="000000"/>
          <w:lang/>
        </w:rPr>
        <w:t>方案的产生和筛选</w:t>
      </w:r>
      <w:r>
        <w:rPr>
          <w:color w:val="000000"/>
          <w:lang/>
        </w:rPr>
        <w:tab/>
      </w:r>
      <w:r>
        <w:rPr>
          <w:color w:val="000000"/>
          <w:lang/>
        </w:rPr>
        <w:fldChar w:fldCharType="begin"/>
      </w:r>
      <w:r>
        <w:rPr>
          <w:color w:val="000000"/>
          <w:lang/>
        </w:rPr>
        <w:instrText xml:space="preserve"> PAGEREF _Toc23000907 \h </w:instrText>
      </w:r>
      <w:r>
        <w:rPr>
          <w:color w:val="000000"/>
          <w:lang/>
        </w:rPr>
        <w:fldChar w:fldCharType="separate"/>
      </w:r>
      <w:r>
        <w:rPr>
          <w:color w:val="000000"/>
          <w:lang/>
        </w:rPr>
        <w:t>96</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"_Toc23000908"</w:instrText>
      </w:r>
      <w:r>
        <w:rPr>
          <w:rStyle w:val="42"/>
          <w:color w:val="000000"/>
          <w:lang/>
        </w:rPr>
        <w:instrText xml:space="preserve"> </w:instrText>
      </w:r>
      <w:r>
        <w:rPr>
          <w:color w:val="000000"/>
          <w:lang/>
        </w:rPr>
        <w:fldChar w:fldCharType="separate"/>
      </w:r>
      <w:r>
        <w:rPr>
          <w:rStyle w:val="42"/>
          <w:rFonts w:ascii="宋体" w:hAnsi="宋体"/>
          <w:color w:val="000000"/>
          <w:lang w:val="zh-CN"/>
        </w:rPr>
        <w:t xml:space="preserve">4.1  </w:t>
      </w:r>
      <w:r>
        <w:rPr>
          <w:rStyle w:val="42"/>
          <w:rFonts w:hint="eastAsia" w:ascii="宋体" w:hAnsi="宋体"/>
          <w:color w:val="000000"/>
          <w:lang w:val="zh-CN"/>
        </w:rPr>
        <w:t>方案的汇总</w:t>
      </w:r>
      <w:r>
        <w:rPr>
          <w:color w:val="000000"/>
          <w:lang/>
        </w:rPr>
        <w:tab/>
      </w:r>
      <w:r>
        <w:rPr>
          <w:color w:val="000000"/>
          <w:lang/>
        </w:rPr>
        <w:fldChar w:fldCharType="begin"/>
      </w:r>
      <w:r>
        <w:rPr>
          <w:color w:val="000000"/>
          <w:lang/>
        </w:rPr>
        <w:instrText xml:space="preserve"> PAGEREF _Toc23000908 \h </w:instrText>
      </w:r>
      <w:r>
        <w:rPr>
          <w:color w:val="000000"/>
          <w:lang/>
        </w:rPr>
        <w:fldChar w:fldCharType="separate"/>
      </w:r>
      <w:r>
        <w:rPr>
          <w:color w:val="000000"/>
          <w:lang/>
        </w:rPr>
        <w:t>96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"_Toc23000909"</w:instrText>
      </w:r>
      <w:r>
        <w:rPr>
          <w:rStyle w:val="42"/>
          <w:color w:val="000000"/>
          <w:lang/>
        </w:rPr>
        <w:instrText xml:space="preserve"> </w:instrText>
      </w:r>
      <w:r>
        <w:rPr>
          <w:color w:val="000000"/>
          <w:lang/>
        </w:rPr>
        <w:fldChar w:fldCharType="separate"/>
      </w:r>
      <w:r>
        <w:rPr>
          <w:rStyle w:val="42"/>
          <w:rFonts w:ascii="宋体" w:hAnsi="宋体"/>
          <w:color w:val="000000"/>
          <w:lang/>
        </w:rPr>
        <w:t>4.1.1</w:t>
      </w:r>
      <w:r>
        <w:rPr>
          <w:rStyle w:val="42"/>
          <w:rFonts w:hint="eastAsia" w:ascii="宋体" w:hAnsi="宋体"/>
          <w:color w:val="000000"/>
          <w:lang/>
        </w:rPr>
        <w:t>方案的分类汇总</w:t>
      </w:r>
      <w:r>
        <w:rPr>
          <w:color w:val="000000"/>
          <w:lang/>
        </w:rPr>
        <w:tab/>
      </w:r>
      <w:r>
        <w:rPr>
          <w:color w:val="000000"/>
          <w:lang/>
        </w:rPr>
        <w:fldChar w:fldCharType="begin"/>
      </w:r>
      <w:r>
        <w:rPr>
          <w:color w:val="000000"/>
          <w:lang/>
        </w:rPr>
        <w:instrText xml:space="preserve"> PAGEREF _Toc23000909 \h </w:instrText>
      </w:r>
      <w:r>
        <w:rPr>
          <w:color w:val="000000"/>
          <w:lang/>
        </w:rPr>
        <w:fldChar w:fldCharType="separate"/>
      </w:r>
      <w:r>
        <w:rPr>
          <w:color w:val="000000"/>
          <w:lang/>
        </w:rPr>
        <w:t>96</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"_Toc23000910"</w:instrText>
      </w:r>
      <w:r>
        <w:rPr>
          <w:rStyle w:val="42"/>
          <w:color w:val="000000"/>
          <w:lang/>
        </w:rPr>
        <w:instrText xml:space="preserve"> </w:instrText>
      </w:r>
      <w:r>
        <w:rPr>
          <w:color w:val="000000"/>
          <w:lang/>
        </w:rPr>
        <w:fldChar w:fldCharType="separate"/>
      </w:r>
      <w:r>
        <w:rPr>
          <w:rStyle w:val="42"/>
          <w:rFonts w:ascii="宋体" w:hAnsi="宋体"/>
          <w:color w:val="000000"/>
          <w:lang w:val="zh-CN"/>
        </w:rPr>
        <w:t>4.2</w:t>
      </w:r>
      <w:r>
        <w:rPr>
          <w:rStyle w:val="42"/>
          <w:rFonts w:hint="eastAsia" w:ascii="宋体" w:hAnsi="宋体"/>
          <w:color w:val="000000"/>
          <w:lang w:val="zh-CN"/>
        </w:rPr>
        <w:t>方案的筛选</w:t>
      </w:r>
      <w:r>
        <w:rPr>
          <w:color w:val="000000"/>
          <w:lang/>
        </w:rPr>
        <w:tab/>
      </w:r>
      <w:r>
        <w:rPr>
          <w:color w:val="000000"/>
          <w:lang/>
        </w:rPr>
        <w:fldChar w:fldCharType="begin"/>
      </w:r>
      <w:r>
        <w:rPr>
          <w:color w:val="000000"/>
          <w:lang/>
        </w:rPr>
        <w:instrText xml:space="preserve"> PAGEREF _Toc23000910 \h </w:instrText>
      </w:r>
      <w:r>
        <w:rPr>
          <w:color w:val="000000"/>
          <w:lang/>
        </w:rPr>
        <w:fldChar w:fldCharType="separate"/>
      </w:r>
      <w:r>
        <w:rPr>
          <w:color w:val="000000"/>
          <w:lang/>
        </w:rPr>
        <w:t>100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"_Toc23000911"</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4.2.1 </w:t>
      </w:r>
      <w:r>
        <w:rPr>
          <w:rStyle w:val="42"/>
          <w:rFonts w:hint="eastAsia" w:ascii="宋体" w:hAnsi="宋体"/>
          <w:color w:val="000000"/>
          <w:lang/>
        </w:rPr>
        <w:t>方案的简易筛选</w:t>
      </w:r>
      <w:r>
        <w:rPr>
          <w:color w:val="000000"/>
          <w:lang/>
        </w:rPr>
        <w:tab/>
      </w:r>
      <w:r>
        <w:rPr>
          <w:color w:val="000000"/>
          <w:lang/>
        </w:rPr>
        <w:fldChar w:fldCharType="begin"/>
      </w:r>
      <w:r>
        <w:rPr>
          <w:color w:val="000000"/>
          <w:lang/>
        </w:rPr>
        <w:instrText xml:space="preserve"> PAGEREF _Toc23000911 \h </w:instrText>
      </w:r>
      <w:r>
        <w:rPr>
          <w:color w:val="000000"/>
          <w:lang/>
        </w:rPr>
        <w:fldChar w:fldCharType="separate"/>
      </w:r>
      <w:r>
        <w:rPr>
          <w:color w:val="000000"/>
          <w:lang/>
        </w:rPr>
        <w:t>100</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"_Toc23000912"</w:instrText>
      </w:r>
      <w:r>
        <w:rPr>
          <w:rStyle w:val="42"/>
          <w:color w:val="000000"/>
          <w:lang/>
        </w:rPr>
        <w:instrText xml:space="preserve"> </w:instrText>
      </w:r>
      <w:r>
        <w:rPr>
          <w:color w:val="000000"/>
          <w:lang/>
        </w:rPr>
        <w:fldChar w:fldCharType="separate"/>
      </w:r>
      <w:r>
        <w:rPr>
          <w:rStyle w:val="42"/>
          <w:color w:val="000000"/>
          <w:lang/>
        </w:rPr>
        <w:t xml:space="preserve">4.2.2 </w:t>
      </w:r>
      <w:r>
        <w:rPr>
          <w:rStyle w:val="42"/>
          <w:rFonts w:hint="eastAsia"/>
          <w:color w:val="000000"/>
          <w:lang/>
        </w:rPr>
        <w:t>中</w:t>
      </w:r>
      <w:r>
        <w:rPr>
          <w:rStyle w:val="42"/>
          <w:color w:val="000000"/>
          <w:lang/>
        </w:rPr>
        <w:t>/</w:t>
      </w:r>
      <w:r>
        <w:rPr>
          <w:rStyle w:val="42"/>
          <w:rFonts w:hint="eastAsia"/>
          <w:color w:val="000000"/>
          <w:lang/>
        </w:rPr>
        <w:t>高费方案筛选</w:t>
      </w:r>
      <w:r>
        <w:rPr>
          <w:color w:val="000000"/>
          <w:lang/>
        </w:rPr>
        <w:tab/>
      </w:r>
      <w:r>
        <w:rPr>
          <w:color w:val="000000"/>
          <w:lang/>
        </w:rPr>
        <w:fldChar w:fldCharType="begin"/>
      </w:r>
      <w:r>
        <w:rPr>
          <w:color w:val="000000"/>
          <w:lang/>
        </w:rPr>
        <w:instrText xml:space="preserve"> PAGEREF _Toc23000912 \h </w:instrText>
      </w:r>
      <w:r>
        <w:rPr>
          <w:color w:val="000000"/>
          <w:lang/>
        </w:rPr>
        <w:fldChar w:fldCharType="separate"/>
      </w:r>
      <w:r>
        <w:rPr>
          <w:color w:val="000000"/>
          <w:lang/>
        </w:rPr>
        <w:t>101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"_Toc23000913"</w:instrText>
      </w:r>
      <w:r>
        <w:rPr>
          <w:rStyle w:val="42"/>
          <w:color w:val="000000"/>
          <w:lang/>
        </w:rPr>
        <w:instrText xml:space="preserve"> </w:instrText>
      </w:r>
      <w:r>
        <w:rPr>
          <w:color w:val="000000"/>
          <w:lang/>
        </w:rPr>
        <w:fldChar w:fldCharType="separate"/>
      </w:r>
      <w:r>
        <w:rPr>
          <w:rStyle w:val="42"/>
          <w:color w:val="000000"/>
          <w:lang/>
        </w:rPr>
        <w:t xml:space="preserve">4.3 </w:t>
      </w:r>
      <w:r>
        <w:rPr>
          <w:rStyle w:val="42"/>
          <w:rFonts w:hint="eastAsia"/>
          <w:color w:val="000000"/>
          <w:lang/>
        </w:rPr>
        <w:t>方案的研制</w:t>
      </w:r>
      <w:r>
        <w:rPr>
          <w:color w:val="000000"/>
          <w:lang/>
        </w:rPr>
        <w:tab/>
      </w:r>
      <w:r>
        <w:rPr>
          <w:color w:val="000000"/>
          <w:lang/>
        </w:rPr>
        <w:fldChar w:fldCharType="begin"/>
      </w:r>
      <w:r>
        <w:rPr>
          <w:color w:val="000000"/>
          <w:lang/>
        </w:rPr>
        <w:instrText xml:space="preserve"> PAGEREF _Toc23000913 \h </w:instrText>
      </w:r>
      <w:r>
        <w:rPr>
          <w:color w:val="000000"/>
          <w:lang/>
        </w:rPr>
        <w:fldChar w:fldCharType="separate"/>
      </w:r>
      <w:r>
        <w:rPr>
          <w:color w:val="000000"/>
          <w:lang/>
        </w:rPr>
        <w:t>102</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"_Toc23000914"</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4.4  </w:t>
      </w:r>
      <w:r>
        <w:rPr>
          <w:rStyle w:val="42"/>
          <w:rFonts w:hint="eastAsia" w:ascii="宋体" w:hAnsi="宋体"/>
          <w:color w:val="000000"/>
          <w:lang/>
        </w:rPr>
        <w:t>继续实施无</w:t>
      </w:r>
      <w:r>
        <w:rPr>
          <w:rStyle w:val="42"/>
          <w:rFonts w:ascii="宋体" w:hAnsi="宋体"/>
          <w:color w:val="000000"/>
          <w:lang/>
        </w:rPr>
        <w:t>/</w:t>
      </w:r>
      <w:r>
        <w:rPr>
          <w:rStyle w:val="42"/>
          <w:rFonts w:hint="eastAsia" w:ascii="宋体" w:hAnsi="宋体"/>
          <w:color w:val="000000"/>
          <w:lang/>
        </w:rPr>
        <w:t>低费清洁生产方案</w:t>
      </w:r>
      <w:r>
        <w:rPr>
          <w:color w:val="000000"/>
          <w:lang/>
        </w:rPr>
        <w:tab/>
      </w:r>
      <w:r>
        <w:rPr>
          <w:color w:val="000000"/>
          <w:lang/>
        </w:rPr>
        <w:fldChar w:fldCharType="begin"/>
      </w:r>
      <w:r>
        <w:rPr>
          <w:color w:val="000000"/>
          <w:lang/>
        </w:rPr>
        <w:instrText xml:space="preserve"> PAGEREF _Toc23000914 \h </w:instrText>
      </w:r>
      <w:r>
        <w:rPr>
          <w:color w:val="000000"/>
          <w:lang/>
        </w:rPr>
        <w:fldChar w:fldCharType="separate"/>
      </w:r>
      <w:r>
        <w:rPr>
          <w:color w:val="000000"/>
          <w:lang/>
        </w:rPr>
        <w:t>103</w:t>
      </w:r>
      <w:r>
        <w:rPr>
          <w:color w:val="000000"/>
          <w:lang/>
        </w:rPr>
        <w:fldChar w:fldCharType="end"/>
      </w:r>
      <w:r>
        <w:rPr>
          <w:color w:val="000000"/>
          <w:lang/>
        </w:rPr>
        <w:fldChar w:fldCharType="end"/>
      </w:r>
    </w:p>
    <w:p>
      <w:pPr>
        <w:pStyle w:val="23"/>
        <w:ind w:firstLine="0" w:firstLineChars="0"/>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"_Toc23000915"</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第</w:t>
      </w:r>
      <w:r>
        <w:rPr>
          <w:rStyle w:val="42"/>
          <w:rFonts w:ascii="宋体" w:hAnsi="宋体"/>
          <w:color w:val="000000"/>
          <w:lang/>
        </w:rPr>
        <w:t>5</w:t>
      </w:r>
      <w:r>
        <w:rPr>
          <w:rStyle w:val="42"/>
          <w:rFonts w:hint="eastAsia" w:ascii="宋体" w:hAnsi="宋体"/>
          <w:color w:val="000000"/>
          <w:lang/>
        </w:rPr>
        <w:t>章</w:t>
      </w:r>
      <w:r>
        <w:rPr>
          <w:rStyle w:val="42"/>
          <w:rFonts w:ascii="宋体" w:hAnsi="宋体"/>
          <w:color w:val="000000"/>
          <w:lang/>
        </w:rPr>
        <w:t xml:space="preserve"> </w:t>
      </w:r>
      <w:r>
        <w:rPr>
          <w:rStyle w:val="42"/>
          <w:rFonts w:hint="eastAsia" w:ascii="宋体" w:hAnsi="宋体"/>
          <w:color w:val="000000"/>
          <w:lang/>
        </w:rPr>
        <w:t>可行性分析</w:t>
      </w:r>
      <w:r>
        <w:rPr>
          <w:color w:val="000000"/>
          <w:lang/>
        </w:rPr>
        <w:tab/>
      </w:r>
      <w:r>
        <w:rPr>
          <w:color w:val="000000"/>
          <w:lang/>
        </w:rPr>
        <w:fldChar w:fldCharType="begin"/>
      </w:r>
      <w:r>
        <w:rPr>
          <w:color w:val="000000"/>
          <w:lang/>
        </w:rPr>
        <w:instrText xml:space="preserve"> PAGEREF _Toc23000915 \h </w:instrText>
      </w:r>
      <w:r>
        <w:rPr>
          <w:color w:val="000000"/>
          <w:lang/>
        </w:rPr>
        <w:fldChar w:fldCharType="separate"/>
      </w:r>
      <w:r>
        <w:rPr>
          <w:color w:val="000000"/>
          <w:lang/>
        </w:rPr>
        <w:t>104</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"_Toc23000916"</w:instrText>
      </w:r>
      <w:r>
        <w:rPr>
          <w:rStyle w:val="42"/>
          <w:color w:val="000000"/>
          <w:lang/>
        </w:rPr>
        <w:instrText xml:space="preserve"> </w:instrText>
      </w:r>
      <w:r>
        <w:rPr>
          <w:color w:val="000000"/>
          <w:lang/>
        </w:rPr>
        <w:fldChar w:fldCharType="separate"/>
      </w:r>
      <w:r>
        <w:rPr>
          <w:rStyle w:val="42"/>
          <w:color w:val="000000"/>
          <w:lang/>
        </w:rPr>
        <w:t xml:space="preserve">5.1 </w:t>
      </w:r>
      <w:r>
        <w:rPr>
          <w:rStyle w:val="42"/>
          <w:rFonts w:hint="eastAsia"/>
          <w:color w:val="000000"/>
          <w:lang/>
        </w:rPr>
        <w:t>方案的技术分析</w:t>
      </w:r>
      <w:r>
        <w:rPr>
          <w:color w:val="000000"/>
          <w:lang/>
        </w:rPr>
        <w:tab/>
      </w:r>
      <w:r>
        <w:rPr>
          <w:color w:val="000000"/>
          <w:lang/>
        </w:rPr>
        <w:fldChar w:fldCharType="begin"/>
      </w:r>
      <w:r>
        <w:rPr>
          <w:color w:val="000000"/>
          <w:lang/>
        </w:rPr>
        <w:instrText xml:space="preserve"> PAGEREF _Toc23000916 \h </w:instrText>
      </w:r>
      <w:r>
        <w:rPr>
          <w:color w:val="000000"/>
          <w:lang/>
        </w:rPr>
        <w:fldChar w:fldCharType="separate"/>
      </w:r>
      <w:r>
        <w:rPr>
          <w:color w:val="000000"/>
          <w:lang/>
        </w:rPr>
        <w:t>104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"_Toc23000917"</w:instrText>
      </w:r>
      <w:r>
        <w:rPr>
          <w:rStyle w:val="42"/>
          <w:color w:val="000000"/>
          <w:lang/>
        </w:rPr>
        <w:instrText xml:space="preserve"> </w:instrText>
      </w:r>
      <w:r>
        <w:rPr>
          <w:color w:val="000000"/>
          <w:lang/>
        </w:rPr>
        <w:fldChar w:fldCharType="separate"/>
      </w:r>
      <w:r>
        <w:rPr>
          <w:rStyle w:val="42"/>
          <w:color w:val="000000"/>
          <w:lang/>
        </w:rPr>
        <w:t xml:space="preserve">5.1.1 </w:t>
      </w:r>
      <w:r>
        <w:rPr>
          <w:rStyle w:val="42"/>
          <w:rFonts w:hint="eastAsia"/>
          <w:color w:val="000000"/>
          <w:lang/>
        </w:rPr>
        <w:t>方案</w:t>
      </w:r>
      <w:r>
        <w:rPr>
          <w:rStyle w:val="42"/>
          <w:color w:val="000000"/>
          <w:lang/>
        </w:rPr>
        <w:t>F24</w:t>
      </w:r>
      <w:r>
        <w:rPr>
          <w:rStyle w:val="42"/>
          <w:rFonts w:hint="eastAsia"/>
          <w:color w:val="000000"/>
          <w:lang/>
        </w:rPr>
        <w:t>完善选矿厂雨污分流系统技术分析</w:t>
      </w:r>
      <w:r>
        <w:rPr>
          <w:color w:val="000000"/>
          <w:lang/>
        </w:rPr>
        <w:tab/>
      </w:r>
      <w:r>
        <w:rPr>
          <w:color w:val="000000"/>
          <w:lang/>
        </w:rPr>
        <w:fldChar w:fldCharType="begin"/>
      </w:r>
      <w:r>
        <w:rPr>
          <w:color w:val="000000"/>
          <w:lang/>
        </w:rPr>
        <w:instrText xml:space="preserve"> PAGEREF _Toc23000917 \h </w:instrText>
      </w:r>
      <w:r>
        <w:rPr>
          <w:color w:val="000000"/>
          <w:lang/>
        </w:rPr>
        <w:fldChar w:fldCharType="separate"/>
      </w:r>
      <w:r>
        <w:rPr>
          <w:color w:val="000000"/>
          <w:lang/>
        </w:rPr>
        <w:t>104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"_Toc23000918"</w:instrText>
      </w:r>
      <w:r>
        <w:rPr>
          <w:rStyle w:val="42"/>
          <w:color w:val="000000"/>
          <w:lang/>
        </w:rPr>
        <w:instrText xml:space="preserve"> </w:instrText>
      </w:r>
      <w:r>
        <w:rPr>
          <w:color w:val="000000"/>
          <w:lang/>
        </w:rPr>
        <w:fldChar w:fldCharType="separate"/>
      </w:r>
      <w:r>
        <w:rPr>
          <w:rStyle w:val="42"/>
          <w:color w:val="000000"/>
          <w:lang/>
        </w:rPr>
        <w:t>5.1.2</w:t>
      </w:r>
      <w:r>
        <w:rPr>
          <w:rStyle w:val="42"/>
          <w:rFonts w:hint="eastAsia"/>
          <w:color w:val="000000"/>
          <w:lang/>
        </w:rPr>
        <w:t>方案</w:t>
      </w:r>
      <w:r>
        <w:rPr>
          <w:rStyle w:val="42"/>
          <w:color w:val="000000"/>
          <w:lang/>
        </w:rPr>
        <w:t>F25</w:t>
      </w:r>
      <w:r>
        <w:rPr>
          <w:rStyle w:val="42"/>
          <w:rFonts w:hint="eastAsia"/>
          <w:color w:val="000000"/>
          <w:lang/>
        </w:rPr>
        <w:t>精矿库维护改造技术分析</w:t>
      </w:r>
      <w:r>
        <w:rPr>
          <w:color w:val="000000"/>
          <w:lang/>
        </w:rPr>
        <w:tab/>
      </w:r>
      <w:r>
        <w:rPr>
          <w:color w:val="000000"/>
          <w:lang/>
        </w:rPr>
        <w:fldChar w:fldCharType="begin"/>
      </w:r>
      <w:r>
        <w:rPr>
          <w:color w:val="000000"/>
          <w:lang/>
        </w:rPr>
        <w:instrText xml:space="preserve"> PAGEREF _Toc23000918 \h </w:instrText>
      </w:r>
      <w:r>
        <w:rPr>
          <w:color w:val="000000"/>
          <w:lang/>
        </w:rPr>
        <w:fldChar w:fldCharType="separate"/>
      </w:r>
      <w:r>
        <w:rPr>
          <w:color w:val="000000"/>
          <w:lang/>
        </w:rPr>
        <w:t>107</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"_Toc23000919"</w:instrText>
      </w:r>
      <w:r>
        <w:rPr>
          <w:rStyle w:val="42"/>
          <w:color w:val="000000"/>
          <w:lang/>
        </w:rPr>
        <w:instrText xml:space="preserve"> </w:instrText>
      </w:r>
      <w:r>
        <w:rPr>
          <w:color w:val="000000"/>
          <w:lang/>
        </w:rPr>
        <w:fldChar w:fldCharType="separate"/>
      </w:r>
      <w:r>
        <w:rPr>
          <w:rStyle w:val="42"/>
          <w:color w:val="000000"/>
          <w:lang/>
        </w:rPr>
        <w:t xml:space="preserve">5.2  </w:t>
      </w:r>
      <w:r>
        <w:rPr>
          <w:rStyle w:val="42"/>
          <w:rFonts w:hint="eastAsia"/>
          <w:color w:val="000000"/>
          <w:lang/>
        </w:rPr>
        <w:t>对方案进行环境分析</w:t>
      </w:r>
      <w:r>
        <w:rPr>
          <w:color w:val="000000"/>
          <w:lang/>
        </w:rPr>
        <w:tab/>
      </w:r>
      <w:r>
        <w:rPr>
          <w:color w:val="000000"/>
          <w:lang/>
        </w:rPr>
        <w:fldChar w:fldCharType="begin"/>
      </w:r>
      <w:r>
        <w:rPr>
          <w:color w:val="000000"/>
          <w:lang/>
        </w:rPr>
        <w:instrText xml:space="preserve"> PAGEREF _Toc23000919 \h </w:instrText>
      </w:r>
      <w:r>
        <w:rPr>
          <w:color w:val="000000"/>
          <w:lang/>
        </w:rPr>
        <w:fldChar w:fldCharType="separate"/>
      </w:r>
      <w:r>
        <w:rPr>
          <w:color w:val="000000"/>
          <w:lang/>
        </w:rPr>
        <w:t>107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"_Toc23000920"</w:instrText>
      </w:r>
      <w:r>
        <w:rPr>
          <w:rStyle w:val="42"/>
          <w:color w:val="000000"/>
          <w:lang/>
        </w:rPr>
        <w:instrText xml:space="preserve"> </w:instrText>
      </w:r>
      <w:r>
        <w:rPr>
          <w:color w:val="000000"/>
          <w:lang/>
        </w:rPr>
        <w:fldChar w:fldCharType="separate"/>
      </w:r>
      <w:r>
        <w:rPr>
          <w:rStyle w:val="42"/>
          <w:color w:val="000000"/>
          <w:lang/>
        </w:rPr>
        <w:t xml:space="preserve">5.2.1 </w:t>
      </w:r>
      <w:r>
        <w:rPr>
          <w:rStyle w:val="42"/>
          <w:rFonts w:hint="eastAsia"/>
          <w:color w:val="000000"/>
          <w:lang/>
        </w:rPr>
        <w:t>方案</w:t>
      </w:r>
      <w:r>
        <w:rPr>
          <w:rStyle w:val="42"/>
          <w:color w:val="000000"/>
          <w:lang/>
        </w:rPr>
        <w:t>F24</w:t>
      </w:r>
      <w:r>
        <w:rPr>
          <w:rStyle w:val="42"/>
          <w:rFonts w:hint="eastAsia"/>
          <w:color w:val="000000"/>
          <w:lang/>
        </w:rPr>
        <w:t>完善选矿厂雨污分流系统环境分析</w:t>
      </w:r>
      <w:r>
        <w:rPr>
          <w:color w:val="000000"/>
          <w:lang/>
        </w:rPr>
        <w:tab/>
      </w:r>
      <w:r>
        <w:rPr>
          <w:color w:val="000000"/>
          <w:lang/>
        </w:rPr>
        <w:fldChar w:fldCharType="begin"/>
      </w:r>
      <w:r>
        <w:rPr>
          <w:color w:val="000000"/>
          <w:lang/>
        </w:rPr>
        <w:instrText xml:space="preserve"> PAGEREF _Toc23000920 \h </w:instrText>
      </w:r>
      <w:r>
        <w:rPr>
          <w:color w:val="000000"/>
          <w:lang/>
        </w:rPr>
        <w:fldChar w:fldCharType="separate"/>
      </w:r>
      <w:r>
        <w:rPr>
          <w:color w:val="000000"/>
          <w:lang/>
        </w:rPr>
        <w:t>107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"_Toc23000921"</w:instrText>
      </w:r>
      <w:r>
        <w:rPr>
          <w:rStyle w:val="42"/>
          <w:color w:val="000000"/>
          <w:lang/>
        </w:rPr>
        <w:instrText xml:space="preserve"> </w:instrText>
      </w:r>
      <w:r>
        <w:rPr>
          <w:color w:val="000000"/>
          <w:lang/>
        </w:rPr>
        <w:fldChar w:fldCharType="separate"/>
      </w:r>
      <w:r>
        <w:rPr>
          <w:rStyle w:val="42"/>
          <w:color w:val="000000"/>
          <w:lang/>
        </w:rPr>
        <w:t>5.2.2</w:t>
      </w:r>
      <w:r>
        <w:rPr>
          <w:rStyle w:val="42"/>
          <w:rFonts w:hint="eastAsia"/>
          <w:color w:val="000000"/>
          <w:lang/>
        </w:rPr>
        <w:t>方案</w:t>
      </w:r>
      <w:r>
        <w:rPr>
          <w:rStyle w:val="42"/>
          <w:color w:val="000000"/>
          <w:lang/>
        </w:rPr>
        <w:t>F25</w:t>
      </w:r>
      <w:r>
        <w:rPr>
          <w:rStyle w:val="42"/>
          <w:rFonts w:hint="eastAsia"/>
          <w:color w:val="000000"/>
          <w:lang/>
        </w:rPr>
        <w:t>精矿库维护改造环境分析</w:t>
      </w:r>
      <w:r>
        <w:rPr>
          <w:color w:val="000000"/>
          <w:lang/>
        </w:rPr>
        <w:tab/>
      </w:r>
      <w:r>
        <w:rPr>
          <w:color w:val="000000"/>
          <w:lang/>
        </w:rPr>
        <w:fldChar w:fldCharType="begin"/>
      </w:r>
      <w:r>
        <w:rPr>
          <w:color w:val="000000"/>
          <w:lang/>
        </w:rPr>
        <w:instrText xml:space="preserve"> PAGEREF _Toc23000921 \h </w:instrText>
      </w:r>
      <w:r>
        <w:rPr>
          <w:color w:val="000000"/>
          <w:lang/>
        </w:rPr>
        <w:fldChar w:fldCharType="separate"/>
      </w:r>
      <w:r>
        <w:rPr>
          <w:color w:val="000000"/>
          <w:lang/>
        </w:rPr>
        <w:t>107</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"_Toc23000922"</w:instrText>
      </w:r>
      <w:r>
        <w:rPr>
          <w:rStyle w:val="42"/>
          <w:color w:val="000000"/>
          <w:lang/>
        </w:rPr>
        <w:instrText xml:space="preserve"> </w:instrText>
      </w:r>
      <w:r>
        <w:rPr>
          <w:color w:val="000000"/>
          <w:lang/>
        </w:rPr>
        <w:fldChar w:fldCharType="separate"/>
      </w:r>
      <w:r>
        <w:rPr>
          <w:rStyle w:val="42"/>
          <w:color w:val="000000"/>
          <w:lang/>
        </w:rPr>
        <w:t>5.3</w:t>
      </w:r>
      <w:r>
        <w:rPr>
          <w:rStyle w:val="42"/>
          <w:rFonts w:hint="eastAsia"/>
          <w:color w:val="000000"/>
          <w:lang/>
        </w:rPr>
        <w:t>对方案进行经济分析</w:t>
      </w:r>
      <w:r>
        <w:rPr>
          <w:color w:val="000000"/>
          <w:lang/>
        </w:rPr>
        <w:tab/>
      </w:r>
      <w:r>
        <w:rPr>
          <w:color w:val="000000"/>
          <w:lang/>
        </w:rPr>
        <w:fldChar w:fldCharType="begin"/>
      </w:r>
      <w:r>
        <w:rPr>
          <w:color w:val="000000"/>
          <w:lang/>
        </w:rPr>
        <w:instrText xml:space="preserve"> PAGEREF _Toc23000922 \h </w:instrText>
      </w:r>
      <w:r>
        <w:rPr>
          <w:color w:val="000000"/>
          <w:lang/>
        </w:rPr>
        <w:fldChar w:fldCharType="separate"/>
      </w:r>
      <w:r>
        <w:rPr>
          <w:color w:val="000000"/>
          <w:lang/>
        </w:rPr>
        <w:t>108</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"_Toc23000923"</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5.4  </w:t>
      </w:r>
      <w:r>
        <w:rPr>
          <w:rStyle w:val="42"/>
          <w:rFonts w:hint="eastAsia" w:ascii="宋体" w:hAnsi="宋体"/>
          <w:color w:val="000000"/>
          <w:lang/>
        </w:rPr>
        <w:t>推荐可实施方案</w:t>
      </w:r>
      <w:r>
        <w:rPr>
          <w:color w:val="000000"/>
          <w:lang/>
        </w:rPr>
        <w:tab/>
      </w:r>
      <w:r>
        <w:rPr>
          <w:color w:val="000000"/>
          <w:lang/>
        </w:rPr>
        <w:fldChar w:fldCharType="begin"/>
      </w:r>
      <w:r>
        <w:rPr>
          <w:color w:val="000000"/>
          <w:lang/>
        </w:rPr>
        <w:instrText xml:space="preserve"> PAGEREF _Toc23000923 \h </w:instrText>
      </w:r>
      <w:r>
        <w:rPr>
          <w:color w:val="000000"/>
          <w:lang/>
        </w:rPr>
        <w:fldChar w:fldCharType="separate"/>
      </w:r>
      <w:r>
        <w:rPr>
          <w:color w:val="000000"/>
          <w:lang/>
        </w:rPr>
        <w:t>110</w:t>
      </w:r>
      <w:r>
        <w:rPr>
          <w:color w:val="000000"/>
          <w:lang/>
        </w:rPr>
        <w:fldChar w:fldCharType="end"/>
      </w:r>
      <w:r>
        <w:rPr>
          <w:color w:val="000000"/>
          <w:lang/>
        </w:rPr>
        <w:fldChar w:fldCharType="end"/>
      </w:r>
    </w:p>
    <w:p>
      <w:pPr>
        <w:pStyle w:val="23"/>
        <w:ind w:firstLine="0" w:firstLineChars="0"/>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"_Toc23000924"</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第</w:t>
      </w:r>
      <w:r>
        <w:rPr>
          <w:rStyle w:val="42"/>
          <w:rFonts w:ascii="宋体" w:hAnsi="宋体"/>
          <w:color w:val="000000"/>
          <w:lang/>
        </w:rPr>
        <w:t>6</w:t>
      </w:r>
      <w:r>
        <w:rPr>
          <w:rStyle w:val="42"/>
          <w:rFonts w:hint="eastAsia" w:ascii="宋体" w:hAnsi="宋体"/>
          <w:color w:val="000000"/>
          <w:lang/>
        </w:rPr>
        <w:t>章</w:t>
      </w:r>
      <w:r>
        <w:rPr>
          <w:rStyle w:val="42"/>
          <w:rFonts w:ascii="宋体" w:hAnsi="宋体"/>
          <w:color w:val="000000"/>
          <w:lang/>
        </w:rPr>
        <w:t xml:space="preserve">  </w:t>
      </w:r>
      <w:r>
        <w:rPr>
          <w:rStyle w:val="42"/>
          <w:rFonts w:hint="eastAsia" w:ascii="宋体" w:hAnsi="宋体"/>
          <w:color w:val="000000"/>
          <w:lang/>
        </w:rPr>
        <w:t>方案实施</w:t>
      </w:r>
      <w:r>
        <w:rPr>
          <w:color w:val="000000"/>
          <w:lang/>
        </w:rPr>
        <w:tab/>
      </w:r>
      <w:r>
        <w:rPr>
          <w:color w:val="000000"/>
          <w:lang/>
        </w:rPr>
        <w:fldChar w:fldCharType="begin"/>
      </w:r>
      <w:r>
        <w:rPr>
          <w:color w:val="000000"/>
          <w:lang/>
        </w:rPr>
        <w:instrText xml:space="preserve"> PAGEREF _Toc23000924 \h </w:instrText>
      </w:r>
      <w:r>
        <w:rPr>
          <w:color w:val="000000"/>
          <w:lang/>
        </w:rPr>
        <w:fldChar w:fldCharType="separate"/>
      </w:r>
      <w:r>
        <w:rPr>
          <w:color w:val="000000"/>
          <w:lang/>
        </w:rPr>
        <w:t>111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"_Toc23000925"</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6.1 </w:t>
      </w:r>
      <w:r>
        <w:rPr>
          <w:rStyle w:val="42"/>
          <w:rFonts w:hint="eastAsia" w:ascii="宋体" w:hAnsi="宋体"/>
          <w:color w:val="000000"/>
          <w:lang/>
        </w:rPr>
        <w:t>方案实施情况简述</w:t>
      </w:r>
      <w:r>
        <w:rPr>
          <w:color w:val="000000"/>
          <w:lang/>
        </w:rPr>
        <w:tab/>
      </w:r>
      <w:r>
        <w:rPr>
          <w:color w:val="000000"/>
          <w:lang/>
        </w:rPr>
        <w:fldChar w:fldCharType="begin"/>
      </w:r>
      <w:r>
        <w:rPr>
          <w:color w:val="000000"/>
          <w:lang/>
        </w:rPr>
        <w:instrText xml:space="preserve"> PAGEREF _Toc23000925 \h </w:instrText>
      </w:r>
      <w:r>
        <w:rPr>
          <w:color w:val="000000"/>
          <w:lang/>
        </w:rPr>
        <w:fldChar w:fldCharType="separate"/>
      </w:r>
      <w:r>
        <w:rPr>
          <w:color w:val="000000"/>
          <w:lang/>
        </w:rPr>
        <w:t>111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"_Toc23000926"</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6.1.1 </w:t>
      </w:r>
      <w:r>
        <w:rPr>
          <w:rStyle w:val="42"/>
          <w:rFonts w:hint="eastAsia" w:ascii="宋体" w:hAnsi="宋体"/>
          <w:color w:val="000000"/>
          <w:lang/>
        </w:rPr>
        <w:t>方案实施计划</w:t>
      </w:r>
      <w:r>
        <w:rPr>
          <w:color w:val="000000"/>
          <w:lang/>
        </w:rPr>
        <w:tab/>
      </w:r>
      <w:r>
        <w:rPr>
          <w:color w:val="000000"/>
          <w:lang/>
        </w:rPr>
        <w:fldChar w:fldCharType="begin"/>
      </w:r>
      <w:r>
        <w:rPr>
          <w:color w:val="000000"/>
          <w:lang/>
        </w:rPr>
        <w:instrText xml:space="preserve"> PAGEREF _Toc23000926 \h </w:instrText>
      </w:r>
      <w:r>
        <w:rPr>
          <w:color w:val="000000"/>
          <w:lang/>
        </w:rPr>
        <w:fldChar w:fldCharType="separate"/>
      </w:r>
      <w:r>
        <w:rPr>
          <w:color w:val="000000"/>
          <w:lang/>
        </w:rPr>
        <w:t>111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"_Toc23000927"</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6.1.2  </w:t>
      </w:r>
      <w:r>
        <w:rPr>
          <w:rStyle w:val="42"/>
          <w:rFonts w:hint="eastAsia" w:ascii="宋体" w:hAnsi="宋体"/>
          <w:color w:val="000000"/>
          <w:lang/>
        </w:rPr>
        <w:t>筹措资金</w:t>
      </w:r>
      <w:r>
        <w:rPr>
          <w:color w:val="000000"/>
          <w:lang/>
        </w:rPr>
        <w:tab/>
      </w:r>
      <w:r>
        <w:rPr>
          <w:color w:val="000000"/>
          <w:lang/>
        </w:rPr>
        <w:fldChar w:fldCharType="begin"/>
      </w:r>
      <w:r>
        <w:rPr>
          <w:color w:val="000000"/>
          <w:lang/>
        </w:rPr>
        <w:instrText xml:space="preserve"> PAGEREF _Toc23000927 \h </w:instrText>
      </w:r>
      <w:r>
        <w:rPr>
          <w:color w:val="000000"/>
          <w:lang/>
        </w:rPr>
        <w:fldChar w:fldCharType="separate"/>
      </w:r>
      <w:r>
        <w:rPr>
          <w:color w:val="000000"/>
          <w:lang/>
        </w:rPr>
        <w:t>111</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"_Toc23000928"</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6.2  </w:t>
      </w:r>
      <w:r>
        <w:rPr>
          <w:rStyle w:val="42"/>
          <w:rFonts w:hint="eastAsia" w:ascii="宋体" w:hAnsi="宋体"/>
          <w:color w:val="000000"/>
          <w:lang/>
        </w:rPr>
        <w:t>汇总已实施方案的成果</w:t>
      </w:r>
      <w:r>
        <w:rPr>
          <w:color w:val="000000"/>
          <w:lang/>
        </w:rPr>
        <w:tab/>
      </w:r>
      <w:r>
        <w:rPr>
          <w:color w:val="000000"/>
          <w:lang/>
        </w:rPr>
        <w:fldChar w:fldCharType="begin"/>
      </w:r>
      <w:r>
        <w:rPr>
          <w:color w:val="000000"/>
          <w:lang/>
        </w:rPr>
        <w:instrText xml:space="preserve"> PAGEREF _Toc23000928 \h </w:instrText>
      </w:r>
      <w:r>
        <w:rPr>
          <w:color w:val="000000"/>
          <w:lang/>
        </w:rPr>
        <w:fldChar w:fldCharType="separate"/>
      </w:r>
      <w:r>
        <w:rPr>
          <w:color w:val="000000"/>
          <w:lang/>
        </w:rPr>
        <w:t>112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"_Toc23000929"</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6.2.1 </w:t>
      </w:r>
      <w:r>
        <w:rPr>
          <w:rStyle w:val="42"/>
          <w:rFonts w:hint="eastAsia" w:ascii="宋体" w:hAnsi="宋体"/>
          <w:color w:val="000000"/>
          <w:lang/>
        </w:rPr>
        <w:t>无</w:t>
      </w:r>
      <w:r>
        <w:rPr>
          <w:rStyle w:val="42"/>
          <w:rFonts w:ascii="宋体" w:hAnsi="宋体"/>
          <w:color w:val="000000"/>
          <w:lang/>
        </w:rPr>
        <w:t>/</w:t>
      </w:r>
      <w:r>
        <w:rPr>
          <w:rStyle w:val="42"/>
          <w:rFonts w:hint="eastAsia" w:ascii="宋体" w:hAnsi="宋体"/>
          <w:color w:val="000000"/>
          <w:lang/>
        </w:rPr>
        <w:t>低费方案效益汇总</w:t>
      </w:r>
      <w:r>
        <w:rPr>
          <w:color w:val="000000"/>
          <w:lang/>
        </w:rPr>
        <w:tab/>
      </w:r>
      <w:r>
        <w:rPr>
          <w:color w:val="000000"/>
          <w:lang/>
        </w:rPr>
        <w:fldChar w:fldCharType="begin"/>
      </w:r>
      <w:r>
        <w:rPr>
          <w:color w:val="000000"/>
          <w:lang/>
        </w:rPr>
        <w:instrText xml:space="preserve"> PAGEREF _Toc23000929 \h </w:instrText>
      </w:r>
      <w:r>
        <w:rPr>
          <w:color w:val="000000"/>
          <w:lang/>
        </w:rPr>
        <w:fldChar w:fldCharType="separate"/>
      </w:r>
      <w:r>
        <w:rPr>
          <w:color w:val="000000"/>
          <w:lang/>
        </w:rPr>
        <w:t>112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"_Toc23000930"</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6.2.2 </w:t>
      </w:r>
      <w:r>
        <w:rPr>
          <w:rStyle w:val="42"/>
          <w:rFonts w:hint="eastAsia" w:ascii="宋体" w:hAnsi="宋体"/>
          <w:color w:val="000000"/>
          <w:lang/>
        </w:rPr>
        <w:t>无</w:t>
      </w:r>
      <w:r>
        <w:rPr>
          <w:rStyle w:val="42"/>
          <w:rFonts w:ascii="宋体" w:hAnsi="宋体"/>
          <w:color w:val="000000"/>
          <w:lang/>
        </w:rPr>
        <w:t>/</w:t>
      </w:r>
      <w:r>
        <w:rPr>
          <w:rStyle w:val="42"/>
          <w:rFonts w:hint="eastAsia" w:ascii="宋体" w:hAnsi="宋体"/>
          <w:color w:val="000000"/>
          <w:lang/>
        </w:rPr>
        <w:t>低费实施效果评价</w:t>
      </w:r>
      <w:r>
        <w:rPr>
          <w:color w:val="000000"/>
          <w:lang/>
        </w:rPr>
        <w:tab/>
      </w:r>
      <w:r>
        <w:rPr>
          <w:color w:val="000000"/>
          <w:lang/>
        </w:rPr>
        <w:fldChar w:fldCharType="begin"/>
      </w:r>
      <w:r>
        <w:rPr>
          <w:color w:val="000000"/>
          <w:lang/>
        </w:rPr>
        <w:instrText xml:space="preserve"> PAGEREF _Toc23000930 \h </w:instrText>
      </w:r>
      <w:r>
        <w:rPr>
          <w:color w:val="000000"/>
          <w:lang/>
        </w:rPr>
        <w:fldChar w:fldCharType="separate"/>
      </w:r>
      <w:r>
        <w:rPr>
          <w:color w:val="000000"/>
          <w:lang/>
        </w:rPr>
        <w:t>115</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"_Toc23000931"</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6.3 </w:t>
      </w:r>
      <w:r>
        <w:rPr>
          <w:rStyle w:val="42"/>
          <w:rFonts w:hint="eastAsia" w:ascii="宋体" w:hAnsi="宋体"/>
          <w:color w:val="000000"/>
          <w:lang/>
        </w:rPr>
        <w:t>中</w:t>
      </w:r>
      <w:r>
        <w:rPr>
          <w:rStyle w:val="42"/>
          <w:rFonts w:ascii="宋体" w:hAnsi="宋体"/>
          <w:color w:val="000000"/>
          <w:lang/>
        </w:rPr>
        <w:t>/</w:t>
      </w:r>
      <w:r>
        <w:rPr>
          <w:rStyle w:val="42"/>
          <w:rFonts w:hint="eastAsia" w:ascii="宋体" w:hAnsi="宋体"/>
          <w:color w:val="000000"/>
          <w:lang/>
        </w:rPr>
        <w:t>高费方案实施情况</w:t>
      </w:r>
      <w:r>
        <w:rPr>
          <w:color w:val="000000"/>
          <w:lang/>
        </w:rPr>
        <w:tab/>
      </w:r>
      <w:r>
        <w:rPr>
          <w:color w:val="000000"/>
          <w:lang/>
        </w:rPr>
        <w:fldChar w:fldCharType="begin"/>
      </w:r>
      <w:r>
        <w:rPr>
          <w:color w:val="000000"/>
          <w:lang/>
        </w:rPr>
        <w:instrText xml:space="preserve"> PAGEREF _Toc23000931 \h </w:instrText>
      </w:r>
      <w:r>
        <w:rPr>
          <w:color w:val="000000"/>
          <w:lang/>
        </w:rPr>
        <w:fldChar w:fldCharType="separate"/>
      </w:r>
      <w:r>
        <w:rPr>
          <w:color w:val="000000"/>
          <w:lang/>
        </w:rPr>
        <w:t>115</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"_Toc23000932"</w:instrText>
      </w:r>
      <w:r>
        <w:rPr>
          <w:rStyle w:val="42"/>
          <w:color w:val="000000"/>
          <w:lang/>
        </w:rPr>
        <w:instrText xml:space="preserve"> </w:instrText>
      </w:r>
      <w:r>
        <w:rPr>
          <w:color w:val="000000"/>
          <w:lang/>
        </w:rPr>
        <w:fldChar w:fldCharType="separate"/>
      </w:r>
      <w:r>
        <w:rPr>
          <w:rStyle w:val="42"/>
          <w:color w:val="000000"/>
          <w:lang/>
        </w:rPr>
        <w:t>6.3.1</w:t>
      </w:r>
      <w:r>
        <w:rPr>
          <w:rStyle w:val="42"/>
          <w:rFonts w:hint="eastAsia"/>
          <w:color w:val="000000"/>
          <w:lang/>
        </w:rPr>
        <w:t>实施方案</w:t>
      </w:r>
      <w:r>
        <w:rPr>
          <w:rStyle w:val="42"/>
          <w:color w:val="000000"/>
          <w:lang/>
        </w:rPr>
        <w:t>F24</w:t>
      </w:r>
      <w:r>
        <w:rPr>
          <w:rStyle w:val="42"/>
          <w:rFonts w:hint="eastAsia" w:ascii="宋体" w:hAnsi="宋体"/>
          <w:color w:val="000000"/>
          <w:lang/>
        </w:rPr>
        <w:t>完善选矿厂雨污分流系统</w:t>
      </w:r>
      <w:r>
        <w:rPr>
          <w:rStyle w:val="42"/>
          <w:rFonts w:hint="eastAsia"/>
          <w:color w:val="000000"/>
          <w:lang/>
        </w:rPr>
        <w:t>实施效益计算</w:t>
      </w:r>
      <w:r>
        <w:rPr>
          <w:color w:val="000000"/>
          <w:lang/>
        </w:rPr>
        <w:tab/>
      </w:r>
      <w:r>
        <w:rPr>
          <w:color w:val="000000"/>
          <w:lang/>
        </w:rPr>
        <w:fldChar w:fldCharType="begin"/>
      </w:r>
      <w:r>
        <w:rPr>
          <w:color w:val="000000"/>
          <w:lang/>
        </w:rPr>
        <w:instrText xml:space="preserve"> PAGEREF _Toc23000932 \h </w:instrText>
      </w:r>
      <w:r>
        <w:rPr>
          <w:color w:val="000000"/>
          <w:lang/>
        </w:rPr>
        <w:fldChar w:fldCharType="separate"/>
      </w:r>
      <w:r>
        <w:rPr>
          <w:color w:val="000000"/>
          <w:lang/>
        </w:rPr>
        <w:t>115</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"_Toc23000933"</w:instrText>
      </w:r>
      <w:r>
        <w:rPr>
          <w:rStyle w:val="42"/>
          <w:color w:val="000000"/>
          <w:lang/>
        </w:rPr>
        <w:instrText xml:space="preserve"> </w:instrText>
      </w:r>
      <w:r>
        <w:rPr>
          <w:color w:val="000000"/>
          <w:lang/>
        </w:rPr>
        <w:fldChar w:fldCharType="separate"/>
      </w:r>
      <w:r>
        <w:rPr>
          <w:rStyle w:val="42"/>
          <w:rFonts w:ascii="宋体" w:hAnsi="宋体"/>
          <w:color w:val="000000"/>
          <w:lang/>
        </w:rPr>
        <w:t>6.3.2</w:t>
      </w:r>
      <w:r>
        <w:rPr>
          <w:rStyle w:val="42"/>
          <w:rFonts w:hint="eastAsia" w:ascii="宋体" w:hAnsi="宋体"/>
          <w:color w:val="000000"/>
          <w:lang/>
        </w:rPr>
        <w:t>实施方案</w:t>
      </w:r>
      <w:r>
        <w:rPr>
          <w:rStyle w:val="42"/>
          <w:rFonts w:ascii="宋体" w:hAnsi="宋体"/>
          <w:color w:val="000000"/>
          <w:lang/>
        </w:rPr>
        <w:t>F25</w:t>
      </w:r>
      <w:r>
        <w:rPr>
          <w:rStyle w:val="42"/>
          <w:rFonts w:hint="eastAsia" w:ascii="宋体" w:hAnsi="宋体"/>
          <w:color w:val="000000"/>
          <w:lang/>
        </w:rPr>
        <w:t>精矿库维护改造效益计算</w:t>
      </w:r>
      <w:r>
        <w:rPr>
          <w:color w:val="000000"/>
          <w:lang/>
        </w:rPr>
        <w:tab/>
      </w:r>
      <w:r>
        <w:rPr>
          <w:color w:val="000000"/>
          <w:lang/>
        </w:rPr>
        <w:fldChar w:fldCharType="begin"/>
      </w:r>
      <w:r>
        <w:rPr>
          <w:color w:val="000000"/>
          <w:lang/>
        </w:rPr>
        <w:instrText xml:space="preserve"> PAGEREF _Toc23000933 \h </w:instrText>
      </w:r>
      <w:r>
        <w:rPr>
          <w:color w:val="000000"/>
          <w:lang/>
        </w:rPr>
        <w:fldChar w:fldCharType="separate"/>
      </w:r>
      <w:r>
        <w:rPr>
          <w:color w:val="000000"/>
          <w:lang/>
        </w:rPr>
        <w:t>116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"_Toc23000934"</w:instrText>
      </w:r>
      <w:r>
        <w:rPr>
          <w:rStyle w:val="42"/>
          <w:color w:val="000000"/>
          <w:lang/>
        </w:rPr>
        <w:instrText xml:space="preserve"> </w:instrText>
      </w:r>
      <w:r>
        <w:rPr>
          <w:color w:val="000000"/>
          <w:lang/>
        </w:rPr>
        <w:fldChar w:fldCharType="separate"/>
      </w:r>
      <w:r>
        <w:rPr>
          <w:rStyle w:val="42"/>
          <w:rFonts w:ascii="宋体" w:hAnsi="宋体"/>
          <w:color w:val="000000"/>
          <w:kern w:val="0"/>
          <w:lang/>
        </w:rPr>
        <w:t>6.3.2.1</w:t>
      </w:r>
      <w:r>
        <w:rPr>
          <w:rStyle w:val="42"/>
          <w:rFonts w:hint="eastAsia" w:ascii="宋体" w:hAnsi="宋体"/>
          <w:color w:val="000000"/>
          <w:kern w:val="0"/>
          <w:lang/>
        </w:rPr>
        <w:t>经济效益</w:t>
      </w:r>
      <w:r>
        <w:rPr>
          <w:rStyle w:val="42"/>
          <w:rFonts w:ascii="宋体" w:hAnsi="宋体"/>
          <w:color w:val="000000"/>
          <w:kern w:val="0"/>
          <w:lang/>
        </w:rPr>
        <w:t>:</w:t>
      </w:r>
      <w:r>
        <w:rPr>
          <w:color w:val="000000"/>
          <w:lang/>
        </w:rPr>
        <w:tab/>
      </w:r>
      <w:r>
        <w:rPr>
          <w:color w:val="000000"/>
          <w:lang/>
        </w:rPr>
        <w:fldChar w:fldCharType="begin"/>
      </w:r>
      <w:r>
        <w:rPr>
          <w:color w:val="000000"/>
          <w:lang/>
        </w:rPr>
        <w:instrText xml:space="preserve"> PAGEREF _Toc23000934 \h </w:instrText>
      </w:r>
      <w:r>
        <w:rPr>
          <w:color w:val="000000"/>
          <w:lang/>
        </w:rPr>
        <w:fldChar w:fldCharType="separate"/>
      </w:r>
      <w:r>
        <w:rPr>
          <w:color w:val="000000"/>
          <w:lang/>
        </w:rPr>
        <w:t>116</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"_Toc23000935"</w:instrText>
      </w:r>
      <w:r>
        <w:rPr>
          <w:rStyle w:val="42"/>
          <w:color w:val="000000"/>
          <w:lang/>
        </w:rPr>
        <w:instrText xml:space="preserve"> </w:instrText>
      </w:r>
      <w:r>
        <w:rPr>
          <w:color w:val="000000"/>
          <w:lang/>
        </w:rPr>
        <w:fldChar w:fldCharType="separate"/>
      </w:r>
      <w:r>
        <w:rPr>
          <w:rStyle w:val="42"/>
          <w:color w:val="000000"/>
          <w:lang/>
        </w:rPr>
        <w:t>6.4</w:t>
      </w:r>
      <w:r>
        <w:rPr>
          <w:rStyle w:val="42"/>
          <w:rFonts w:hint="eastAsia"/>
          <w:color w:val="000000"/>
          <w:lang/>
        </w:rPr>
        <w:t>已实施的清洁生产方案对企业的影响分析</w:t>
      </w:r>
      <w:r>
        <w:rPr>
          <w:color w:val="000000"/>
          <w:lang/>
        </w:rPr>
        <w:tab/>
      </w:r>
      <w:r>
        <w:rPr>
          <w:color w:val="000000"/>
          <w:lang/>
        </w:rPr>
        <w:fldChar w:fldCharType="begin"/>
      </w:r>
      <w:r>
        <w:rPr>
          <w:color w:val="000000"/>
          <w:lang/>
        </w:rPr>
        <w:instrText xml:space="preserve"> PAGEREF _Toc23000935 \h </w:instrText>
      </w:r>
      <w:r>
        <w:rPr>
          <w:color w:val="000000"/>
          <w:lang/>
        </w:rPr>
        <w:fldChar w:fldCharType="separate"/>
      </w:r>
      <w:r>
        <w:rPr>
          <w:color w:val="000000"/>
          <w:lang/>
        </w:rPr>
        <w:t>116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"_Toc23000936"</w:instrText>
      </w:r>
      <w:r>
        <w:rPr>
          <w:rStyle w:val="42"/>
          <w:color w:val="000000"/>
          <w:lang/>
        </w:rPr>
        <w:instrText xml:space="preserve"> </w:instrText>
      </w:r>
      <w:r>
        <w:rPr>
          <w:color w:val="000000"/>
          <w:lang/>
        </w:rPr>
        <w:fldChar w:fldCharType="separate"/>
      </w:r>
      <w:r>
        <w:rPr>
          <w:rStyle w:val="42"/>
          <w:color w:val="000000"/>
          <w:lang/>
        </w:rPr>
        <w:t>6.4.1</w:t>
      </w:r>
      <w:r>
        <w:rPr>
          <w:rStyle w:val="42"/>
          <w:rFonts w:hint="eastAsia"/>
          <w:color w:val="000000"/>
          <w:lang/>
        </w:rPr>
        <w:t>已实施的方案实施前后经济效益和环境效果</w:t>
      </w:r>
      <w:r>
        <w:rPr>
          <w:color w:val="000000"/>
          <w:lang/>
        </w:rPr>
        <w:tab/>
      </w:r>
      <w:r>
        <w:rPr>
          <w:color w:val="000000"/>
          <w:lang/>
        </w:rPr>
        <w:fldChar w:fldCharType="begin"/>
      </w:r>
      <w:r>
        <w:rPr>
          <w:color w:val="000000"/>
          <w:lang/>
        </w:rPr>
        <w:instrText xml:space="preserve"> PAGEREF _Toc23000936 \h </w:instrText>
      </w:r>
      <w:r>
        <w:rPr>
          <w:color w:val="000000"/>
          <w:lang/>
        </w:rPr>
        <w:fldChar w:fldCharType="separate"/>
      </w:r>
      <w:r>
        <w:rPr>
          <w:color w:val="000000"/>
          <w:lang/>
        </w:rPr>
        <w:t>116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"_Toc23000937"</w:instrText>
      </w:r>
      <w:r>
        <w:rPr>
          <w:rStyle w:val="42"/>
          <w:color w:val="000000"/>
          <w:lang/>
        </w:rPr>
        <w:instrText xml:space="preserve"> </w:instrText>
      </w:r>
      <w:r>
        <w:rPr>
          <w:color w:val="000000"/>
          <w:lang/>
        </w:rPr>
        <w:fldChar w:fldCharType="separate"/>
      </w:r>
      <w:r>
        <w:rPr>
          <w:rStyle w:val="42"/>
          <w:color w:val="000000"/>
          <w:lang/>
        </w:rPr>
        <w:t xml:space="preserve">6.4.2 </w:t>
      </w:r>
      <w:r>
        <w:rPr>
          <w:rStyle w:val="42"/>
          <w:rFonts w:hint="eastAsia"/>
          <w:color w:val="000000"/>
          <w:lang/>
        </w:rPr>
        <w:t>清洁生产目标的完成情况</w:t>
      </w:r>
      <w:r>
        <w:rPr>
          <w:color w:val="000000"/>
          <w:lang/>
        </w:rPr>
        <w:tab/>
      </w:r>
      <w:r>
        <w:rPr>
          <w:color w:val="000000"/>
          <w:lang/>
        </w:rPr>
        <w:fldChar w:fldCharType="begin"/>
      </w:r>
      <w:r>
        <w:rPr>
          <w:color w:val="000000"/>
          <w:lang/>
        </w:rPr>
        <w:instrText xml:space="preserve"> PAGEREF _Toc23000937 \h </w:instrText>
      </w:r>
      <w:r>
        <w:rPr>
          <w:color w:val="000000"/>
          <w:lang/>
        </w:rPr>
        <w:fldChar w:fldCharType="separate"/>
      </w:r>
      <w:r>
        <w:rPr>
          <w:color w:val="000000"/>
          <w:lang/>
        </w:rPr>
        <w:t>116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"_Toc23000938"</w:instrText>
      </w:r>
      <w:r>
        <w:rPr>
          <w:rStyle w:val="42"/>
          <w:color w:val="000000"/>
          <w:lang/>
        </w:rPr>
        <w:instrText xml:space="preserve"> </w:instrText>
      </w:r>
      <w:r>
        <w:rPr>
          <w:color w:val="000000"/>
          <w:lang/>
        </w:rPr>
        <w:fldChar w:fldCharType="separate"/>
      </w:r>
      <w:r>
        <w:rPr>
          <w:rStyle w:val="42"/>
          <w:rFonts w:ascii="宋体" w:hAnsi="宋体"/>
          <w:color w:val="000000"/>
          <w:lang/>
        </w:rPr>
        <w:t>6.4.3</w:t>
      </w:r>
      <w:r>
        <w:rPr>
          <w:rStyle w:val="42"/>
          <w:rFonts w:hint="eastAsia" w:ascii="宋体" w:hAnsi="宋体"/>
          <w:color w:val="000000"/>
          <w:lang/>
        </w:rPr>
        <w:t>清洁生产水平评价</w:t>
      </w:r>
      <w:r>
        <w:rPr>
          <w:color w:val="000000"/>
          <w:lang/>
        </w:rPr>
        <w:tab/>
      </w:r>
      <w:r>
        <w:rPr>
          <w:color w:val="000000"/>
          <w:lang/>
        </w:rPr>
        <w:fldChar w:fldCharType="begin"/>
      </w:r>
      <w:r>
        <w:rPr>
          <w:color w:val="000000"/>
          <w:lang/>
        </w:rPr>
        <w:instrText xml:space="preserve"> PAGEREF _Toc23000938 \h </w:instrText>
      </w:r>
      <w:r>
        <w:rPr>
          <w:color w:val="000000"/>
          <w:lang/>
        </w:rPr>
        <w:fldChar w:fldCharType="separate"/>
      </w:r>
      <w:r>
        <w:rPr>
          <w:color w:val="000000"/>
          <w:lang/>
        </w:rPr>
        <w:t>117</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"_Toc23000939"</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6.5  </w:t>
      </w:r>
      <w:r>
        <w:rPr>
          <w:rStyle w:val="42"/>
          <w:rFonts w:hint="eastAsia" w:ascii="宋体" w:hAnsi="宋体"/>
          <w:color w:val="000000"/>
          <w:lang/>
        </w:rPr>
        <w:t>成果宣传</w:t>
      </w:r>
      <w:r>
        <w:rPr>
          <w:color w:val="000000"/>
          <w:lang/>
        </w:rPr>
        <w:tab/>
      </w:r>
      <w:r>
        <w:rPr>
          <w:color w:val="000000"/>
          <w:lang/>
        </w:rPr>
        <w:fldChar w:fldCharType="begin"/>
      </w:r>
      <w:r>
        <w:rPr>
          <w:color w:val="000000"/>
          <w:lang/>
        </w:rPr>
        <w:instrText xml:space="preserve"> PAGEREF _Toc23000939 \h </w:instrText>
      </w:r>
      <w:r>
        <w:rPr>
          <w:color w:val="000000"/>
          <w:lang/>
        </w:rPr>
        <w:fldChar w:fldCharType="separate"/>
      </w:r>
      <w:r>
        <w:rPr>
          <w:color w:val="000000"/>
          <w:lang/>
        </w:rPr>
        <w:t>122</w:t>
      </w:r>
      <w:r>
        <w:rPr>
          <w:color w:val="000000"/>
          <w:lang/>
        </w:rPr>
        <w:fldChar w:fldCharType="end"/>
      </w:r>
      <w:r>
        <w:rPr>
          <w:color w:val="000000"/>
          <w:lang/>
        </w:rPr>
        <w:fldChar w:fldCharType="end"/>
      </w:r>
    </w:p>
    <w:p>
      <w:pPr>
        <w:pStyle w:val="23"/>
        <w:ind w:firstLine="0" w:firstLineChars="0"/>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"_Toc23000940"</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第</w:t>
      </w:r>
      <w:r>
        <w:rPr>
          <w:rStyle w:val="42"/>
          <w:rFonts w:ascii="宋体" w:hAnsi="宋体"/>
          <w:color w:val="000000"/>
          <w:lang/>
        </w:rPr>
        <w:t>7</w:t>
      </w:r>
      <w:r>
        <w:rPr>
          <w:rStyle w:val="42"/>
          <w:rFonts w:hint="eastAsia" w:ascii="宋体" w:hAnsi="宋体"/>
          <w:color w:val="000000"/>
          <w:lang/>
        </w:rPr>
        <w:t>章</w:t>
      </w:r>
      <w:r>
        <w:rPr>
          <w:rStyle w:val="42"/>
          <w:rFonts w:ascii="宋体" w:hAnsi="宋体"/>
          <w:color w:val="000000"/>
          <w:lang/>
        </w:rPr>
        <w:t xml:space="preserve">    </w:t>
      </w:r>
      <w:r>
        <w:rPr>
          <w:rStyle w:val="42"/>
          <w:rFonts w:hint="eastAsia" w:ascii="宋体" w:hAnsi="宋体"/>
          <w:color w:val="000000"/>
          <w:lang/>
        </w:rPr>
        <w:t>持续清洁生产</w:t>
      </w:r>
      <w:r>
        <w:rPr>
          <w:color w:val="000000"/>
          <w:lang/>
        </w:rPr>
        <w:tab/>
      </w:r>
      <w:r>
        <w:rPr>
          <w:color w:val="000000"/>
          <w:lang/>
        </w:rPr>
        <w:fldChar w:fldCharType="begin"/>
      </w:r>
      <w:r>
        <w:rPr>
          <w:color w:val="000000"/>
          <w:lang/>
        </w:rPr>
        <w:instrText xml:space="preserve"> PAGEREF _Toc23000940 \h </w:instrText>
      </w:r>
      <w:r>
        <w:rPr>
          <w:color w:val="000000"/>
          <w:lang/>
        </w:rPr>
        <w:fldChar w:fldCharType="separate"/>
      </w:r>
      <w:r>
        <w:rPr>
          <w:color w:val="000000"/>
          <w:lang/>
        </w:rPr>
        <w:t>123</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"_Toc23000941"</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7.1 </w:t>
      </w:r>
      <w:r>
        <w:rPr>
          <w:rStyle w:val="42"/>
          <w:rFonts w:hint="eastAsia" w:ascii="宋体" w:hAnsi="宋体"/>
          <w:color w:val="000000"/>
          <w:lang/>
        </w:rPr>
        <w:t>建立和完善清洁生产组织机构</w:t>
      </w:r>
      <w:r>
        <w:rPr>
          <w:color w:val="000000"/>
          <w:lang/>
        </w:rPr>
        <w:tab/>
      </w:r>
      <w:r>
        <w:rPr>
          <w:color w:val="000000"/>
          <w:lang/>
        </w:rPr>
        <w:fldChar w:fldCharType="begin"/>
      </w:r>
      <w:r>
        <w:rPr>
          <w:color w:val="000000"/>
          <w:lang/>
        </w:rPr>
        <w:instrText xml:space="preserve"> PAGEREF _Toc23000941 \h </w:instrText>
      </w:r>
      <w:r>
        <w:rPr>
          <w:color w:val="000000"/>
          <w:lang/>
        </w:rPr>
        <w:fldChar w:fldCharType="separate"/>
      </w:r>
      <w:r>
        <w:rPr>
          <w:color w:val="000000"/>
          <w:lang/>
        </w:rPr>
        <w:t>123</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"_Toc23000942"</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7.1.1 </w:t>
      </w:r>
      <w:r>
        <w:rPr>
          <w:rStyle w:val="42"/>
          <w:rFonts w:hint="eastAsia" w:ascii="宋体" w:hAnsi="宋体"/>
          <w:color w:val="000000"/>
          <w:lang/>
        </w:rPr>
        <w:t>成立清洁生产审核常设机构</w:t>
      </w:r>
      <w:r>
        <w:rPr>
          <w:color w:val="000000"/>
          <w:lang/>
        </w:rPr>
        <w:tab/>
      </w:r>
      <w:r>
        <w:rPr>
          <w:color w:val="000000"/>
          <w:lang/>
        </w:rPr>
        <w:fldChar w:fldCharType="begin"/>
      </w:r>
      <w:r>
        <w:rPr>
          <w:color w:val="000000"/>
          <w:lang/>
        </w:rPr>
        <w:instrText xml:space="preserve"> PAGEREF _Toc23000942 \h </w:instrText>
      </w:r>
      <w:r>
        <w:rPr>
          <w:color w:val="000000"/>
          <w:lang/>
        </w:rPr>
        <w:fldChar w:fldCharType="separate"/>
      </w:r>
      <w:r>
        <w:rPr>
          <w:color w:val="000000"/>
          <w:lang/>
        </w:rPr>
        <w:t>123</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"_Toc23000943"</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7.1.2 </w:t>
      </w:r>
      <w:r>
        <w:rPr>
          <w:rStyle w:val="42"/>
          <w:rFonts w:hint="eastAsia" w:ascii="宋体" w:hAnsi="宋体"/>
          <w:color w:val="000000"/>
          <w:lang/>
        </w:rPr>
        <w:t>明确清洁生产办公室的主要任务</w:t>
      </w:r>
      <w:r>
        <w:rPr>
          <w:color w:val="000000"/>
          <w:lang/>
        </w:rPr>
        <w:tab/>
      </w:r>
      <w:r>
        <w:rPr>
          <w:color w:val="000000"/>
          <w:lang/>
        </w:rPr>
        <w:fldChar w:fldCharType="begin"/>
      </w:r>
      <w:r>
        <w:rPr>
          <w:color w:val="000000"/>
          <w:lang/>
        </w:rPr>
        <w:instrText xml:space="preserve"> PAGEREF _Toc23000943 \h </w:instrText>
      </w:r>
      <w:r>
        <w:rPr>
          <w:color w:val="000000"/>
          <w:lang/>
        </w:rPr>
        <w:fldChar w:fldCharType="separate"/>
      </w:r>
      <w:r>
        <w:rPr>
          <w:color w:val="000000"/>
          <w:lang/>
        </w:rPr>
        <w:t>124</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"_Toc23000944"</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7.2  </w:t>
      </w:r>
      <w:r>
        <w:rPr>
          <w:rStyle w:val="42"/>
          <w:rFonts w:hint="eastAsia" w:ascii="宋体" w:hAnsi="宋体"/>
          <w:color w:val="000000"/>
          <w:lang/>
        </w:rPr>
        <w:t>清洁生产的管理制度</w:t>
      </w:r>
      <w:r>
        <w:rPr>
          <w:color w:val="000000"/>
          <w:lang/>
        </w:rPr>
        <w:tab/>
      </w:r>
      <w:r>
        <w:rPr>
          <w:color w:val="000000"/>
          <w:lang/>
        </w:rPr>
        <w:fldChar w:fldCharType="begin"/>
      </w:r>
      <w:r>
        <w:rPr>
          <w:color w:val="000000"/>
          <w:lang/>
        </w:rPr>
        <w:instrText xml:space="preserve"> PAGEREF _Toc23000944 \h </w:instrText>
      </w:r>
      <w:r>
        <w:rPr>
          <w:color w:val="000000"/>
          <w:lang/>
        </w:rPr>
        <w:fldChar w:fldCharType="separate"/>
      </w:r>
      <w:r>
        <w:rPr>
          <w:color w:val="000000"/>
          <w:lang/>
        </w:rPr>
        <w:t>124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"_Toc23000945"</w:instrText>
      </w:r>
      <w:r>
        <w:rPr>
          <w:rStyle w:val="42"/>
          <w:color w:val="000000"/>
          <w:lang/>
        </w:rPr>
        <w:instrText xml:space="preserve"> </w:instrText>
      </w:r>
      <w:r>
        <w:rPr>
          <w:color w:val="000000"/>
          <w:lang/>
        </w:rPr>
        <w:fldChar w:fldCharType="separate"/>
      </w:r>
      <w:r>
        <w:rPr>
          <w:rStyle w:val="42"/>
          <w:color w:val="000000"/>
          <w:lang/>
        </w:rPr>
        <w:t>7.2.1</w:t>
      </w:r>
      <w:r>
        <w:rPr>
          <w:rStyle w:val="42"/>
          <w:rFonts w:hint="eastAsia"/>
          <w:color w:val="000000"/>
          <w:lang/>
        </w:rPr>
        <w:t>把审核成果纳入企业的日常管理</w:t>
      </w:r>
      <w:r>
        <w:rPr>
          <w:color w:val="000000"/>
          <w:lang/>
        </w:rPr>
        <w:tab/>
      </w:r>
      <w:r>
        <w:rPr>
          <w:color w:val="000000"/>
          <w:lang/>
        </w:rPr>
        <w:fldChar w:fldCharType="begin"/>
      </w:r>
      <w:r>
        <w:rPr>
          <w:color w:val="000000"/>
          <w:lang/>
        </w:rPr>
        <w:instrText xml:space="preserve"> PAGEREF _Toc23000945 \h </w:instrText>
      </w:r>
      <w:r>
        <w:rPr>
          <w:color w:val="000000"/>
          <w:lang/>
        </w:rPr>
        <w:fldChar w:fldCharType="separate"/>
      </w:r>
      <w:r>
        <w:rPr>
          <w:color w:val="000000"/>
          <w:lang/>
        </w:rPr>
        <w:t>124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"_Toc23000946"</w:instrText>
      </w:r>
      <w:r>
        <w:rPr>
          <w:rStyle w:val="42"/>
          <w:color w:val="000000"/>
          <w:lang/>
        </w:rPr>
        <w:instrText xml:space="preserve"> </w:instrText>
      </w:r>
      <w:r>
        <w:rPr>
          <w:color w:val="000000"/>
          <w:lang/>
        </w:rPr>
        <w:fldChar w:fldCharType="separate"/>
      </w:r>
      <w:r>
        <w:rPr>
          <w:rStyle w:val="42"/>
          <w:color w:val="000000"/>
          <w:lang/>
        </w:rPr>
        <w:t xml:space="preserve">7.2.2 </w:t>
      </w:r>
      <w:r>
        <w:rPr>
          <w:rStyle w:val="42"/>
          <w:rFonts w:hint="eastAsia"/>
          <w:color w:val="000000"/>
          <w:lang/>
        </w:rPr>
        <w:t>建立和完善清洁生产激励机制</w:t>
      </w:r>
      <w:r>
        <w:rPr>
          <w:color w:val="000000"/>
          <w:lang/>
        </w:rPr>
        <w:tab/>
      </w:r>
      <w:r>
        <w:rPr>
          <w:color w:val="000000"/>
          <w:lang/>
        </w:rPr>
        <w:fldChar w:fldCharType="begin"/>
      </w:r>
      <w:r>
        <w:rPr>
          <w:color w:val="000000"/>
          <w:lang/>
        </w:rPr>
        <w:instrText xml:space="preserve"> PAGEREF _Toc23000946 \h </w:instrText>
      </w:r>
      <w:r>
        <w:rPr>
          <w:color w:val="000000"/>
          <w:lang/>
        </w:rPr>
        <w:fldChar w:fldCharType="separate"/>
      </w:r>
      <w:r>
        <w:rPr>
          <w:color w:val="000000"/>
          <w:lang/>
        </w:rPr>
        <w:t>124</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"_Toc23000947"</w:instrText>
      </w:r>
      <w:r>
        <w:rPr>
          <w:rStyle w:val="42"/>
          <w:color w:val="000000"/>
          <w:lang/>
        </w:rPr>
        <w:instrText xml:space="preserve"> </w:instrText>
      </w:r>
      <w:r>
        <w:rPr>
          <w:color w:val="000000"/>
          <w:lang/>
        </w:rPr>
        <w:fldChar w:fldCharType="separate"/>
      </w:r>
      <w:r>
        <w:rPr>
          <w:rStyle w:val="42"/>
          <w:color w:val="000000"/>
          <w:lang/>
        </w:rPr>
        <w:t xml:space="preserve">7.2.3 </w:t>
      </w:r>
      <w:r>
        <w:rPr>
          <w:rStyle w:val="42"/>
          <w:rFonts w:hint="eastAsia"/>
          <w:color w:val="000000"/>
          <w:lang/>
        </w:rPr>
        <w:t>保证稳定的清洁生产资金来源</w:t>
      </w:r>
      <w:r>
        <w:rPr>
          <w:color w:val="000000"/>
          <w:lang/>
        </w:rPr>
        <w:tab/>
      </w:r>
      <w:r>
        <w:rPr>
          <w:color w:val="000000"/>
          <w:lang/>
        </w:rPr>
        <w:fldChar w:fldCharType="begin"/>
      </w:r>
      <w:r>
        <w:rPr>
          <w:color w:val="000000"/>
          <w:lang/>
        </w:rPr>
        <w:instrText xml:space="preserve"> PAGEREF _Toc23000947 \h </w:instrText>
      </w:r>
      <w:r>
        <w:rPr>
          <w:color w:val="000000"/>
          <w:lang/>
        </w:rPr>
        <w:fldChar w:fldCharType="separate"/>
      </w:r>
      <w:r>
        <w:rPr>
          <w:color w:val="000000"/>
          <w:lang/>
        </w:rPr>
        <w:t>125</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"_Toc23000948"</w:instrText>
      </w:r>
      <w:r>
        <w:rPr>
          <w:rStyle w:val="42"/>
          <w:color w:val="000000"/>
          <w:lang/>
        </w:rPr>
        <w:instrText xml:space="preserve"> </w:instrText>
      </w:r>
      <w:r>
        <w:rPr>
          <w:color w:val="000000"/>
          <w:lang/>
        </w:rPr>
        <w:fldChar w:fldCharType="separate"/>
      </w:r>
      <w:r>
        <w:rPr>
          <w:rStyle w:val="42"/>
          <w:color w:val="000000"/>
          <w:lang/>
        </w:rPr>
        <w:t xml:space="preserve">7.2.4 </w:t>
      </w:r>
      <w:r>
        <w:rPr>
          <w:rStyle w:val="42"/>
          <w:rFonts w:hint="eastAsia"/>
          <w:color w:val="000000"/>
          <w:lang/>
        </w:rPr>
        <w:t>建立和完善操作规程和规章制度</w:t>
      </w:r>
      <w:r>
        <w:rPr>
          <w:color w:val="000000"/>
          <w:lang/>
        </w:rPr>
        <w:tab/>
      </w:r>
      <w:r>
        <w:rPr>
          <w:color w:val="000000"/>
          <w:lang/>
        </w:rPr>
        <w:fldChar w:fldCharType="begin"/>
      </w:r>
      <w:r>
        <w:rPr>
          <w:color w:val="000000"/>
          <w:lang/>
        </w:rPr>
        <w:instrText xml:space="preserve"> PAGEREF _Toc23000948 \h </w:instrText>
      </w:r>
      <w:r>
        <w:rPr>
          <w:color w:val="000000"/>
          <w:lang/>
        </w:rPr>
        <w:fldChar w:fldCharType="separate"/>
      </w:r>
      <w:r>
        <w:rPr>
          <w:color w:val="000000"/>
          <w:lang/>
        </w:rPr>
        <w:t>125</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"_Toc23000949"</w:instrText>
      </w:r>
      <w:r>
        <w:rPr>
          <w:rStyle w:val="42"/>
          <w:color w:val="000000"/>
          <w:lang/>
        </w:rPr>
        <w:instrText xml:space="preserve"> </w:instrText>
      </w:r>
      <w:r>
        <w:rPr>
          <w:color w:val="000000"/>
          <w:lang/>
        </w:rPr>
        <w:fldChar w:fldCharType="separate"/>
      </w:r>
      <w:r>
        <w:rPr>
          <w:rStyle w:val="42"/>
          <w:color w:val="000000"/>
          <w:lang/>
        </w:rPr>
        <w:t xml:space="preserve">7.2.5 </w:t>
      </w:r>
      <w:r>
        <w:rPr>
          <w:rStyle w:val="42"/>
          <w:rFonts w:hint="eastAsia"/>
          <w:color w:val="000000"/>
          <w:lang/>
        </w:rPr>
        <w:t>把清洁生产审核工作纳入企业的全面管理体系</w:t>
      </w:r>
      <w:r>
        <w:rPr>
          <w:color w:val="000000"/>
          <w:lang/>
        </w:rPr>
        <w:tab/>
      </w:r>
      <w:r>
        <w:rPr>
          <w:color w:val="000000"/>
          <w:lang/>
        </w:rPr>
        <w:fldChar w:fldCharType="begin"/>
      </w:r>
      <w:r>
        <w:rPr>
          <w:color w:val="000000"/>
          <w:lang/>
        </w:rPr>
        <w:instrText xml:space="preserve"> PAGEREF _Toc23000949 \h </w:instrText>
      </w:r>
      <w:r>
        <w:rPr>
          <w:color w:val="000000"/>
          <w:lang/>
        </w:rPr>
        <w:fldChar w:fldCharType="separate"/>
      </w:r>
      <w:r>
        <w:rPr>
          <w:color w:val="000000"/>
          <w:lang/>
        </w:rPr>
        <w:t>125</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"_Toc23000950"</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7.3  </w:t>
      </w:r>
      <w:r>
        <w:rPr>
          <w:rStyle w:val="42"/>
          <w:rFonts w:hint="eastAsia" w:ascii="宋体" w:hAnsi="宋体"/>
          <w:color w:val="000000"/>
          <w:lang/>
        </w:rPr>
        <w:t>持续清洁生产计划</w:t>
      </w:r>
      <w:r>
        <w:rPr>
          <w:color w:val="000000"/>
          <w:lang/>
        </w:rPr>
        <w:tab/>
      </w:r>
      <w:r>
        <w:rPr>
          <w:color w:val="000000"/>
          <w:lang/>
        </w:rPr>
        <w:fldChar w:fldCharType="begin"/>
      </w:r>
      <w:r>
        <w:rPr>
          <w:color w:val="000000"/>
          <w:lang/>
        </w:rPr>
        <w:instrText xml:space="preserve"> PAGEREF _Toc23000950 \h </w:instrText>
      </w:r>
      <w:r>
        <w:rPr>
          <w:color w:val="000000"/>
          <w:lang/>
        </w:rPr>
        <w:fldChar w:fldCharType="separate"/>
      </w:r>
      <w:r>
        <w:rPr>
          <w:color w:val="000000"/>
          <w:lang/>
        </w:rPr>
        <w:t>126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"_Toc23000951"</w:instrText>
      </w:r>
      <w:r>
        <w:rPr>
          <w:rStyle w:val="42"/>
          <w:color w:val="000000"/>
          <w:lang/>
        </w:rPr>
        <w:instrText xml:space="preserve"> </w:instrText>
      </w:r>
      <w:r>
        <w:rPr>
          <w:color w:val="000000"/>
          <w:lang/>
        </w:rPr>
        <w:fldChar w:fldCharType="separate"/>
      </w:r>
      <w:r>
        <w:rPr>
          <w:rStyle w:val="42"/>
          <w:color w:val="000000"/>
          <w:lang/>
        </w:rPr>
        <w:t xml:space="preserve">7.3.1 </w:t>
      </w:r>
      <w:r>
        <w:rPr>
          <w:rStyle w:val="42"/>
          <w:rFonts w:hint="eastAsia"/>
          <w:color w:val="000000"/>
          <w:lang/>
        </w:rPr>
        <w:t>制定持续清洁生产计划</w:t>
      </w:r>
      <w:r>
        <w:rPr>
          <w:color w:val="000000"/>
          <w:lang/>
        </w:rPr>
        <w:tab/>
      </w:r>
      <w:r>
        <w:rPr>
          <w:color w:val="000000"/>
          <w:lang/>
        </w:rPr>
        <w:fldChar w:fldCharType="begin"/>
      </w:r>
      <w:r>
        <w:rPr>
          <w:color w:val="000000"/>
          <w:lang/>
        </w:rPr>
        <w:instrText xml:space="preserve"> PAGEREF _Toc23000951 \h </w:instrText>
      </w:r>
      <w:r>
        <w:rPr>
          <w:color w:val="000000"/>
          <w:lang/>
        </w:rPr>
        <w:fldChar w:fldCharType="separate"/>
      </w:r>
      <w:r>
        <w:rPr>
          <w:color w:val="000000"/>
          <w:lang/>
        </w:rPr>
        <w:t>126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"_Toc23000952"</w:instrText>
      </w:r>
      <w:r>
        <w:rPr>
          <w:rStyle w:val="42"/>
          <w:color w:val="000000"/>
          <w:lang/>
        </w:rPr>
        <w:instrText xml:space="preserve"> </w:instrText>
      </w:r>
      <w:r>
        <w:rPr>
          <w:color w:val="000000"/>
          <w:lang/>
        </w:rPr>
        <w:fldChar w:fldCharType="separate"/>
      </w:r>
      <w:r>
        <w:rPr>
          <w:rStyle w:val="42"/>
          <w:rFonts w:ascii="宋体" w:hAnsi="宋体"/>
          <w:color w:val="000000"/>
          <w:lang/>
        </w:rPr>
        <w:t xml:space="preserve">7.3.2 </w:t>
      </w:r>
      <w:r>
        <w:rPr>
          <w:rStyle w:val="42"/>
          <w:rFonts w:hint="eastAsia" w:ascii="宋体" w:hAnsi="宋体"/>
          <w:color w:val="000000"/>
          <w:lang/>
        </w:rPr>
        <w:t>清洁生产方案的实施计划</w:t>
      </w:r>
      <w:r>
        <w:rPr>
          <w:color w:val="000000"/>
          <w:lang/>
        </w:rPr>
        <w:tab/>
      </w:r>
      <w:r>
        <w:rPr>
          <w:color w:val="000000"/>
          <w:lang/>
        </w:rPr>
        <w:fldChar w:fldCharType="begin"/>
      </w:r>
      <w:r>
        <w:rPr>
          <w:color w:val="000000"/>
          <w:lang/>
        </w:rPr>
        <w:instrText xml:space="preserve"> PAGEREF _Toc23000952 \h </w:instrText>
      </w:r>
      <w:r>
        <w:rPr>
          <w:color w:val="000000"/>
          <w:lang/>
        </w:rPr>
        <w:fldChar w:fldCharType="separate"/>
      </w:r>
      <w:r>
        <w:rPr>
          <w:color w:val="000000"/>
          <w:lang/>
        </w:rPr>
        <w:t>126</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"_Toc23000953"</w:instrText>
      </w:r>
      <w:r>
        <w:rPr>
          <w:rStyle w:val="42"/>
          <w:color w:val="000000"/>
          <w:lang/>
        </w:rPr>
        <w:instrText xml:space="preserve"> </w:instrText>
      </w:r>
      <w:r>
        <w:rPr>
          <w:color w:val="000000"/>
          <w:lang/>
        </w:rPr>
        <w:fldChar w:fldCharType="separate"/>
      </w:r>
      <w:r>
        <w:rPr>
          <w:rStyle w:val="42"/>
          <w:color w:val="000000"/>
          <w:lang/>
        </w:rPr>
        <w:t xml:space="preserve">7.3.3 </w:t>
      </w:r>
      <w:r>
        <w:rPr>
          <w:rStyle w:val="42"/>
          <w:rFonts w:hint="eastAsia"/>
          <w:color w:val="000000"/>
          <w:lang/>
        </w:rPr>
        <w:t>总结经验，不断完善清洁生产审核技术</w:t>
      </w:r>
      <w:r>
        <w:rPr>
          <w:color w:val="000000"/>
          <w:lang/>
        </w:rPr>
        <w:tab/>
      </w:r>
      <w:r>
        <w:rPr>
          <w:color w:val="000000"/>
          <w:lang/>
        </w:rPr>
        <w:fldChar w:fldCharType="begin"/>
      </w:r>
      <w:r>
        <w:rPr>
          <w:color w:val="000000"/>
          <w:lang/>
        </w:rPr>
        <w:instrText xml:space="preserve"> PAGEREF _Toc23000953 \h </w:instrText>
      </w:r>
      <w:r>
        <w:rPr>
          <w:color w:val="000000"/>
          <w:lang/>
        </w:rPr>
        <w:fldChar w:fldCharType="separate"/>
      </w:r>
      <w:r>
        <w:rPr>
          <w:color w:val="000000"/>
          <w:lang/>
        </w:rPr>
        <w:t>127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"_Toc23000954"</w:instrText>
      </w:r>
      <w:r>
        <w:rPr>
          <w:rStyle w:val="42"/>
          <w:color w:val="000000"/>
          <w:lang/>
        </w:rPr>
        <w:instrText xml:space="preserve"> </w:instrText>
      </w:r>
      <w:r>
        <w:rPr>
          <w:color w:val="000000"/>
          <w:lang/>
        </w:rPr>
        <w:fldChar w:fldCharType="separate"/>
      </w:r>
      <w:r>
        <w:rPr>
          <w:rStyle w:val="42"/>
          <w:color w:val="000000"/>
          <w:lang/>
        </w:rPr>
        <w:t xml:space="preserve">7.3.4 </w:t>
      </w:r>
      <w:r>
        <w:rPr>
          <w:rStyle w:val="42"/>
          <w:rFonts w:hint="eastAsia"/>
          <w:color w:val="000000"/>
          <w:lang/>
        </w:rPr>
        <w:t>制定企业员工清洁生产培训计划</w:t>
      </w:r>
      <w:r>
        <w:rPr>
          <w:color w:val="000000"/>
          <w:lang/>
        </w:rPr>
        <w:tab/>
      </w:r>
      <w:r>
        <w:rPr>
          <w:color w:val="000000"/>
          <w:lang/>
        </w:rPr>
        <w:fldChar w:fldCharType="begin"/>
      </w:r>
      <w:r>
        <w:rPr>
          <w:color w:val="000000"/>
          <w:lang/>
        </w:rPr>
        <w:instrText xml:space="preserve"> PAGEREF _Toc23000954 \h </w:instrText>
      </w:r>
      <w:r>
        <w:rPr>
          <w:color w:val="000000"/>
          <w:lang/>
        </w:rPr>
        <w:fldChar w:fldCharType="separate"/>
      </w:r>
      <w:r>
        <w:rPr>
          <w:color w:val="000000"/>
          <w:lang/>
        </w:rPr>
        <w:t>127</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"_Toc23000955"</w:instrText>
      </w:r>
      <w:r>
        <w:rPr>
          <w:rStyle w:val="42"/>
          <w:color w:val="000000"/>
          <w:lang/>
        </w:rPr>
        <w:instrText xml:space="preserve"> </w:instrText>
      </w:r>
      <w:r>
        <w:rPr>
          <w:color w:val="000000"/>
          <w:lang/>
        </w:rPr>
        <w:fldChar w:fldCharType="separate"/>
      </w:r>
      <w:r>
        <w:rPr>
          <w:rStyle w:val="42"/>
          <w:color w:val="000000"/>
          <w:lang/>
        </w:rPr>
        <w:t xml:space="preserve">7.3.5 </w:t>
      </w:r>
      <w:r>
        <w:rPr>
          <w:rStyle w:val="42"/>
          <w:rFonts w:hint="eastAsia"/>
          <w:color w:val="000000"/>
          <w:lang/>
        </w:rPr>
        <w:t>下一轮清洁生产审核重点及目标</w:t>
      </w:r>
      <w:r>
        <w:rPr>
          <w:color w:val="000000"/>
          <w:lang/>
        </w:rPr>
        <w:tab/>
      </w:r>
      <w:r>
        <w:rPr>
          <w:color w:val="000000"/>
          <w:lang/>
        </w:rPr>
        <w:fldChar w:fldCharType="begin"/>
      </w:r>
      <w:r>
        <w:rPr>
          <w:color w:val="000000"/>
          <w:lang/>
        </w:rPr>
        <w:instrText xml:space="preserve"> PAGEREF _Toc23000955 \h </w:instrText>
      </w:r>
      <w:r>
        <w:rPr>
          <w:color w:val="000000"/>
          <w:lang/>
        </w:rPr>
        <w:fldChar w:fldCharType="separate"/>
      </w:r>
      <w:r>
        <w:rPr>
          <w:color w:val="000000"/>
          <w:lang/>
        </w:rPr>
        <w:t>128</w:t>
      </w:r>
      <w:r>
        <w:rPr>
          <w:color w:val="000000"/>
          <w:lang/>
        </w:rPr>
        <w:fldChar w:fldCharType="end"/>
      </w:r>
      <w:r>
        <w:rPr>
          <w:color w:val="000000"/>
          <w:lang/>
        </w:rPr>
        <w:fldChar w:fldCharType="end"/>
      </w:r>
    </w:p>
    <w:p>
      <w:pPr>
        <w:pStyle w:val="23"/>
        <w:rPr>
          <w:rFonts w:ascii="Times New Roman" w:eastAsia="宋体"/>
          <w:color w:val="000000"/>
          <w:szCs w:val="24"/>
          <w:lang w:val="en-US" w:eastAsia="zh-CN"/>
        </w:rPr>
      </w:pPr>
      <w:r>
        <w:rPr>
          <w:color w:val="000000"/>
          <w:lang/>
        </w:rPr>
        <w:fldChar w:fldCharType="begin"/>
      </w:r>
      <w:r>
        <w:rPr>
          <w:rStyle w:val="42"/>
          <w:color w:val="000000"/>
          <w:lang/>
        </w:rPr>
        <w:instrText xml:space="preserve"> </w:instrText>
      </w:r>
      <w:r>
        <w:rPr>
          <w:color w:val="000000"/>
          <w:lang/>
        </w:rPr>
        <w:instrText xml:space="preserve">HYPERLINK \l "_Toc23000956"</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结</w:t>
      </w:r>
      <w:r>
        <w:rPr>
          <w:rStyle w:val="42"/>
          <w:rFonts w:ascii="宋体" w:hAnsi="宋体"/>
          <w:color w:val="000000"/>
          <w:lang/>
        </w:rPr>
        <w:t xml:space="preserve">  </w:t>
      </w:r>
      <w:r>
        <w:rPr>
          <w:rStyle w:val="42"/>
          <w:rFonts w:hint="eastAsia" w:ascii="宋体" w:hAnsi="宋体"/>
          <w:color w:val="000000"/>
          <w:lang/>
        </w:rPr>
        <w:t>论</w:t>
      </w:r>
      <w:r>
        <w:rPr>
          <w:color w:val="000000"/>
          <w:lang/>
        </w:rPr>
        <w:tab/>
      </w:r>
      <w:r>
        <w:rPr>
          <w:color w:val="000000"/>
          <w:lang/>
        </w:rPr>
        <w:fldChar w:fldCharType="begin"/>
      </w:r>
      <w:r>
        <w:rPr>
          <w:color w:val="000000"/>
          <w:lang/>
        </w:rPr>
        <w:instrText xml:space="preserve"> PAGEREF _Toc23000956 \h </w:instrText>
      </w:r>
      <w:r>
        <w:rPr>
          <w:color w:val="000000"/>
          <w:lang/>
        </w:rPr>
        <w:fldChar w:fldCharType="separate"/>
      </w:r>
      <w:r>
        <w:rPr>
          <w:color w:val="000000"/>
          <w:lang/>
        </w:rPr>
        <w:t>129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"_Toc23000957"</w:instrText>
      </w:r>
      <w:r>
        <w:rPr>
          <w:rStyle w:val="42"/>
          <w:color w:val="000000"/>
          <w:lang/>
        </w:rPr>
        <w:instrText xml:space="preserve"> </w:instrText>
      </w:r>
      <w:r>
        <w:rPr>
          <w:color w:val="000000"/>
          <w:lang/>
        </w:rPr>
        <w:fldChar w:fldCharType="separate"/>
      </w:r>
      <w:r>
        <w:rPr>
          <w:rStyle w:val="42"/>
          <w:rFonts w:ascii="宋体" w:hAnsi="宋体"/>
          <w:color w:val="000000"/>
          <w:lang/>
        </w:rPr>
        <w:t>1</w:t>
      </w:r>
      <w:r>
        <w:rPr>
          <w:rStyle w:val="42"/>
          <w:rFonts w:hint="eastAsia" w:ascii="宋体" w:hAnsi="宋体"/>
          <w:color w:val="000000"/>
          <w:lang/>
        </w:rPr>
        <w:t>、企业清洁生产水平</w:t>
      </w:r>
      <w:r>
        <w:rPr>
          <w:color w:val="000000"/>
          <w:lang/>
        </w:rPr>
        <w:tab/>
      </w:r>
      <w:r>
        <w:rPr>
          <w:color w:val="000000"/>
          <w:lang/>
        </w:rPr>
        <w:fldChar w:fldCharType="begin"/>
      </w:r>
      <w:r>
        <w:rPr>
          <w:color w:val="000000"/>
          <w:lang/>
        </w:rPr>
        <w:instrText xml:space="preserve"> PAGEREF _Toc23000957 \h </w:instrText>
      </w:r>
      <w:r>
        <w:rPr>
          <w:color w:val="000000"/>
          <w:lang/>
        </w:rPr>
        <w:fldChar w:fldCharType="separate"/>
      </w:r>
      <w:r>
        <w:rPr>
          <w:color w:val="000000"/>
          <w:lang/>
        </w:rPr>
        <w:t>129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"_Toc23000958"</w:instrText>
      </w:r>
      <w:r>
        <w:rPr>
          <w:rStyle w:val="42"/>
          <w:color w:val="000000"/>
          <w:lang/>
        </w:rPr>
        <w:instrText xml:space="preserve"> </w:instrText>
      </w:r>
      <w:r>
        <w:rPr>
          <w:color w:val="000000"/>
          <w:lang/>
        </w:rPr>
        <w:fldChar w:fldCharType="separate"/>
      </w:r>
      <w:r>
        <w:rPr>
          <w:rStyle w:val="42"/>
          <w:rFonts w:ascii="宋体" w:hAnsi="宋体"/>
          <w:color w:val="000000"/>
          <w:lang/>
        </w:rPr>
        <w:t>2</w:t>
      </w:r>
      <w:r>
        <w:rPr>
          <w:rStyle w:val="42"/>
          <w:rFonts w:hint="eastAsia" w:ascii="宋体" w:hAnsi="宋体"/>
          <w:color w:val="000000"/>
          <w:lang/>
        </w:rPr>
        <w:t>、企业产污、排污现状所处水平及其真实性、合理性评价</w:t>
      </w:r>
      <w:r>
        <w:rPr>
          <w:color w:val="000000"/>
          <w:lang/>
        </w:rPr>
        <w:tab/>
      </w:r>
      <w:r>
        <w:rPr>
          <w:color w:val="000000"/>
          <w:lang/>
        </w:rPr>
        <w:fldChar w:fldCharType="begin"/>
      </w:r>
      <w:r>
        <w:rPr>
          <w:color w:val="000000"/>
          <w:lang/>
        </w:rPr>
        <w:instrText xml:space="preserve"> PAGEREF _Toc23000958 \h </w:instrText>
      </w:r>
      <w:r>
        <w:rPr>
          <w:color w:val="000000"/>
          <w:lang/>
        </w:rPr>
        <w:fldChar w:fldCharType="separate"/>
      </w:r>
      <w:r>
        <w:rPr>
          <w:color w:val="000000"/>
          <w:lang/>
        </w:rPr>
        <w:t>129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"_Toc23000959"</w:instrText>
      </w:r>
      <w:r>
        <w:rPr>
          <w:rStyle w:val="42"/>
          <w:color w:val="000000"/>
          <w:lang/>
        </w:rPr>
        <w:instrText xml:space="preserve"> </w:instrText>
      </w:r>
      <w:r>
        <w:rPr>
          <w:color w:val="000000"/>
          <w:lang/>
        </w:rPr>
        <w:fldChar w:fldCharType="separate"/>
      </w:r>
      <w:r>
        <w:rPr>
          <w:rStyle w:val="42"/>
          <w:rFonts w:ascii="宋体" w:hAnsi="宋体"/>
          <w:color w:val="000000"/>
          <w:lang/>
        </w:rPr>
        <w:t>3</w:t>
      </w:r>
      <w:r>
        <w:rPr>
          <w:rStyle w:val="42"/>
          <w:rFonts w:hint="eastAsia" w:ascii="宋体" w:hAnsi="宋体"/>
          <w:color w:val="000000"/>
          <w:lang/>
        </w:rPr>
        <w:t>、清洁生产审核目标的完成情况</w:t>
      </w:r>
      <w:r>
        <w:rPr>
          <w:color w:val="000000"/>
          <w:lang/>
        </w:rPr>
        <w:tab/>
      </w:r>
      <w:r>
        <w:rPr>
          <w:color w:val="000000"/>
          <w:lang/>
        </w:rPr>
        <w:fldChar w:fldCharType="begin"/>
      </w:r>
      <w:r>
        <w:rPr>
          <w:color w:val="000000"/>
          <w:lang/>
        </w:rPr>
        <w:instrText xml:space="preserve"> PAGEREF _Toc23000959 \h </w:instrText>
      </w:r>
      <w:r>
        <w:rPr>
          <w:color w:val="000000"/>
          <w:lang/>
        </w:rPr>
        <w:fldChar w:fldCharType="separate"/>
      </w:r>
      <w:r>
        <w:rPr>
          <w:color w:val="000000"/>
          <w:lang/>
        </w:rPr>
        <w:t>129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"_Toc23000960"</w:instrText>
      </w:r>
      <w:r>
        <w:rPr>
          <w:rStyle w:val="42"/>
          <w:color w:val="000000"/>
          <w:lang/>
        </w:rPr>
        <w:instrText xml:space="preserve"> </w:instrText>
      </w:r>
      <w:r>
        <w:rPr>
          <w:color w:val="000000"/>
          <w:lang/>
        </w:rPr>
        <w:fldChar w:fldCharType="separate"/>
      </w:r>
      <w:r>
        <w:rPr>
          <w:rStyle w:val="42"/>
          <w:rFonts w:ascii="宋体" w:hAnsi="宋体"/>
          <w:color w:val="000000"/>
          <w:lang/>
        </w:rPr>
        <w:t>4</w:t>
      </w:r>
      <w:r>
        <w:rPr>
          <w:rStyle w:val="42"/>
          <w:rFonts w:hint="eastAsia" w:ascii="宋体" w:hAnsi="宋体"/>
          <w:color w:val="000000"/>
          <w:lang/>
        </w:rPr>
        <w:t>、清洁生产方案成果总结</w:t>
      </w:r>
      <w:r>
        <w:rPr>
          <w:color w:val="000000"/>
          <w:lang/>
        </w:rPr>
        <w:tab/>
      </w:r>
      <w:r>
        <w:rPr>
          <w:color w:val="000000"/>
          <w:lang/>
        </w:rPr>
        <w:fldChar w:fldCharType="begin"/>
      </w:r>
      <w:r>
        <w:rPr>
          <w:color w:val="000000"/>
          <w:lang/>
        </w:rPr>
        <w:instrText xml:space="preserve"> PAGEREF _Toc23000960 \h </w:instrText>
      </w:r>
      <w:r>
        <w:rPr>
          <w:color w:val="000000"/>
          <w:lang/>
        </w:rPr>
        <w:fldChar w:fldCharType="separate"/>
      </w:r>
      <w:r>
        <w:rPr>
          <w:color w:val="000000"/>
          <w:lang/>
        </w:rPr>
        <w:t>129</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"_Toc23000961"</w:instrText>
      </w:r>
      <w:r>
        <w:rPr>
          <w:rStyle w:val="42"/>
          <w:color w:val="000000"/>
          <w:lang/>
        </w:rPr>
        <w:instrText xml:space="preserve"> </w:instrText>
      </w:r>
      <w:r>
        <w:rPr>
          <w:color w:val="000000"/>
          <w:lang/>
        </w:rPr>
        <w:fldChar w:fldCharType="separate"/>
      </w:r>
      <w:r>
        <w:rPr>
          <w:rStyle w:val="42"/>
          <w:rFonts w:ascii="宋体" w:hAnsi="宋体"/>
          <w:color w:val="000000"/>
          <w:lang/>
        </w:rPr>
        <w:t>5</w:t>
      </w:r>
      <w:r>
        <w:rPr>
          <w:rStyle w:val="42"/>
          <w:rFonts w:hint="eastAsia" w:ascii="宋体" w:hAnsi="宋体"/>
          <w:color w:val="000000"/>
          <w:lang/>
        </w:rPr>
        <w:t>、改进的意见及建议</w:t>
      </w:r>
      <w:r>
        <w:rPr>
          <w:color w:val="000000"/>
          <w:lang/>
        </w:rPr>
        <w:tab/>
      </w:r>
      <w:r>
        <w:rPr>
          <w:color w:val="000000"/>
          <w:lang/>
        </w:rPr>
        <w:fldChar w:fldCharType="begin"/>
      </w:r>
      <w:r>
        <w:rPr>
          <w:color w:val="000000"/>
          <w:lang/>
        </w:rPr>
        <w:instrText xml:space="preserve"> PAGEREF _Toc23000961 \h </w:instrText>
      </w:r>
      <w:r>
        <w:rPr>
          <w:color w:val="000000"/>
          <w:lang/>
        </w:rPr>
        <w:fldChar w:fldCharType="separate"/>
      </w:r>
      <w:r>
        <w:rPr>
          <w:color w:val="000000"/>
          <w:lang/>
        </w:rPr>
        <w:t>129</w:t>
      </w:r>
      <w:r>
        <w:rPr>
          <w:color w:val="000000"/>
          <w:lang/>
        </w:rPr>
        <w:fldChar w:fldCharType="end"/>
      </w:r>
      <w:r>
        <w:rPr>
          <w:color w:val="000000"/>
          <w:lang/>
        </w:rPr>
        <w:fldChar w:fldCharType="end"/>
      </w:r>
    </w:p>
    <w:p>
      <w:pPr>
        <w:pStyle w:val="28"/>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"_Toc23000962"</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附件：</w:t>
      </w:r>
      <w:r>
        <w:rPr>
          <w:color w:val="000000"/>
          <w:lang/>
        </w:rPr>
        <w:tab/>
      </w:r>
      <w:r>
        <w:rPr>
          <w:color w:val="000000"/>
          <w:lang/>
        </w:rPr>
        <w:fldChar w:fldCharType="begin"/>
      </w:r>
      <w:r>
        <w:rPr>
          <w:color w:val="000000"/>
          <w:lang/>
        </w:rPr>
        <w:instrText xml:space="preserve"> PAGEREF _Toc23000962 \h </w:instrText>
      </w:r>
      <w:r>
        <w:rPr>
          <w:color w:val="000000"/>
          <w:lang/>
        </w:rPr>
        <w:fldChar w:fldCharType="separate"/>
      </w:r>
      <w:r>
        <w:rPr>
          <w:color w:val="000000"/>
          <w:lang/>
        </w:rPr>
        <w:t>131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"_Toc23000963"</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附件</w:t>
      </w:r>
      <w:r>
        <w:rPr>
          <w:rStyle w:val="42"/>
          <w:rFonts w:ascii="宋体" w:hAnsi="宋体"/>
          <w:color w:val="000000"/>
          <w:lang/>
        </w:rPr>
        <w:t>1</w:t>
      </w:r>
      <w:r>
        <w:rPr>
          <w:rStyle w:val="42"/>
          <w:rFonts w:hint="eastAsia" w:ascii="宋体" w:hAnsi="宋体"/>
          <w:color w:val="000000"/>
          <w:lang/>
        </w:rPr>
        <w:t>：企业清洁生产审核综合效益表</w:t>
      </w:r>
      <w:r>
        <w:rPr>
          <w:color w:val="000000"/>
          <w:lang/>
        </w:rPr>
        <w:tab/>
      </w:r>
      <w:r>
        <w:rPr>
          <w:color w:val="000000"/>
          <w:lang/>
        </w:rPr>
        <w:fldChar w:fldCharType="begin"/>
      </w:r>
      <w:r>
        <w:rPr>
          <w:color w:val="000000"/>
          <w:lang/>
        </w:rPr>
        <w:instrText xml:space="preserve"> PAGEREF _Toc23000963 \h </w:instrText>
      </w:r>
      <w:r>
        <w:rPr>
          <w:color w:val="000000"/>
          <w:lang/>
        </w:rPr>
        <w:fldChar w:fldCharType="separate"/>
      </w:r>
      <w:r>
        <w:rPr>
          <w:color w:val="000000"/>
          <w:lang/>
        </w:rPr>
        <w:t>131</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"_Toc23000964"</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附件</w:t>
      </w:r>
      <w:r>
        <w:rPr>
          <w:rStyle w:val="42"/>
          <w:rFonts w:ascii="宋体" w:hAnsi="宋体"/>
          <w:color w:val="000000"/>
          <w:lang/>
        </w:rPr>
        <w:t>2</w:t>
      </w:r>
      <w:r>
        <w:rPr>
          <w:rStyle w:val="42"/>
          <w:rFonts w:hint="eastAsia" w:ascii="宋体" w:hAnsi="宋体"/>
          <w:color w:val="000000"/>
          <w:lang/>
        </w:rPr>
        <w:t>：企业清洁生产审核环境效益表</w:t>
      </w:r>
      <w:r>
        <w:rPr>
          <w:color w:val="000000"/>
          <w:lang/>
        </w:rPr>
        <w:tab/>
      </w:r>
      <w:r>
        <w:rPr>
          <w:color w:val="000000"/>
          <w:lang/>
        </w:rPr>
        <w:fldChar w:fldCharType="begin"/>
      </w:r>
      <w:r>
        <w:rPr>
          <w:color w:val="000000"/>
          <w:lang/>
        </w:rPr>
        <w:instrText xml:space="preserve"> PAGEREF _Toc23000964 \h </w:instrText>
      </w:r>
      <w:r>
        <w:rPr>
          <w:color w:val="000000"/>
          <w:lang/>
        </w:rPr>
        <w:fldChar w:fldCharType="separate"/>
      </w:r>
      <w:r>
        <w:rPr>
          <w:color w:val="000000"/>
          <w:lang/>
        </w:rPr>
        <w:t>132</w:t>
      </w:r>
      <w:r>
        <w:rPr>
          <w:color w:val="000000"/>
          <w:lang/>
        </w:rPr>
        <w:fldChar w:fldCharType="end"/>
      </w:r>
      <w:r>
        <w:rPr>
          <w:color w:val="000000"/>
          <w:lang/>
        </w:rPr>
        <w:fldChar w:fldCharType="end"/>
      </w:r>
    </w:p>
    <w:p>
      <w:pPr>
        <w:pStyle w:val="16"/>
        <w:tabs>
          <w:tab w:val="right" w:leader="dot" w:pos="9344"/>
        </w:tabs>
        <w:rPr>
          <w:color w:val="000000"/>
          <w:szCs w:val="24"/>
          <w:lang/>
        </w:rPr>
      </w:pPr>
      <w:r>
        <w:rPr>
          <w:color w:val="000000"/>
          <w:lang/>
        </w:rPr>
        <w:fldChar w:fldCharType="begin"/>
      </w:r>
      <w:r>
        <w:rPr>
          <w:rStyle w:val="42"/>
          <w:color w:val="000000"/>
          <w:lang/>
        </w:rPr>
        <w:instrText xml:space="preserve"> </w:instrText>
      </w:r>
      <w:r>
        <w:rPr>
          <w:color w:val="000000"/>
          <w:lang/>
        </w:rPr>
        <w:instrText xml:space="preserve">HYPERLINK \l "_Toc23000965"</w:instrText>
      </w:r>
      <w:r>
        <w:rPr>
          <w:rStyle w:val="42"/>
          <w:color w:val="000000"/>
          <w:lang/>
        </w:rPr>
        <w:instrText xml:space="preserve"> </w:instrText>
      </w:r>
      <w:r>
        <w:rPr>
          <w:color w:val="000000"/>
          <w:lang/>
        </w:rPr>
        <w:fldChar w:fldCharType="separate"/>
      </w:r>
      <w:r>
        <w:rPr>
          <w:rStyle w:val="42"/>
          <w:rFonts w:hint="eastAsia" w:ascii="宋体" w:hAnsi="宋体"/>
          <w:color w:val="000000"/>
          <w:lang/>
        </w:rPr>
        <w:t>附件</w:t>
      </w:r>
      <w:r>
        <w:rPr>
          <w:rStyle w:val="42"/>
          <w:rFonts w:ascii="宋体" w:hAnsi="宋体"/>
          <w:color w:val="000000"/>
          <w:lang/>
        </w:rPr>
        <w:t>3</w:t>
      </w:r>
      <w:r>
        <w:rPr>
          <w:rStyle w:val="42"/>
          <w:rFonts w:hint="eastAsia" w:ascii="宋体" w:hAnsi="宋体"/>
          <w:color w:val="000000"/>
          <w:lang/>
        </w:rPr>
        <w:t>：辅导企业清洁生产审核师资格证书</w:t>
      </w:r>
      <w:r>
        <w:rPr>
          <w:color w:val="000000"/>
          <w:lang/>
        </w:rPr>
        <w:tab/>
      </w:r>
      <w:r>
        <w:rPr>
          <w:color w:val="000000"/>
          <w:lang/>
        </w:rPr>
        <w:fldChar w:fldCharType="begin"/>
      </w:r>
      <w:r>
        <w:rPr>
          <w:color w:val="000000"/>
          <w:lang/>
        </w:rPr>
        <w:instrText xml:space="preserve"> PAGEREF _Toc23000965 \h </w:instrText>
      </w:r>
      <w:r>
        <w:rPr>
          <w:color w:val="000000"/>
          <w:lang/>
        </w:rPr>
        <w:fldChar w:fldCharType="separate"/>
      </w:r>
      <w:r>
        <w:rPr>
          <w:color w:val="000000"/>
          <w:lang/>
        </w:rPr>
        <w:t>134</w:t>
      </w:r>
      <w:r>
        <w:rPr>
          <w:color w:val="000000"/>
          <w:lang/>
        </w:rPr>
        <w:fldChar w:fldCharType="end"/>
      </w:r>
      <w:r>
        <w:rPr>
          <w:color w:val="000000"/>
          <w:lang/>
        </w:rPr>
        <w:fldChar w:fldCharType="end"/>
      </w:r>
    </w:p>
    <w:p>
      <w:pPr>
        <w:spacing w:line="320" w:lineRule="exact"/>
        <w:ind w:firstLine="840" w:firstLineChars="400"/>
        <w:rPr>
          <w:rFonts w:hint="eastAsia" w:ascii="宋体" w:hAnsi="宋体"/>
          <w:color w:val="000000"/>
          <w:szCs w:val="21"/>
        </w:rPr>
      </w:pPr>
      <w:r>
        <w:rPr>
          <w:color w:val="000000"/>
          <w:szCs w:val="21"/>
        </w:rPr>
        <w:fldChar w:fldCharType="end"/>
      </w:r>
      <w:r>
        <w:rPr>
          <w:rFonts w:hint="eastAsia" w:ascii="宋体" w:hAnsi="宋体"/>
          <w:color w:val="000000"/>
          <w:szCs w:val="21"/>
        </w:rPr>
        <w:t>附件4：企业排污许可证、审核前后监测报告及项目批复文件</w:t>
      </w:r>
    </w:p>
    <w:p>
      <w:pPr>
        <w:ind w:firstLine="840" w:firstLineChars="400"/>
        <w:rPr>
          <w:rFonts w:hint="eastAsia" w:ascii="宋体" w:hAnsi="宋体"/>
          <w:color w:val="000000"/>
          <w:szCs w:val="21"/>
        </w:rPr>
      </w:pPr>
      <w:r>
        <w:rPr>
          <w:rFonts w:hint="eastAsia" w:ascii="宋体" w:hAnsi="宋体"/>
          <w:color w:val="000000"/>
          <w:szCs w:val="21"/>
        </w:rPr>
        <w:t>附件5：公司清洁生产审核相关文件及资料</w:t>
      </w:r>
    </w:p>
    <w:p>
      <w:pPr>
        <w:ind w:firstLine="840" w:firstLineChars="400"/>
        <w:rPr>
          <w:rFonts w:hint="eastAsia" w:ascii="宋体" w:hAnsi="宋体"/>
          <w:color w:val="000000"/>
          <w:szCs w:val="21"/>
        </w:rPr>
      </w:pPr>
      <w:r>
        <w:rPr>
          <w:rFonts w:hint="eastAsia" w:ascii="宋体" w:hAnsi="宋体"/>
          <w:color w:val="000000"/>
          <w:szCs w:val="21"/>
        </w:rPr>
        <w:t>附件6：危险废物处置合同</w:t>
      </w:r>
    </w:p>
    <w:p>
      <w:pPr>
        <w:ind w:firstLine="840" w:firstLineChars="400"/>
        <w:rPr>
          <w:rFonts w:hint="eastAsia" w:ascii="宋体" w:hAnsi="宋体"/>
          <w:color w:val="000000"/>
          <w:szCs w:val="21"/>
        </w:rPr>
      </w:pPr>
      <w:r>
        <w:rPr>
          <w:rFonts w:hint="eastAsia" w:ascii="宋体" w:hAnsi="宋体"/>
          <w:color w:val="000000"/>
          <w:szCs w:val="21"/>
        </w:rPr>
        <w:t>附件7：突发环境事件应急预案备案材料</w:t>
      </w:r>
    </w:p>
    <w:p>
      <w:pPr>
        <w:ind w:firstLine="840" w:firstLineChars="400"/>
        <w:rPr>
          <w:rFonts w:hint="eastAsia" w:ascii="宋体" w:hAnsi="宋体"/>
          <w:color w:val="000000"/>
          <w:szCs w:val="21"/>
        </w:rPr>
      </w:pPr>
      <w:r>
        <w:rPr>
          <w:rFonts w:hint="eastAsia" w:ascii="宋体" w:hAnsi="宋体"/>
          <w:color w:val="000000"/>
          <w:szCs w:val="21"/>
        </w:rPr>
        <w:t>附件8：政府下达的年度强审名单</w:t>
      </w:r>
    </w:p>
    <w:p>
      <w:pPr>
        <w:ind w:firstLine="840" w:firstLineChars="400"/>
        <w:rPr>
          <w:rFonts w:hint="eastAsia" w:ascii="宋体" w:hAnsi="宋体"/>
          <w:color w:val="000000"/>
          <w:szCs w:val="21"/>
        </w:rPr>
      </w:pPr>
      <w:r>
        <w:rPr>
          <w:rFonts w:hint="eastAsia" w:ascii="宋体" w:hAnsi="宋体"/>
          <w:color w:val="000000"/>
          <w:szCs w:val="21"/>
        </w:rPr>
        <w:t>附图：公司地理位置及车间平面图；公司清洁生产相关图片，资料；清洁生产中/高费方案实施对比图</w:t>
      </w:r>
    </w:p>
    <w:p>
      <w:pPr>
        <w:spacing w:line="320" w:lineRule="exact"/>
        <w:ind w:firstLine="840" w:firstLineChars="400"/>
        <w:rPr>
          <w:rFonts w:hint="eastAsia" w:ascii="宋体" w:hAnsi="宋体"/>
          <w:color w:val="000000"/>
          <w:szCs w:val="21"/>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rPr>
          <w:rFonts w:hint="eastAsia" w:ascii="宋体" w:hAnsi="宋体"/>
          <w:color w:val="000000"/>
          <w:sz w:val="18"/>
          <w:szCs w:val="18"/>
        </w:rPr>
      </w:pPr>
    </w:p>
    <w:p>
      <w:pPr>
        <w:pStyle w:val="3"/>
        <w:spacing w:before="0" w:after="0" w:line="420" w:lineRule="auto"/>
        <w:jc w:val="center"/>
        <w:rPr>
          <w:rFonts w:ascii="宋体" w:hAnsi="宋体"/>
          <w:color w:val="000000"/>
        </w:rPr>
      </w:pPr>
      <w:bookmarkStart w:id="6" w:name="_Toc23000845"/>
      <w:bookmarkStart w:id="7" w:name="_Toc287103894"/>
      <w:bookmarkStart w:id="8" w:name="_Toc253150599"/>
      <w:bookmarkStart w:id="9" w:name="_Toc367782181"/>
      <w:bookmarkStart w:id="10" w:name="_Toc474018545"/>
      <w:bookmarkStart w:id="11" w:name="_Toc461612452"/>
      <w:bookmarkStart w:id="12" w:name="_Toc422252442"/>
      <w:r>
        <w:rPr>
          <w:rFonts w:hint="eastAsia" w:ascii="宋体" w:hAnsi="宋体"/>
          <w:color w:val="000000"/>
        </w:rPr>
        <w:t>前  言</w:t>
      </w:r>
      <w:bookmarkEnd w:id="6"/>
      <w:bookmarkEnd w:id="7"/>
      <w:bookmarkEnd w:id="8"/>
      <w:bookmarkEnd w:id="9"/>
      <w:bookmarkEnd w:id="10"/>
      <w:bookmarkEnd w:id="11"/>
      <w:bookmarkEnd w:id="12"/>
    </w:p>
    <w:p>
      <w:pPr>
        <w:spacing w:line="360" w:lineRule="auto"/>
        <w:ind w:firstLine="480" w:firstLineChars="200"/>
        <w:rPr>
          <w:rFonts w:hint="eastAsia" w:ascii="宋体" w:hAnsi="宋体"/>
          <w:color w:val="000000"/>
          <w:sz w:val="24"/>
        </w:rPr>
      </w:pPr>
      <w:bookmarkStart w:id="13" w:name="_Toc422252447"/>
      <w:bookmarkStart w:id="14" w:name="_Toc468152802"/>
      <w:r>
        <w:rPr>
          <w:rFonts w:hint="eastAsia" w:ascii="宋体" w:hAnsi="宋体"/>
          <w:color w:val="000000"/>
          <w:sz w:val="24"/>
        </w:rPr>
        <w:t>云南罗平锌电股份有限公司富乐铅锌矿为云南罗平锌电股份有限公司下属分厂，其前身为罗平富乐铅锌矿，位于罗平县城最北端的富乐镇，距罗平县城90公里。矿区面积3.751平方公里，年生产规模10万吨。所从事的生产工作为矿山井下开拓、采掘、提升、运输等。云南罗平锌电股份有限公司富乐铅锌矿，始建于1984年，新建时为乡镇企业，1995年由云南罗平锌电股份有限公司整合收编。采用浮选工艺，洗选硫化铅锌矿，配套24台摇床设备，处理两套选矿系统的尾矿。</w:t>
      </w:r>
    </w:p>
    <w:p>
      <w:pPr>
        <w:spacing w:line="360" w:lineRule="auto"/>
        <w:ind w:firstLine="480" w:firstLineChars="200"/>
        <w:rPr>
          <w:rFonts w:hint="eastAsia" w:ascii="宋体" w:hAnsi="宋体"/>
          <w:color w:val="000000"/>
          <w:sz w:val="24"/>
        </w:rPr>
      </w:pPr>
      <w:r>
        <w:rPr>
          <w:rFonts w:hint="eastAsia" w:ascii="宋体" w:hAnsi="宋体"/>
          <w:color w:val="000000"/>
          <w:sz w:val="24"/>
        </w:rPr>
        <w:t>目前公司有两套选矿系统，即硫化矿选矿系统和氧化矿选矿系统，设计洗选规模均为入洗原矿200t/d，合计生产能力为入洗原矿400t/d，每年可洗选12万t原矿。由于当地铅锌矿资源以硫化矿为主，硫化矿系统一般能达到设计产能的80%以上。公司采矿厂开采的矿石全部提供给选矿厂作原料矿石。</w:t>
      </w:r>
    </w:p>
    <w:p>
      <w:pPr>
        <w:spacing w:line="360" w:lineRule="auto"/>
        <w:ind w:firstLine="480" w:firstLineChars="200"/>
        <w:rPr>
          <w:rFonts w:hint="eastAsia" w:hAnsi="宋体"/>
          <w:color w:val="000000"/>
          <w:sz w:val="24"/>
          <w:szCs w:val="24"/>
        </w:rPr>
      </w:pPr>
      <w:r>
        <w:rPr>
          <w:rFonts w:hint="eastAsia" w:hAnsi="宋体"/>
          <w:color w:val="000000"/>
          <w:sz w:val="24"/>
        </w:rPr>
        <w:t>根据《云南省生态环境厅关于公布2018年度开展强制性清洁生产审核企业名单的通知》的文件通知，</w:t>
      </w:r>
      <w:r>
        <w:rPr>
          <w:rFonts w:hint="eastAsia" w:hAnsi="宋体"/>
          <w:color w:val="000000"/>
          <w:spacing w:val="-5"/>
          <w:sz w:val="24"/>
          <w:szCs w:val="24"/>
        </w:rPr>
        <w:t>将公司纳入第十五批强制性清洁生产审核</w:t>
      </w:r>
      <w:r>
        <w:rPr>
          <w:rFonts w:hint="eastAsia" w:ascii="宋体" w:hAnsi="宋体"/>
          <w:color w:val="000000"/>
          <w:sz w:val="24"/>
        </w:rPr>
        <w:t>。接到通知后，公司领导非常重视，于</w:t>
      </w:r>
      <w:r>
        <w:rPr>
          <w:rFonts w:ascii="宋体" w:hAnsi="宋体"/>
          <w:color w:val="000000"/>
          <w:sz w:val="24"/>
        </w:rPr>
        <w:t>2019</w:t>
      </w:r>
      <w:r>
        <w:rPr>
          <w:rFonts w:hint="eastAsia" w:ascii="宋体" w:hAnsi="宋体"/>
          <w:color w:val="000000"/>
          <w:sz w:val="24"/>
        </w:rPr>
        <w:t>年1月全面开展清洁生产审核。公司成立了清洁生产审</w:t>
      </w:r>
      <w:r>
        <w:rPr>
          <w:rFonts w:hint="eastAsia" w:hAnsi="宋体"/>
          <w:color w:val="000000"/>
          <w:spacing w:val="-5"/>
          <w:sz w:val="24"/>
          <w:szCs w:val="24"/>
        </w:rPr>
        <w:t>核小组，召开清洁生产动员大会，举办清洁生产审核培训。</w:t>
      </w:r>
      <w:r>
        <w:rPr>
          <w:rFonts w:hint="eastAsia" w:hAnsi="宋体"/>
          <w:color w:val="000000"/>
          <w:sz w:val="24"/>
          <w:szCs w:val="24"/>
        </w:rPr>
        <w:t>由公司总经理</w:t>
      </w:r>
      <w:r>
        <w:rPr>
          <w:rFonts w:hint="eastAsia" w:ascii="宋体" w:hAnsi="宋体"/>
          <w:color w:val="000000"/>
          <w:spacing w:val="-5"/>
          <w:sz w:val="24"/>
        </w:rPr>
        <w:t>洪巩堤</w:t>
      </w:r>
      <w:r>
        <w:rPr>
          <w:rFonts w:hint="eastAsia" w:hAnsi="宋体"/>
          <w:color w:val="000000"/>
          <w:sz w:val="24"/>
          <w:szCs w:val="24"/>
        </w:rPr>
        <w:t>担任清洁生产领导小组组长，选矿厂厂长李志敏担任审核工作小组组长，公司</w:t>
      </w:r>
      <w:r>
        <w:rPr>
          <w:rFonts w:hint="eastAsia" w:hAnsi="宋体"/>
          <w:color w:val="000000"/>
          <w:sz w:val="24"/>
        </w:rPr>
        <w:t>环保科、各选矿车间等部门及生产车间</w:t>
      </w:r>
      <w:r>
        <w:rPr>
          <w:rFonts w:hint="eastAsia" w:hAnsi="宋体"/>
          <w:color w:val="000000"/>
          <w:sz w:val="24"/>
          <w:szCs w:val="24"/>
        </w:rPr>
        <w:t>主要负责人构成审核小组成员。</w:t>
      </w:r>
    </w:p>
    <w:p>
      <w:pPr>
        <w:pStyle w:val="17"/>
        <w:widowControl/>
        <w:tabs>
          <w:tab w:val="left" w:pos="0"/>
        </w:tabs>
        <w:spacing w:line="360" w:lineRule="auto"/>
        <w:ind w:left="18" w:firstLine="463" w:firstLineChars="193"/>
        <w:jc w:val="left"/>
        <w:rPr>
          <w:rFonts w:hint="eastAsia" w:hAnsi="宋体"/>
          <w:color w:val="000000"/>
          <w:sz w:val="24"/>
          <w:szCs w:val="24"/>
        </w:rPr>
      </w:pPr>
      <w:r>
        <w:rPr>
          <w:rFonts w:hint="eastAsia" w:hAnsi="宋体"/>
          <w:color w:val="000000"/>
          <w:sz w:val="24"/>
          <w:szCs w:val="24"/>
        </w:rPr>
        <w:t>公司按照清洁生产审核程序开展审核工作，对铅锌采选生产和产污排污进行调查分析，根据本公司实际，确定了选矿厂为重点审核车间，提出了提高工业用水重复使用率为审核目标。提出并实施中/高费方案完善选矿厂雨污分流系统、精矿库维护改造两个项目，取得了较好的环境效果，达到了降低鲜水用量，减少废水产生量，提高循环水利用效率，同时进一步加大对重金属的管理，顺利完成制定的清洁生产审核目标。</w:t>
      </w:r>
    </w:p>
    <w:p>
      <w:pPr>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清洁生产审核共实施29个方案，其中无/低费方案27个，中/高费方2个。无/低费方案投入资金</w:t>
      </w:r>
      <w:r>
        <w:rPr>
          <w:rFonts w:hint="eastAsia" w:ascii="宋体" w:hAnsi="宋体"/>
          <w:color w:val="000000"/>
          <w:sz w:val="24"/>
          <w:szCs w:val="24"/>
        </w:rPr>
        <w:t>23．884</w:t>
      </w:r>
      <w:r>
        <w:rPr>
          <w:rFonts w:hint="eastAsia" w:ascii="宋体" w:hAnsi="宋体" w:cs="宋体"/>
          <w:color w:val="000000"/>
          <w:sz w:val="24"/>
          <w:szCs w:val="24"/>
        </w:rPr>
        <w:t>万元，实现经济效益</w:t>
      </w:r>
      <w:r>
        <w:rPr>
          <w:rFonts w:hint="eastAsia" w:ascii="宋体" w:hAnsi="宋体"/>
          <w:color w:val="000000"/>
          <w:sz w:val="24"/>
          <w:szCs w:val="24"/>
        </w:rPr>
        <w:t>8．69</w:t>
      </w:r>
      <w:r>
        <w:rPr>
          <w:rFonts w:hint="eastAsia" w:ascii="宋体" w:hAnsi="宋体" w:cs="宋体"/>
          <w:color w:val="000000"/>
          <w:sz w:val="24"/>
          <w:szCs w:val="24"/>
        </w:rPr>
        <w:t>万元/年；中/高费方案投入资金</w:t>
      </w:r>
      <w:r>
        <w:rPr>
          <w:rFonts w:hint="eastAsia" w:ascii="宋体" w:hAnsi="宋体"/>
          <w:color w:val="000000"/>
          <w:sz w:val="24"/>
          <w:szCs w:val="24"/>
        </w:rPr>
        <w:t>91.85</w:t>
      </w:r>
      <w:r>
        <w:rPr>
          <w:rFonts w:hint="eastAsia" w:ascii="宋体" w:hAnsi="宋体" w:cs="宋体"/>
          <w:color w:val="000000"/>
          <w:sz w:val="24"/>
          <w:szCs w:val="24"/>
        </w:rPr>
        <w:t>万元，实现经济效益</w:t>
      </w:r>
      <w:r>
        <w:rPr>
          <w:rFonts w:hint="eastAsia" w:ascii="宋体" w:hAnsi="宋体"/>
          <w:color w:val="000000"/>
          <w:sz w:val="24"/>
          <w:szCs w:val="24"/>
        </w:rPr>
        <w:t>23</w:t>
      </w:r>
      <w:r>
        <w:rPr>
          <w:rFonts w:hint="eastAsia" w:ascii="宋体" w:hAnsi="宋体" w:cs="宋体"/>
          <w:color w:val="000000"/>
          <w:sz w:val="24"/>
          <w:szCs w:val="24"/>
        </w:rPr>
        <w:t>万元/年，合计投资115.73万元,取得经济效益</w:t>
      </w:r>
      <w:r>
        <w:rPr>
          <w:rFonts w:hint="eastAsia" w:ascii="宋体" w:hAnsi="宋体"/>
          <w:color w:val="000000"/>
          <w:sz w:val="24"/>
          <w:szCs w:val="24"/>
        </w:rPr>
        <w:t>31.69</w:t>
      </w:r>
      <w:r>
        <w:rPr>
          <w:rFonts w:hint="eastAsia" w:ascii="宋体" w:hAnsi="宋体" w:cs="宋体"/>
          <w:color w:val="000000"/>
          <w:sz w:val="24"/>
          <w:szCs w:val="24"/>
        </w:rPr>
        <w:t>万元/年。同时节电2800千瓦时/年，</w:t>
      </w:r>
      <w:r>
        <w:rPr>
          <w:rFonts w:hint="eastAsia" w:ascii="宋体" w:hAnsi="宋体"/>
          <w:color w:val="000000"/>
          <w:sz w:val="24"/>
          <w:szCs w:val="24"/>
        </w:rPr>
        <w:t>节水13279立方米/年</w:t>
      </w:r>
      <w:r>
        <w:rPr>
          <w:rFonts w:hint="eastAsia" w:ascii="宋体" w:hAnsi="宋体" w:cs="宋体"/>
          <w:color w:val="000000"/>
          <w:sz w:val="24"/>
          <w:szCs w:val="24"/>
        </w:rPr>
        <w:t>。</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清洁生产审核后，</w:t>
      </w:r>
      <w:r>
        <w:rPr>
          <w:rFonts w:hint="eastAsia" w:ascii="宋体" w:hAnsi="宋体"/>
          <w:color w:val="000000"/>
          <w:sz w:val="24"/>
        </w:rPr>
        <w:t>我们将公司各项指标与国家发展和改革委员会、环境保护部、工业和信息化部颁布的《铅锌采选行业清洁生产评价指标体系》进行对比，公司</w:t>
      </w:r>
      <w:r>
        <w:rPr>
          <w:rFonts w:hint="eastAsia" w:ascii="宋体" w:hAnsi="宋体"/>
          <w:color w:val="000000"/>
          <w:sz w:val="24"/>
          <w:szCs w:val="24"/>
        </w:rPr>
        <w:t>达到国家清洁生产三级水平。</w:t>
      </w:r>
    </w:p>
    <w:p>
      <w:pPr>
        <w:pStyle w:val="3"/>
        <w:spacing w:before="0" w:after="0" w:line="540" w:lineRule="auto"/>
        <w:jc w:val="center"/>
        <w:rPr>
          <w:rFonts w:ascii="宋体" w:hAnsi="宋体"/>
          <w:color w:val="000000"/>
        </w:rPr>
      </w:pPr>
      <w:bookmarkStart w:id="15" w:name="_Toc527281313"/>
      <w:bookmarkStart w:id="16" w:name="_Toc474018546"/>
      <w:bookmarkStart w:id="17" w:name="_Toc23000846"/>
      <w:r>
        <w:rPr>
          <w:rFonts w:hint="eastAsia" w:ascii="宋体" w:hAnsi="宋体"/>
          <w:color w:val="000000"/>
        </w:rPr>
        <w:t>报告编制依据</w:t>
      </w:r>
      <w:bookmarkEnd w:id="13"/>
      <w:bookmarkEnd w:id="14"/>
      <w:bookmarkEnd w:id="15"/>
      <w:bookmarkEnd w:id="16"/>
      <w:bookmarkEnd w:id="17"/>
    </w:p>
    <w:p>
      <w:pPr>
        <w:spacing w:line="360" w:lineRule="auto"/>
        <w:ind w:firstLine="480" w:firstLineChars="200"/>
        <w:rPr>
          <w:rFonts w:hint="eastAsia" w:ascii="宋体" w:hAnsi="宋体"/>
          <w:color w:val="000000"/>
          <w:sz w:val="24"/>
          <w:szCs w:val="24"/>
        </w:rPr>
      </w:pPr>
      <w:bookmarkStart w:id="18" w:name="_Toc477356452"/>
      <w:bookmarkStart w:id="19" w:name="_Toc468152816"/>
      <w:bookmarkStart w:id="20" w:name="_Toc474018547"/>
      <w:r>
        <w:rPr>
          <w:rFonts w:hint="eastAsia" w:ascii="宋体" w:hAnsi="宋体"/>
          <w:color w:val="000000"/>
          <w:sz w:val="24"/>
          <w:szCs w:val="24"/>
        </w:rPr>
        <w:t>1、国家相关法律法规</w:t>
      </w:r>
    </w:p>
    <w:p>
      <w:pPr>
        <w:spacing w:line="360" w:lineRule="auto"/>
        <w:ind w:firstLine="480" w:firstLineChars="200"/>
        <w:outlineLvl w:val="0"/>
        <w:rPr>
          <w:rFonts w:hint="eastAsia" w:ascii="宋体" w:hAnsi="宋体"/>
          <w:color w:val="000000"/>
          <w:sz w:val="24"/>
        </w:rPr>
      </w:pPr>
      <w:bookmarkStart w:id="21" w:name="_Toc527281314"/>
      <w:r>
        <w:rPr>
          <w:rFonts w:hint="eastAsia" w:ascii="宋体" w:hAnsi="宋体"/>
          <w:color w:val="000000"/>
          <w:sz w:val="24"/>
        </w:rPr>
        <w:t>（1）《中华人民共和国清洁生产促进法（修订版）》（2012 年 7 月 1 日施行）；</w:t>
      </w:r>
      <w:bookmarkEnd w:id="21"/>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（2）《中华人民共和国环境保护法（修订版）》（2015 年 1 月 1 日施行）；</w:t>
      </w:r>
    </w:p>
    <w:p>
      <w:pPr>
        <w:spacing w:line="360" w:lineRule="auto"/>
        <w:ind w:firstLine="480" w:firstLineChars="200"/>
        <w:outlineLvl w:val="0"/>
        <w:rPr>
          <w:rFonts w:hint="eastAsia" w:ascii="宋体" w:hAnsi="宋体"/>
          <w:color w:val="000000"/>
          <w:sz w:val="24"/>
        </w:rPr>
      </w:pPr>
      <w:bookmarkStart w:id="22" w:name="_Toc527281315"/>
      <w:r>
        <w:rPr>
          <w:rFonts w:hint="eastAsia" w:ascii="宋体" w:hAnsi="宋体"/>
          <w:color w:val="000000"/>
          <w:sz w:val="24"/>
        </w:rPr>
        <w:t>（3）《中华人民共和国大气污染防治法（修订版）》（2016 年 1 月 1 日施行）；</w:t>
      </w:r>
      <w:bookmarkEnd w:id="22"/>
    </w:p>
    <w:p>
      <w:pPr>
        <w:spacing w:line="360" w:lineRule="auto"/>
        <w:ind w:firstLine="480" w:firstLineChars="200"/>
        <w:rPr>
          <w:rFonts w:hint="eastAsia" w:ascii="宋体" w:hAnsi="宋体"/>
          <w:color w:val="000000"/>
          <w:sz w:val="24"/>
        </w:rPr>
      </w:pPr>
      <w:bookmarkStart w:id="23" w:name="_Toc468152804"/>
      <w:r>
        <w:rPr>
          <w:rFonts w:hint="eastAsia" w:ascii="宋体" w:hAnsi="宋体"/>
          <w:color w:val="000000"/>
          <w:sz w:val="24"/>
        </w:rPr>
        <w:t>（4）《中华人民共和国水污染防治法》（2008 年 6 月 1 日施行）；</w:t>
      </w:r>
      <w:bookmarkEnd w:id="23"/>
    </w:p>
    <w:p>
      <w:pPr>
        <w:spacing w:line="360" w:lineRule="auto"/>
        <w:ind w:firstLine="480" w:firstLineChars="200"/>
        <w:outlineLvl w:val="0"/>
        <w:rPr>
          <w:rFonts w:hint="eastAsia" w:ascii="宋体" w:hAnsi="宋体"/>
          <w:color w:val="000000"/>
          <w:sz w:val="24"/>
        </w:rPr>
      </w:pPr>
      <w:bookmarkStart w:id="24" w:name="_Toc527281316"/>
      <w:r>
        <w:rPr>
          <w:rFonts w:hint="eastAsia" w:ascii="宋体" w:hAnsi="宋体"/>
          <w:color w:val="000000"/>
          <w:sz w:val="24"/>
        </w:rPr>
        <w:t>（5）《中华人民共和国固体废物污染环境防治法》（2005 年 4 月 1 日施行）；</w:t>
      </w:r>
      <w:bookmarkEnd w:id="24"/>
    </w:p>
    <w:p>
      <w:pPr>
        <w:spacing w:line="360" w:lineRule="auto"/>
        <w:ind w:firstLine="480" w:firstLineChars="200"/>
        <w:rPr>
          <w:rFonts w:hint="eastAsia" w:ascii="宋体" w:hAnsi="宋体"/>
          <w:color w:val="000000"/>
          <w:sz w:val="24"/>
        </w:rPr>
      </w:pPr>
      <w:r>
        <w:rPr>
          <w:rFonts w:hint="eastAsia" w:ascii="宋体" w:hAnsi="宋体"/>
          <w:color w:val="000000"/>
          <w:sz w:val="24"/>
        </w:rPr>
        <w:t>（6）《清洁生产审核办法》(国家发改委／国家环境保护部令第 38 号，2016年 7 月 1 日施行)；</w:t>
      </w:r>
    </w:p>
    <w:p>
      <w:pPr>
        <w:spacing w:line="360" w:lineRule="auto"/>
        <w:ind w:firstLine="480" w:firstLineChars="200"/>
        <w:rPr>
          <w:rFonts w:hint="eastAsia" w:ascii="宋体" w:hAnsi="宋体"/>
          <w:color w:val="000000"/>
          <w:sz w:val="24"/>
        </w:rPr>
      </w:pPr>
      <w:bookmarkStart w:id="25" w:name="_Toc468152805"/>
      <w:r>
        <w:rPr>
          <w:rFonts w:hint="eastAsia" w:ascii="宋体" w:hAnsi="宋体"/>
          <w:color w:val="000000"/>
          <w:sz w:val="24"/>
        </w:rPr>
        <w:t>（7）《中华人民共和国循环经济促进法》（2009 年 1 月 1 日实施）；</w:t>
      </w:r>
      <w:bookmarkEnd w:id="25"/>
    </w:p>
    <w:p>
      <w:pPr>
        <w:spacing w:line="360" w:lineRule="auto"/>
        <w:ind w:firstLine="480" w:firstLineChars="200"/>
        <w:rPr>
          <w:rFonts w:hint="eastAsia" w:ascii="宋体" w:hAnsi="宋体"/>
          <w:color w:val="000000"/>
          <w:sz w:val="24"/>
        </w:rPr>
      </w:pPr>
      <w:r>
        <w:rPr>
          <w:rFonts w:hint="eastAsia" w:ascii="宋体" w:hAnsi="宋体"/>
          <w:color w:val="000000"/>
          <w:sz w:val="24"/>
        </w:rPr>
        <w:t>（8）《关于深入推进重点企业清洁生产的通知》（环发[2010]54 号)；</w:t>
      </w:r>
    </w:p>
    <w:p>
      <w:pPr>
        <w:spacing w:line="360" w:lineRule="auto"/>
        <w:ind w:firstLine="480" w:firstLineChars="200"/>
        <w:rPr>
          <w:rFonts w:hint="eastAsia" w:ascii="宋体" w:hAnsi="宋体"/>
          <w:color w:val="000000"/>
          <w:sz w:val="24"/>
        </w:rPr>
      </w:pPr>
      <w:r>
        <w:rPr>
          <w:rFonts w:hint="eastAsia" w:ascii="宋体" w:hAnsi="宋体"/>
          <w:color w:val="000000"/>
          <w:sz w:val="24"/>
        </w:rPr>
        <w:t>（9）《关于进一步加强重点企业清洁生产审核工作的通知》（环发[2008]60号）；</w:t>
      </w:r>
    </w:p>
    <w:p>
      <w:pPr>
        <w:spacing w:line="360" w:lineRule="auto"/>
        <w:ind w:firstLine="480" w:firstLineChars="200"/>
        <w:rPr>
          <w:rFonts w:hint="eastAsia" w:ascii="宋体" w:hAnsi="宋体"/>
          <w:color w:val="000000"/>
          <w:sz w:val="24"/>
        </w:rPr>
      </w:pPr>
      <w:r>
        <w:rPr>
          <w:rFonts w:hint="eastAsia" w:ascii="宋体" w:hAnsi="宋体"/>
          <w:color w:val="000000"/>
          <w:sz w:val="24"/>
        </w:rPr>
        <w:t>（10）《国家产业结构调整指导目录（2011 年本）（2013 年修正）》（2013年 5 月 1 日施行）；</w:t>
      </w:r>
    </w:p>
    <w:p>
      <w:pPr>
        <w:spacing w:line="360" w:lineRule="auto"/>
        <w:ind w:firstLine="480" w:firstLineChars="200"/>
        <w:rPr>
          <w:rFonts w:hint="eastAsia" w:ascii="宋体" w:hAnsi="宋体"/>
          <w:color w:val="000000"/>
          <w:sz w:val="24"/>
        </w:rPr>
      </w:pPr>
      <w:bookmarkStart w:id="26" w:name="_Toc468152806"/>
      <w:r>
        <w:rPr>
          <w:rFonts w:hint="eastAsia" w:ascii="宋体" w:hAnsi="宋体"/>
          <w:color w:val="000000"/>
          <w:sz w:val="24"/>
        </w:rPr>
        <w:t>（11）《大气污染污治行动计划》（2013 年 9 月 10 日发布）；</w:t>
      </w:r>
      <w:bookmarkEnd w:id="26"/>
    </w:p>
    <w:p>
      <w:pPr>
        <w:spacing w:line="360" w:lineRule="auto"/>
        <w:ind w:firstLine="480" w:firstLineChars="200"/>
        <w:rPr>
          <w:rFonts w:hint="eastAsia" w:ascii="宋体" w:hAnsi="宋体"/>
          <w:color w:val="000000"/>
          <w:sz w:val="24"/>
        </w:rPr>
      </w:pPr>
      <w:r>
        <w:rPr>
          <w:rFonts w:hint="eastAsia" w:ascii="宋体" w:hAnsi="宋体"/>
          <w:color w:val="000000"/>
          <w:sz w:val="24"/>
        </w:rPr>
        <w:t>2、云南省相关法规、规定</w:t>
      </w:r>
    </w:p>
    <w:p>
      <w:pPr>
        <w:spacing w:line="360" w:lineRule="auto"/>
        <w:ind w:firstLine="480" w:firstLineChars="200"/>
        <w:rPr>
          <w:rFonts w:hint="eastAsia" w:ascii="宋体" w:hAnsi="宋体"/>
          <w:color w:val="000000"/>
          <w:sz w:val="24"/>
        </w:rPr>
      </w:pPr>
      <w:r>
        <w:rPr>
          <w:rFonts w:hint="eastAsia" w:ascii="宋体" w:hAnsi="宋体"/>
          <w:color w:val="000000"/>
          <w:sz w:val="24"/>
        </w:rPr>
        <w:t>（1）《云南省清洁生产促进条例》(2006 年 9 月 1 日起施行)；</w:t>
      </w:r>
    </w:p>
    <w:p>
      <w:pPr>
        <w:spacing w:line="360" w:lineRule="auto"/>
        <w:ind w:firstLine="480" w:firstLineChars="200"/>
        <w:rPr>
          <w:rFonts w:hint="eastAsia" w:ascii="宋体" w:hAnsi="宋体"/>
          <w:color w:val="000000"/>
          <w:sz w:val="24"/>
        </w:rPr>
      </w:pPr>
      <w:r>
        <w:rPr>
          <w:rFonts w:hint="eastAsia" w:ascii="宋体" w:hAnsi="宋体"/>
          <w:color w:val="000000"/>
          <w:sz w:val="24"/>
        </w:rPr>
        <w:t>（2）云南省环境保护厅《云南省环保厅转发环保部关于深入推进重点企业清洁生产工作的通知》云环发[2010]62 号；</w:t>
      </w:r>
    </w:p>
    <w:p>
      <w:pPr>
        <w:spacing w:line="360" w:lineRule="auto"/>
        <w:ind w:firstLine="480" w:firstLineChars="200"/>
        <w:rPr>
          <w:rFonts w:hint="eastAsia" w:ascii="宋体" w:hAnsi="宋体"/>
          <w:color w:val="000000"/>
          <w:sz w:val="24"/>
        </w:rPr>
      </w:pPr>
      <w:r>
        <w:rPr>
          <w:rFonts w:hint="eastAsia" w:ascii="宋体" w:hAnsi="宋体"/>
          <w:color w:val="000000"/>
          <w:sz w:val="24"/>
        </w:rPr>
        <w:t>（3）《云南省生态环保厅关于公布2018年度清洁生产审核企业名单的通知 》（2018.12.13.第十五批）；</w:t>
      </w:r>
    </w:p>
    <w:p>
      <w:pPr>
        <w:spacing w:line="360" w:lineRule="auto"/>
        <w:ind w:firstLine="480" w:firstLineChars="200"/>
        <w:rPr>
          <w:rFonts w:hint="eastAsia" w:ascii="宋体" w:hAnsi="宋体"/>
          <w:color w:val="000000"/>
          <w:sz w:val="24"/>
        </w:rPr>
      </w:pPr>
      <w:r>
        <w:rPr>
          <w:rFonts w:hint="eastAsia" w:ascii="宋体" w:hAnsi="宋体"/>
          <w:color w:val="000000"/>
          <w:sz w:val="24"/>
        </w:rPr>
        <w:t>（4）生态环境部办公厅、国家发展和改革委员会《关于印发&lt;清洁生产评估与验收指南&gt;的通知》（环办科技〔2019〕5号；</w:t>
      </w:r>
    </w:p>
    <w:p>
      <w:pPr>
        <w:spacing w:line="360" w:lineRule="auto"/>
        <w:ind w:firstLine="480" w:firstLineChars="200"/>
        <w:rPr>
          <w:rFonts w:hint="eastAsia" w:ascii="宋体" w:hAnsi="宋体"/>
          <w:color w:val="000000"/>
          <w:sz w:val="24"/>
        </w:rPr>
      </w:pPr>
      <w:bookmarkStart w:id="27" w:name="_Toc468152809"/>
      <w:r>
        <w:rPr>
          <w:rFonts w:hint="eastAsia" w:ascii="宋体" w:hAnsi="宋体"/>
          <w:color w:val="000000"/>
          <w:sz w:val="24"/>
        </w:rPr>
        <w:t>3、标准规范等技术导则性文件</w:t>
      </w:r>
      <w:bookmarkEnd w:id="27"/>
    </w:p>
    <w:p>
      <w:pPr>
        <w:spacing w:line="360" w:lineRule="auto"/>
        <w:ind w:firstLine="480" w:firstLineChars="200"/>
        <w:rPr>
          <w:rFonts w:hint="eastAsia" w:ascii="宋体" w:hAnsi="宋体"/>
          <w:color w:val="000000"/>
          <w:sz w:val="24"/>
        </w:rPr>
      </w:pPr>
      <w:r>
        <w:rPr>
          <w:rFonts w:hint="eastAsia" w:ascii="宋体" w:hAnsi="宋体"/>
          <w:color w:val="000000"/>
          <w:sz w:val="24"/>
        </w:rPr>
        <w:t>（1）《工业企业清洁生产审核 技术导则》GB/T25973-2010；</w:t>
      </w:r>
    </w:p>
    <w:p>
      <w:pPr>
        <w:spacing w:line="360" w:lineRule="auto"/>
        <w:ind w:firstLine="480" w:firstLineChars="200"/>
        <w:rPr>
          <w:rFonts w:hint="eastAsia" w:ascii="宋体" w:hAnsi="宋体"/>
          <w:color w:val="000000"/>
          <w:sz w:val="24"/>
        </w:rPr>
      </w:pPr>
      <w:bookmarkStart w:id="28" w:name="_Toc468152810"/>
      <w:r>
        <w:rPr>
          <w:rFonts w:hint="eastAsia" w:ascii="宋体" w:hAnsi="宋体"/>
          <w:color w:val="000000"/>
          <w:sz w:val="24"/>
        </w:rPr>
        <w:t>（2）</w:t>
      </w:r>
      <w:bookmarkEnd w:id="28"/>
      <w:r>
        <w:rPr>
          <w:rFonts w:hint="eastAsia" w:ascii="宋体" w:hAnsi="宋体"/>
          <w:color w:val="000000"/>
          <w:sz w:val="24"/>
        </w:rPr>
        <w:t>《关于印发重点企业清洁生产审核程序规定的通知》环发【2005】151号；</w:t>
      </w:r>
    </w:p>
    <w:p>
      <w:pPr>
        <w:spacing w:line="360" w:lineRule="auto"/>
        <w:ind w:firstLine="480" w:firstLineChars="200"/>
        <w:outlineLvl w:val="0"/>
        <w:rPr>
          <w:rFonts w:hint="eastAsia" w:ascii="宋体" w:hAnsi="宋体"/>
          <w:color w:val="000000"/>
          <w:sz w:val="24"/>
        </w:rPr>
      </w:pPr>
      <w:bookmarkStart w:id="29" w:name="_Toc527281317"/>
      <w:r>
        <w:rPr>
          <w:rFonts w:hint="eastAsia" w:ascii="宋体" w:hAnsi="宋体"/>
          <w:color w:val="000000"/>
          <w:sz w:val="24"/>
        </w:rPr>
        <w:t>（3）《云南省重点企业强制性清洁生产审核评估、验收技术细则》（试行）；</w:t>
      </w:r>
      <w:bookmarkEnd w:id="29"/>
    </w:p>
    <w:p>
      <w:pPr>
        <w:spacing w:line="360" w:lineRule="auto"/>
        <w:ind w:firstLine="480" w:firstLineChars="200"/>
        <w:rPr>
          <w:rFonts w:hint="eastAsia" w:ascii="宋体" w:hAnsi="宋体"/>
          <w:color w:val="000000"/>
          <w:sz w:val="24"/>
        </w:rPr>
      </w:pPr>
      <w:r>
        <w:rPr>
          <w:rFonts w:hint="eastAsia" w:ascii="宋体" w:hAnsi="宋体"/>
          <w:color w:val="000000"/>
          <w:sz w:val="24"/>
        </w:rPr>
        <w:t>（4）《高耗能落后机电设备（产品）淘汰目录》（第一批）（工节[2009]67 号）；</w:t>
      </w:r>
    </w:p>
    <w:p>
      <w:pPr>
        <w:spacing w:line="360" w:lineRule="auto"/>
        <w:ind w:firstLine="480" w:firstLineChars="200"/>
        <w:outlineLvl w:val="0"/>
        <w:rPr>
          <w:rFonts w:hint="eastAsia" w:ascii="宋体" w:hAnsi="宋体"/>
          <w:color w:val="000000"/>
          <w:sz w:val="24"/>
        </w:rPr>
      </w:pPr>
      <w:bookmarkStart w:id="30" w:name="_Toc468152811"/>
      <w:bookmarkStart w:id="31" w:name="_Toc527281318"/>
      <w:r>
        <w:rPr>
          <w:rFonts w:hint="eastAsia" w:ascii="宋体" w:hAnsi="宋体"/>
          <w:color w:val="000000"/>
          <w:sz w:val="24"/>
        </w:rPr>
        <w:t>（5）</w:t>
      </w:r>
      <w:bookmarkEnd w:id="30"/>
      <w:r>
        <w:rPr>
          <w:rFonts w:hint="eastAsia" w:ascii="宋体" w:hAnsi="宋体"/>
          <w:color w:val="000000"/>
          <w:sz w:val="24"/>
        </w:rPr>
        <w:t>《高耗能落后机电设备（产品）淘汰目录》（第二批）（工节[2012]14 号）；</w:t>
      </w:r>
      <w:bookmarkEnd w:id="31"/>
    </w:p>
    <w:p>
      <w:pPr>
        <w:spacing w:line="360" w:lineRule="auto"/>
        <w:ind w:firstLine="480" w:firstLineChars="200"/>
        <w:rPr>
          <w:rFonts w:hint="eastAsia" w:ascii="宋体" w:hAnsi="宋体"/>
          <w:color w:val="000000"/>
          <w:sz w:val="24"/>
        </w:rPr>
      </w:pPr>
      <w:r>
        <w:rPr>
          <w:rFonts w:hint="eastAsia" w:ascii="宋体" w:hAnsi="宋体"/>
          <w:color w:val="000000"/>
          <w:sz w:val="24"/>
        </w:rPr>
        <w:t>（6）《高耗能落后机电设备（产品）淘汰目录》（第三批）（工节[2014]16 号）；</w:t>
      </w:r>
    </w:p>
    <w:p>
      <w:pPr>
        <w:spacing w:line="360" w:lineRule="auto"/>
        <w:ind w:firstLine="480" w:firstLineChars="200"/>
        <w:outlineLvl w:val="0"/>
        <w:rPr>
          <w:rFonts w:hint="eastAsia" w:ascii="宋体" w:hAnsi="宋体"/>
          <w:color w:val="000000"/>
          <w:sz w:val="24"/>
        </w:rPr>
      </w:pPr>
      <w:bookmarkStart w:id="32" w:name="_Toc527281319"/>
      <w:bookmarkStart w:id="33" w:name="_Toc468152812"/>
      <w:r>
        <w:rPr>
          <w:rFonts w:hint="eastAsia" w:ascii="宋体" w:hAnsi="宋体"/>
          <w:color w:val="000000"/>
          <w:sz w:val="24"/>
        </w:rPr>
        <w:t>（7）《高耗能落后机电设备（产品）淘汰目录》（第四批）（工节[2015]269 号）；</w:t>
      </w:r>
      <w:bookmarkEnd w:id="32"/>
    </w:p>
    <w:p>
      <w:pPr>
        <w:spacing w:line="360" w:lineRule="auto"/>
        <w:ind w:firstLine="480" w:firstLineChars="200"/>
        <w:rPr>
          <w:rFonts w:hint="eastAsia" w:ascii="宋体" w:hAnsi="宋体"/>
          <w:color w:val="000000"/>
          <w:sz w:val="24"/>
        </w:rPr>
      </w:pPr>
      <w:r>
        <w:rPr>
          <w:rFonts w:hint="eastAsia" w:ascii="宋体" w:hAnsi="宋体"/>
          <w:color w:val="000000"/>
          <w:sz w:val="24"/>
        </w:rPr>
        <w:t>（8）</w:t>
      </w:r>
      <w:bookmarkEnd w:id="33"/>
      <w:r>
        <w:rPr>
          <w:rFonts w:hint="eastAsia" w:ascii="宋体" w:hAnsi="宋体"/>
          <w:color w:val="000000"/>
          <w:sz w:val="24"/>
        </w:rPr>
        <w:t>《危险化学品名录（2015 版）》；</w:t>
      </w:r>
    </w:p>
    <w:p>
      <w:pPr>
        <w:spacing w:line="360" w:lineRule="auto"/>
        <w:ind w:firstLine="480" w:firstLineChars="200"/>
        <w:rPr>
          <w:rFonts w:hint="eastAsia" w:ascii="宋体" w:hAnsi="宋体"/>
          <w:color w:val="000000"/>
          <w:sz w:val="24"/>
        </w:rPr>
      </w:pPr>
      <w:r>
        <w:rPr>
          <w:rFonts w:hint="eastAsia" w:ascii="宋体" w:hAnsi="宋体"/>
          <w:color w:val="000000"/>
          <w:sz w:val="24"/>
        </w:rPr>
        <w:t>（9）《危险废物贮存污染控制标准》（2013年修订）；</w:t>
      </w:r>
    </w:p>
    <w:p>
      <w:pPr>
        <w:spacing w:line="360" w:lineRule="auto"/>
        <w:ind w:firstLine="480" w:firstLineChars="200"/>
        <w:rPr>
          <w:rFonts w:hint="eastAsia" w:ascii="宋体" w:hAnsi="宋体"/>
          <w:color w:val="000000"/>
          <w:sz w:val="24"/>
        </w:rPr>
      </w:pPr>
      <w:bookmarkStart w:id="34" w:name="_Toc468152813"/>
      <w:r>
        <w:rPr>
          <w:rFonts w:hint="eastAsia" w:ascii="宋体" w:hAnsi="宋体"/>
          <w:color w:val="000000"/>
          <w:sz w:val="24"/>
        </w:rPr>
        <w:t>（10）</w:t>
      </w:r>
      <w:bookmarkEnd w:id="34"/>
      <w:r>
        <w:rPr>
          <w:rFonts w:hint="eastAsia" w:ascii="宋体" w:hAnsi="宋体"/>
          <w:color w:val="000000"/>
          <w:sz w:val="24"/>
        </w:rPr>
        <w:t>《危险废弃物名录（2016 版）》（环境保护部 部令第 39 号—2016年 8 月 1 日实施）；</w:t>
      </w:r>
    </w:p>
    <w:p>
      <w:pPr>
        <w:spacing w:line="360" w:lineRule="auto"/>
        <w:ind w:firstLine="480" w:firstLineChars="200"/>
        <w:rPr>
          <w:rFonts w:ascii="宋体" w:hAnsi="宋体"/>
          <w:color w:val="000000"/>
          <w:sz w:val="24"/>
        </w:rPr>
      </w:pPr>
      <w:bookmarkStart w:id="35" w:name="_Toc532506258"/>
      <w:bookmarkStart w:id="36" w:name="_Toc527281321"/>
      <w:r>
        <w:rPr>
          <w:rFonts w:hint="eastAsia" w:ascii="宋体" w:hAnsi="宋体"/>
          <w:color w:val="000000"/>
          <w:sz w:val="24"/>
        </w:rPr>
        <w:t>（11）《铅、锌工业污染物排放标准》（</w:t>
      </w:r>
      <w:r>
        <w:rPr>
          <w:rFonts w:ascii="宋体" w:hAnsi="宋体"/>
          <w:color w:val="000000"/>
          <w:sz w:val="24"/>
        </w:rPr>
        <w:t>GB25466—2010</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（12）《锅炉大气污染物排放标准》（</w:t>
      </w:r>
      <w:r>
        <w:rPr>
          <w:rFonts w:ascii="宋体" w:hAnsi="宋体"/>
          <w:color w:val="000000"/>
          <w:sz w:val="24"/>
        </w:rPr>
        <w:t>GB13271—2001</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（13）《大气污染物综合排放标准》（</w:t>
      </w:r>
      <w:r>
        <w:rPr>
          <w:rFonts w:ascii="宋体" w:hAnsi="宋体"/>
          <w:color w:val="000000"/>
          <w:sz w:val="24"/>
        </w:rPr>
        <w:t>GB16297—1996</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（14）《危险废物填埋污染控制标准》（</w:t>
      </w:r>
      <w:r>
        <w:rPr>
          <w:rFonts w:ascii="宋体" w:hAnsi="宋体"/>
          <w:color w:val="000000"/>
          <w:sz w:val="24"/>
        </w:rPr>
        <w:t>GB18598-2001</w:t>
      </w:r>
      <w:r>
        <w:rPr>
          <w:rFonts w:hint="eastAsia" w:ascii="宋体" w:hAnsi="宋体"/>
          <w:color w:val="000000"/>
          <w:sz w:val="24"/>
        </w:rPr>
        <w:t>）及其修改单；</w:t>
      </w:r>
    </w:p>
    <w:p>
      <w:pPr>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5）《危险废物贮存污染控制标准》（</w:t>
      </w:r>
      <w:r>
        <w:rPr>
          <w:rFonts w:ascii="宋体" w:hAnsi="宋体"/>
          <w:color w:val="000000"/>
          <w:sz w:val="24"/>
        </w:rPr>
        <w:t>GB18597-2001</w:t>
      </w:r>
      <w:r>
        <w:rPr>
          <w:rFonts w:hint="eastAsia" w:ascii="宋体" w:hAnsi="宋体"/>
          <w:color w:val="000000"/>
          <w:sz w:val="24"/>
        </w:rPr>
        <w:t>）及其修改单；</w:t>
      </w:r>
    </w:p>
    <w:p>
      <w:pPr>
        <w:spacing w:line="360" w:lineRule="auto"/>
        <w:ind w:firstLine="480" w:firstLineChars="200"/>
        <w:rPr>
          <w:rFonts w:hint="eastAsia" w:ascii="宋体" w:hAns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6）《危险废物处置工程技术导则》（</w:t>
      </w:r>
      <w:r>
        <w:rPr>
          <w:rFonts w:ascii="宋体" w:hAnsi="宋体"/>
          <w:color w:val="000000"/>
          <w:sz w:val="24"/>
        </w:rPr>
        <w:t>HJ2042-2014</w:t>
      </w:r>
      <w:r>
        <w:rPr>
          <w:rFonts w:hint="eastAsia" w:ascii="宋体" w:hAnsi="宋体"/>
          <w:color w:val="000000"/>
          <w:sz w:val="24"/>
        </w:rPr>
        <w:t>）；</w:t>
      </w:r>
    </w:p>
    <w:p>
      <w:pPr>
        <w:spacing w:line="360" w:lineRule="auto"/>
        <w:ind w:firstLine="480" w:firstLineChars="200"/>
        <w:rPr>
          <w:rFonts w:ascii="宋体" w:hAnsi="宋体"/>
          <w:color w:val="000000"/>
          <w:sz w:val="24"/>
        </w:rPr>
      </w:pPr>
      <w:r>
        <w:rPr>
          <w:rFonts w:hint="eastAsia" w:ascii="宋体" w:hAnsi="宋体"/>
          <w:color w:val="000000"/>
          <w:sz w:val="24"/>
        </w:rPr>
        <w:t>（</w:t>
      </w:r>
      <w:r>
        <w:rPr>
          <w:rFonts w:ascii="宋体" w:hAnsi="宋体"/>
          <w:color w:val="000000"/>
          <w:sz w:val="24"/>
        </w:rPr>
        <w:t>1</w:t>
      </w:r>
      <w:r>
        <w:rPr>
          <w:rFonts w:hint="eastAsia" w:ascii="宋体" w:hAnsi="宋体"/>
          <w:color w:val="000000"/>
          <w:sz w:val="24"/>
        </w:rPr>
        <w:t>7）《危险废物安全填埋处置工程建设技术要求》（环发</w:t>
      </w:r>
      <w:r>
        <w:rPr>
          <w:rFonts w:ascii="宋体" w:hAnsi="宋体"/>
          <w:color w:val="000000"/>
          <w:sz w:val="24"/>
        </w:rPr>
        <w:t xml:space="preserve">[2004]75 </w:t>
      </w:r>
      <w:r>
        <w:rPr>
          <w:rFonts w:hint="eastAsia" w:ascii="宋体" w:hAnsi="宋体"/>
          <w:color w:val="000000"/>
          <w:sz w:val="24"/>
        </w:rPr>
        <w:t>号）；</w:t>
      </w:r>
    </w:p>
    <w:p>
      <w:pPr>
        <w:spacing w:line="360" w:lineRule="auto"/>
        <w:ind w:firstLine="480" w:firstLineChars="200"/>
        <w:rPr>
          <w:rFonts w:hint="eastAsia" w:ascii="宋体" w:hAnsi="宋体"/>
          <w:color w:val="000000"/>
          <w:sz w:val="24"/>
        </w:rPr>
      </w:pPr>
      <w:r>
        <w:rPr>
          <w:rFonts w:hint="eastAsia" w:ascii="宋体" w:hAnsi="宋体"/>
          <w:color w:val="000000"/>
          <w:sz w:val="24"/>
        </w:rPr>
        <w:t>（18）《一般工业固体废物贮存、处置场污染控制标准》（GB18599-2001）；</w:t>
      </w:r>
    </w:p>
    <w:p>
      <w:pPr>
        <w:spacing w:line="360" w:lineRule="auto"/>
        <w:ind w:firstLine="480" w:firstLineChars="200"/>
        <w:rPr>
          <w:rFonts w:hint="eastAsia" w:ascii="宋体" w:hAnsi="宋体"/>
          <w:color w:val="000000"/>
          <w:sz w:val="24"/>
        </w:rPr>
      </w:pPr>
      <w:r>
        <w:rPr>
          <w:rFonts w:hint="eastAsia" w:ascii="宋体" w:hAnsi="宋体"/>
          <w:color w:val="000000"/>
          <w:sz w:val="24"/>
        </w:rPr>
        <w:t>（19）《工业企业厂界环境噪声排放标准》GB12348-2008；</w:t>
      </w:r>
    </w:p>
    <w:p>
      <w:pPr>
        <w:spacing w:line="360" w:lineRule="auto"/>
        <w:ind w:firstLine="480" w:firstLineChars="200"/>
        <w:rPr>
          <w:rFonts w:hint="eastAsia" w:ascii="宋体" w:hAnsi="宋体"/>
          <w:color w:val="000000"/>
          <w:sz w:val="24"/>
        </w:rPr>
      </w:pPr>
      <w:r>
        <w:rPr>
          <w:rFonts w:hint="eastAsia" w:ascii="宋体" w:hAnsi="宋体"/>
          <w:color w:val="000000"/>
          <w:sz w:val="24"/>
        </w:rPr>
        <w:t>（20）《铅锌采选行业清洁生产评价指标体系》（国家发展和改革委员会、环境保护部、工业和信息化部）。</w:t>
      </w:r>
    </w:p>
    <w:p>
      <w:pPr>
        <w:spacing w:line="360" w:lineRule="auto"/>
        <w:ind w:firstLine="480" w:firstLineChars="200"/>
        <w:outlineLvl w:val="0"/>
        <w:rPr>
          <w:rFonts w:hint="eastAsia" w:ascii="宋体" w:hAnsi="宋体"/>
          <w:color w:val="000000"/>
          <w:sz w:val="24"/>
        </w:rPr>
      </w:pPr>
      <w:r>
        <w:rPr>
          <w:rFonts w:hint="eastAsia" w:ascii="宋体" w:hAnsi="宋体"/>
          <w:color w:val="000000"/>
          <w:sz w:val="24"/>
        </w:rPr>
        <w:t>4、参考资料</w:t>
      </w:r>
      <w:bookmarkEnd w:id="18"/>
      <w:bookmarkEnd w:id="19"/>
      <w:bookmarkEnd w:id="20"/>
      <w:bookmarkEnd w:id="35"/>
      <w:bookmarkEnd w:id="36"/>
    </w:p>
    <w:p>
      <w:pPr>
        <w:snapToGrid w:val="0"/>
        <w:spacing w:line="360" w:lineRule="auto"/>
        <w:ind w:firstLine="480" w:firstLineChars="200"/>
        <w:rPr>
          <w:rFonts w:hint="eastAsia" w:ascii="宋体" w:hAnsi="宋体" w:cs="仿宋"/>
          <w:color w:val="000000"/>
          <w:kern w:val="0"/>
          <w:sz w:val="24"/>
        </w:rPr>
      </w:pPr>
      <w:r>
        <w:rPr>
          <w:rFonts w:hint="eastAsia" w:ascii="宋体" w:hAnsi="宋体"/>
          <w:color w:val="000000"/>
          <w:sz w:val="24"/>
        </w:rPr>
        <w:t>（1）</w:t>
      </w:r>
      <w:r>
        <w:rPr>
          <w:rFonts w:hint="eastAsia" w:ascii="宋体" w:hAnsi="宋体" w:cs="仿宋"/>
          <w:color w:val="000000"/>
          <w:kern w:val="0"/>
          <w:sz w:val="24"/>
        </w:rPr>
        <w:t>2013年3月由曲靖市环境科学研究所编制了《云南罗平锌电股份有限公司富乐铅锌矿采选项目环境影响后评价报告书》。</w:t>
      </w:r>
    </w:p>
    <w:p>
      <w:pPr>
        <w:snapToGrid w:val="0"/>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（2）2013年10月14日，曲靖市环保局对《云南罗平锌电股份有限公司富乐铅锌矿采选项目环境影响后评价报告书》进行批复（曲环审[2013]206号）。</w:t>
      </w:r>
    </w:p>
    <w:p>
      <w:pPr>
        <w:snapToGrid w:val="0"/>
        <w:spacing w:line="360" w:lineRule="auto"/>
        <w:ind w:firstLine="480" w:firstLineChars="200"/>
        <w:outlineLvl w:val="0"/>
        <w:rPr>
          <w:rFonts w:hint="eastAsia" w:ascii="宋体" w:hAnsi="宋体" w:cs="仿宋"/>
          <w:color w:val="000000"/>
          <w:kern w:val="0"/>
          <w:sz w:val="24"/>
        </w:rPr>
      </w:pPr>
      <w:r>
        <w:rPr>
          <w:rFonts w:hint="eastAsia" w:ascii="宋体" w:hAnsi="宋体"/>
          <w:color w:val="000000"/>
          <w:sz w:val="24"/>
        </w:rPr>
        <w:t>（3）</w:t>
      </w:r>
      <w:r>
        <w:rPr>
          <w:rFonts w:hint="eastAsia" w:ascii="宋体" w:hAnsi="宋体" w:cs="仿宋"/>
          <w:color w:val="000000"/>
          <w:kern w:val="0"/>
          <w:sz w:val="24"/>
        </w:rPr>
        <w:t>罗平锌电股份有限公司富乐选矿厂2011年清洁生产审核报告</w:t>
      </w:r>
    </w:p>
    <w:p>
      <w:pPr>
        <w:spacing w:line="360" w:lineRule="auto"/>
        <w:ind w:firstLine="480" w:firstLineChars="200"/>
        <w:rPr>
          <w:rFonts w:hint="eastAsia" w:ascii="宋体" w:hAnsi="宋体"/>
          <w:color w:val="000000"/>
          <w:sz w:val="24"/>
        </w:rPr>
      </w:pPr>
      <w:r>
        <w:rPr>
          <w:rFonts w:hint="eastAsia" w:ascii="宋体" w:hAnsi="宋体"/>
          <w:color w:val="000000"/>
          <w:sz w:val="24"/>
        </w:rPr>
        <w:t>（4）云南罗平锌电股份有限公司富乐铅锌矿采选项目硫化矿系统竣工环境保护验收调查报告</w:t>
      </w:r>
    </w:p>
    <w:p>
      <w:pPr>
        <w:snapToGrid w:val="0"/>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（5）云南罗平锌电股份有限公司富乐铅锌矿采选项目硫化矿系统竣工验收环境检测报告（昆明京诚检测技术有限公司，2019年4月1日）</w:t>
      </w:r>
    </w:p>
    <w:p>
      <w:pPr>
        <w:snapToGrid w:val="0"/>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（6）采矿废石金属浸出毒性检验报告</w:t>
      </w:r>
    </w:p>
    <w:p>
      <w:pPr>
        <w:snapToGrid w:val="0"/>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（7）尾矿属性鉴别报告</w:t>
      </w:r>
    </w:p>
    <w:p>
      <w:pPr>
        <w:snapToGrid w:val="0"/>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（8）污水处理站环评批复及验收意见</w:t>
      </w:r>
    </w:p>
    <w:p>
      <w:pPr>
        <w:pStyle w:val="3"/>
        <w:spacing w:before="0" w:after="0"/>
        <w:jc w:val="center"/>
        <w:rPr>
          <w:rFonts w:ascii="宋体" w:hAnsi="宋体"/>
          <w:color w:val="000000"/>
        </w:rPr>
      </w:pPr>
      <w:bookmarkStart w:id="37" w:name="_Toc281124499"/>
      <w:bookmarkStart w:id="38" w:name="_Toc282248864"/>
      <w:bookmarkStart w:id="39" w:name="_Toc291960318"/>
      <w:bookmarkStart w:id="40" w:name="_Toc306002708"/>
      <w:bookmarkStart w:id="41" w:name="_Toc296604564"/>
      <w:bookmarkStart w:id="42" w:name="_Toc367782185"/>
      <w:bookmarkStart w:id="43" w:name="_Toc422252448"/>
      <w:bookmarkStart w:id="44" w:name="_Toc23000847"/>
      <w:r>
        <w:rPr>
          <w:rFonts w:hint="eastAsia" w:ascii="宋体" w:hAnsi="宋体"/>
          <w:color w:val="000000"/>
        </w:rPr>
        <w:t xml:space="preserve">第1章  </w:t>
      </w:r>
      <w:bookmarkEnd w:id="37"/>
      <w:bookmarkEnd w:id="38"/>
      <w:bookmarkEnd w:id="39"/>
      <w:bookmarkEnd w:id="40"/>
      <w:bookmarkEnd w:id="41"/>
      <w:bookmarkEnd w:id="42"/>
      <w:bookmarkEnd w:id="43"/>
      <w:r>
        <w:rPr>
          <w:rFonts w:hint="eastAsia" w:ascii="宋体" w:hAnsi="宋体"/>
          <w:color w:val="000000"/>
        </w:rPr>
        <w:t>审核准备</w:t>
      </w:r>
      <w:bookmarkEnd w:id="44"/>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审核准备是清洁生产审核工作的第一阶段，主要是通过宣传教育，使公司的领导和员工对清洁生产有一个正确的认识，明白清洁生产的重要性，从而消除思想上、观念上的障碍，正确区分传统的环境污染末端治理模式与清洁生产的根本不同点，了解清洁生产审核的内容、要求和工作程序。清洁生产审核工作一开始就得到公司高层领导的重视和支持，并积极参与清洁生产审核工作。</w:t>
      </w:r>
    </w:p>
    <w:p>
      <w:pPr>
        <w:pStyle w:val="4"/>
        <w:rPr>
          <w:color w:val="000000"/>
        </w:rPr>
      </w:pPr>
      <w:bookmarkStart w:id="45" w:name="_Toc23000848"/>
      <w:bookmarkStart w:id="46" w:name="_Toc281124500"/>
      <w:bookmarkStart w:id="47" w:name="_Toc282248865"/>
      <w:bookmarkStart w:id="48" w:name="_Toc291960319"/>
      <w:bookmarkStart w:id="49" w:name="_Toc296604565"/>
      <w:bookmarkStart w:id="50" w:name="_Toc306002709"/>
      <w:bookmarkStart w:id="51" w:name="_Toc367782186"/>
      <w:bookmarkStart w:id="52" w:name="_Toc422252449"/>
      <w:r>
        <w:rPr>
          <w:rFonts w:hint="eastAsia"/>
          <w:color w:val="000000"/>
        </w:rPr>
        <w:t>1.1 取得高层领导的支持和参与</w:t>
      </w:r>
      <w:bookmarkEnd w:id="45"/>
      <w:bookmarkEnd w:id="46"/>
      <w:bookmarkEnd w:id="47"/>
      <w:bookmarkEnd w:id="48"/>
      <w:bookmarkEnd w:id="49"/>
      <w:bookmarkEnd w:id="50"/>
      <w:bookmarkEnd w:id="51"/>
      <w:bookmarkEnd w:id="52"/>
    </w:p>
    <w:p>
      <w:pPr>
        <w:spacing w:line="360" w:lineRule="auto"/>
        <w:ind w:firstLine="460" w:firstLineChars="200"/>
        <w:rPr>
          <w:rFonts w:hint="eastAsia" w:ascii="宋体" w:hAnsi="宋体"/>
          <w:color w:val="000000"/>
          <w:spacing w:val="-5"/>
          <w:sz w:val="24"/>
        </w:rPr>
      </w:pPr>
      <w:bookmarkStart w:id="53" w:name="_Toc296604566"/>
      <w:r>
        <w:rPr>
          <w:rFonts w:hint="eastAsia" w:ascii="宋体" w:hAnsi="宋体"/>
          <w:color w:val="000000"/>
          <w:spacing w:val="-5"/>
          <w:sz w:val="24"/>
        </w:rPr>
        <w:t>自接到云南省环境保护厅下达的清洁生产审核任务后，公司立即召开高层会议，研究讨论如何把清洁生产审核工作做好。决定加强对清洁生产审核的组织领导以及给予人力、财力、物力方面的支特。</w:t>
      </w:r>
      <w:bookmarkEnd w:id="53"/>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（1）做好组织领导。由</w:t>
      </w:r>
      <w:r>
        <w:rPr>
          <w:rFonts w:hint="eastAsia" w:ascii="宋体" w:hAnsi="宋体"/>
          <w:color w:val="000000"/>
          <w:spacing w:val="-5"/>
          <w:sz w:val="24"/>
          <w:szCs w:val="24"/>
        </w:rPr>
        <w:t>公</w:t>
      </w:r>
      <w:r>
        <w:rPr>
          <w:rFonts w:hint="eastAsia" w:ascii="宋体" w:hAnsi="宋体"/>
          <w:color w:val="000000"/>
          <w:spacing w:val="-5"/>
          <w:sz w:val="24"/>
        </w:rPr>
        <w:t>司总经理洪巩堤负责清洁生产审核的领导工作，公司富乐铅锌矿矿长李志敏负责清洁生产审核工作的开展。</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（2）从财力上给予支持。公司安排一定的审核经费，以解决审核中的咨询费、业务费等费用。同时计划对清洁生产技改项目安排一定的资金。</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（3）从人力上给予支持。各部门抽调精干力量参与审核，由厂部领导直接主管，环保科和各车间主管人员共同参与审核。</w:t>
      </w:r>
      <w:bookmarkStart w:id="54" w:name="_Toc296604567"/>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（4）物力上的支持。主要是培训会场、车辆调度、办公场地等方面的支持。</w:t>
      </w:r>
      <w:bookmarkEnd w:id="54"/>
      <w:bookmarkStart w:id="55" w:name="_Toc291960320"/>
      <w:bookmarkStart w:id="56" w:name="_Toc281124501"/>
      <w:bookmarkStart w:id="57" w:name="_Toc282248866"/>
    </w:p>
    <w:bookmarkEnd w:id="55"/>
    <w:bookmarkEnd w:id="56"/>
    <w:bookmarkEnd w:id="57"/>
    <w:p>
      <w:pPr>
        <w:pStyle w:val="4"/>
        <w:rPr>
          <w:rFonts w:hint="eastAsia"/>
          <w:color w:val="000000"/>
        </w:rPr>
      </w:pPr>
      <w:bookmarkStart w:id="58" w:name="_Toc23000849"/>
      <w:bookmarkStart w:id="59" w:name="_Toc296604568"/>
      <w:bookmarkStart w:id="60" w:name="_Toc306002710"/>
      <w:bookmarkStart w:id="61" w:name="_Toc367782187"/>
      <w:bookmarkStart w:id="62" w:name="_Toc422252450"/>
      <w:r>
        <w:rPr>
          <w:rFonts w:hint="eastAsia"/>
          <w:color w:val="000000"/>
        </w:rPr>
        <w:t>1.2 成立清洁生产工作组织机构</w:t>
      </w:r>
      <w:bookmarkEnd w:id="58"/>
      <w:bookmarkEnd w:id="59"/>
      <w:bookmarkEnd w:id="60"/>
      <w:bookmarkEnd w:id="61"/>
      <w:bookmarkEnd w:id="62"/>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成立清洁生产领导小组是进行清洁生产审核工作的组织保障，是实施和推进清洁生产审核工作的关键，目的是强化工作职能，明确工作分工和任务，全面推进公司的清洁生产工作。审领导小组成员如下：</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组  长：洪巩堤（公司总经理）</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副组长：李志敏（矿长）、陈恪锦（公司分管安全环保副总经理）</w:t>
      </w:r>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成员：王家林（总工程师）、李练森（财务总监）、周伟（环境管理部经理）、周立雄（安全管理部经理）、罗青（企业管理部经理）。</w:t>
      </w:r>
    </w:p>
    <w:p>
      <w:pPr>
        <w:autoSpaceDE w:val="0"/>
        <w:autoSpaceDN w:val="0"/>
        <w:adjustRightInd w:val="0"/>
        <w:spacing w:line="360" w:lineRule="auto"/>
        <w:ind w:firstLine="480" w:firstLineChars="200"/>
        <w:rPr>
          <w:rFonts w:hint="eastAsia" w:ascii="宋体" w:hAnsi="宋体" w:cs="宋体"/>
          <w:color w:val="000000"/>
          <w:sz w:val="24"/>
          <w:lang w:val="zh-CN"/>
        </w:rPr>
      </w:pPr>
      <w:r>
        <w:rPr>
          <w:rFonts w:hint="eastAsia" w:ascii="宋体" w:hAnsi="宋体" w:cs="宋体"/>
          <w:color w:val="000000"/>
          <w:sz w:val="24"/>
          <w:lang w:val="zh-CN"/>
        </w:rPr>
        <w:t>清洁生产审核领导小组对清洁生产审核工作全面组织、领导，对清洁生产政策、法律、法规及相关的知识进行宣传培训，定期听取清洁生产办公室的工作汇报，研究解决清洁生产过程中存在的困难和问题，为清洁生产提供人、财、物、技术及工作方式、方法的支持。</w:t>
      </w:r>
    </w:p>
    <w:p>
      <w:pPr>
        <w:autoSpaceDE w:val="0"/>
        <w:autoSpaceDN w:val="0"/>
        <w:adjustRightInd w:val="0"/>
        <w:spacing w:line="360" w:lineRule="auto"/>
        <w:ind w:firstLine="480" w:firstLineChars="200"/>
        <w:rPr>
          <w:rFonts w:hint="eastAsia" w:ascii="宋体" w:hAnsi="宋体" w:cs="宋体"/>
          <w:color w:val="000000"/>
          <w:sz w:val="24"/>
        </w:rPr>
      </w:pPr>
      <w:r>
        <w:rPr>
          <w:rFonts w:hint="eastAsia" w:ascii="宋体" w:hAnsi="宋体" w:cs="宋体"/>
          <w:color w:val="000000"/>
          <w:sz w:val="24"/>
          <w:lang w:val="zh-CN"/>
        </w:rPr>
        <w:t>为了更好地开展清洁</w:t>
      </w:r>
      <w:r>
        <w:rPr>
          <w:rFonts w:hint="eastAsia" w:ascii="宋体" w:hAnsi="宋体" w:cs="宋体"/>
          <w:color w:val="000000"/>
          <w:sz w:val="24"/>
        </w:rPr>
        <w:t>生产工作,领导小组下设清洁生产审核小组,具体负责清洁生产工作的日常事务。清洁生产审核小组成员分工见表1－1.</w:t>
      </w:r>
    </w:p>
    <w:p>
      <w:pPr>
        <w:autoSpaceDE w:val="0"/>
        <w:autoSpaceDN w:val="0"/>
        <w:adjustRightInd w:val="0"/>
        <w:spacing w:line="320" w:lineRule="exact"/>
        <w:ind w:firstLine="561"/>
        <w:jc w:val="center"/>
        <w:rPr>
          <w:rFonts w:hint="eastAsia" w:ascii="宋体" w:hAnsi="宋体" w:cs="宋体"/>
          <w:b/>
          <w:bCs/>
          <w:color w:val="000000"/>
          <w:kern w:val="0"/>
          <w:sz w:val="24"/>
          <w:lang w:val="zh-CN"/>
        </w:rPr>
      </w:pPr>
      <w:r>
        <w:rPr>
          <w:rFonts w:hint="eastAsia" w:ascii="宋体" w:hAnsi="宋体" w:cs="宋体"/>
          <w:b/>
          <w:color w:val="000000"/>
          <w:sz w:val="24"/>
          <w:lang w:val="zh-CN"/>
        </w:rPr>
        <w:t xml:space="preserve">表1－1   </w:t>
      </w:r>
      <w:r>
        <w:rPr>
          <w:rFonts w:hint="eastAsia" w:ascii="宋体" w:hAnsi="宋体" w:cs="宋体"/>
          <w:b/>
          <w:bCs/>
          <w:color w:val="000000"/>
          <w:kern w:val="0"/>
          <w:sz w:val="24"/>
          <w:lang w:val="zh-CN"/>
        </w:rPr>
        <w:t>清洁生产审核工作小组成员分工表</w:t>
      </w:r>
    </w:p>
    <w:tbl>
      <w:tblPr>
        <w:tblStyle w:val="35"/>
        <w:tblW w:w="936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867"/>
        <w:gridCol w:w="2252"/>
        <w:gridCol w:w="5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4" w:hRule="atLeast"/>
          <w:tblHeader/>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姓名</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职务</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职 称</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职  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szCs w:val="21"/>
                <w:lang w:val="en-GB"/>
              </w:rPr>
              <w:t>李志敏</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组长</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矿长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负责组织清洁生产审核全面工作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桂镜德</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副组长</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副矿长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协助组长工作，负责组织协调公司各部门的审核。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李高</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副组长</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szCs w:val="21"/>
              </w:rPr>
              <w:t>副矿长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负责组织生产工艺方面的审核，协调各车间审核。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黄彦程</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安全环保科长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安全环保方面的审核工作，收集环境保护及环境治理方面的资料和相关数据；负责公司清洁生产审核资料的收集整理，编制清洁生产审核报告，提出和收集本部门的清洁生产方案；负责清洁生产小组组织宣传、培训、协调工作，编写清洁生产审核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钱照霖</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公司环境管理部副经理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协助收集各车间清洁生产审核方案，编写清洁生产审核报告，协助清洁生产审核档案的建立。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szCs w:val="21"/>
              </w:rPr>
            </w:pPr>
            <w:r>
              <w:rPr>
                <w:rFonts w:hint="eastAsia" w:ascii="宋体" w:hAnsi="宋体" w:cs="仿宋_GB2312"/>
                <w:color w:val="000000"/>
                <w:szCs w:val="21"/>
              </w:rPr>
              <w:t>吕生稳</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szCs w:val="21"/>
              </w:rPr>
            </w:pPr>
            <w:r>
              <w:rPr>
                <w:rFonts w:hint="eastAsia" w:ascii="宋体" w:hAnsi="宋体" w:cs="仿宋_GB2312"/>
                <w:color w:val="000000"/>
                <w:szCs w:val="21"/>
              </w:rPr>
              <w:t>生产科科长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负责组织生产工艺方面的审核，收集本部门的审核资料，提出、推荐本部门的清洁生产方案。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刘春成</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安全环保副科长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收集各车间清洁生产审核方案，编写清洁生产审核报告，建立清洁生产审核档案。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桂腾生</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办公室主任</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ascii="宋体" w:hAnsi="宋体" w:cs="仿宋_GB2312"/>
                <w:color w:val="000000"/>
                <w:kern w:val="0"/>
                <w:szCs w:val="21"/>
                <w:lang w:val="zh-CN"/>
              </w:rPr>
            </w:pPr>
            <w:r>
              <w:rPr>
                <w:rFonts w:hint="eastAsia" w:ascii="宋体" w:hAnsi="宋体" w:cs="仿宋_GB2312"/>
                <w:color w:val="000000"/>
                <w:kern w:val="0"/>
                <w:szCs w:val="21"/>
                <w:lang w:val="zh-CN"/>
              </w:rPr>
              <w:t>负责清洁生产小组组织宣传、培训、协调工作，协调各车部、各部门的审核。协助审核报告编写及清洁生产审核档案的建立。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张金美</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公司财务部经理</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负责方案的经济可行性分析和环境分析，对方案的实施效果进行评估和计算，对方案实施效果进行汇总。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王学宽</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财务科科长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负责方案的经济可行性分析和环境分析，对方案的实施效果进行评估和计算，对方案实施效果进行汇总，建立清洁生产审核相关的帐务，对方案实施过程中投入的资金建立档案。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张陆发</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设备科科长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负责生产设备审核，核实本矿使用的高耗能淘汰设备，提出、推荐清洁生产方案。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何赢利</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采矿队队长</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负责采矿生产的审核，提出、推荐本部门的清洁生产方案。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桂锐同</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选矿一车间主任</w:t>
            </w:r>
          </w:p>
        </w:tc>
        <w:tc>
          <w:tcPr>
            <w:tcW w:w="520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张荣德</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color w:val="000000"/>
              </w:rPr>
            </w:pPr>
            <w:r>
              <w:rPr>
                <w:rFonts w:hint="eastAsia" w:ascii="宋体" w:hAnsi="宋体" w:cs="仿宋_GB2312"/>
                <w:color w:val="000000"/>
                <w:kern w:val="0"/>
                <w:szCs w:val="21"/>
                <w:lang w:val="zh-CN"/>
              </w:rPr>
              <w:t>选矿二车间主任</w:t>
            </w:r>
          </w:p>
        </w:tc>
        <w:tc>
          <w:tcPr>
            <w:tcW w:w="520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color w:val="000000"/>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李石庆</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选矿三车间主任</w:t>
            </w:r>
          </w:p>
        </w:tc>
        <w:tc>
          <w:tcPr>
            <w:tcW w:w="520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color w:val="000000"/>
              </w:rPr>
            </w:pPr>
            <w:r>
              <w:rPr>
                <w:rFonts w:hint="eastAsia" w:ascii="宋体" w:hAnsi="宋体" w:cs="仿宋_GB2312"/>
                <w:color w:val="000000"/>
                <w:kern w:val="0"/>
                <w:szCs w:val="21"/>
                <w:lang w:val="zh-CN"/>
              </w:rPr>
              <w:t>负责本部门生产工艺审核，提出、推荐本部门的清洁生产方案。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26" w:hRule="atLeast"/>
        </w:trPr>
        <w:tc>
          <w:tcPr>
            <w:tcW w:w="1041"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桂镜平</w:t>
            </w:r>
          </w:p>
        </w:tc>
        <w:tc>
          <w:tcPr>
            <w:tcW w:w="867"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组员</w:t>
            </w:r>
          </w:p>
        </w:tc>
        <w:tc>
          <w:tcPr>
            <w:tcW w:w="2252" w:type="dxa"/>
            <w:tcBorders>
              <w:top w:val="single" w:color="auto" w:sz="4" w:space="0"/>
              <w:left w:val="single" w:color="auto" w:sz="4" w:space="0"/>
              <w:bottom w:val="single" w:color="auto" w:sz="4" w:space="0"/>
              <w:right w:val="single" w:color="auto" w:sz="4" w:space="0"/>
            </w:tcBorders>
            <w:noWrap w:val="0"/>
            <w:vAlign w:val="top"/>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选矿四车间主任</w:t>
            </w:r>
          </w:p>
        </w:tc>
        <w:tc>
          <w:tcPr>
            <w:tcW w:w="520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cs="仿宋_GB2312"/>
                <w:color w:val="000000"/>
                <w:kern w:val="0"/>
                <w:szCs w:val="21"/>
                <w:lang w:val="zh-CN"/>
              </w:rPr>
            </w:pPr>
            <w:r>
              <w:rPr>
                <w:rFonts w:hint="eastAsia" w:ascii="宋体" w:hAnsi="宋体" w:cs="仿宋_GB2312"/>
                <w:color w:val="000000"/>
                <w:kern w:val="0"/>
                <w:szCs w:val="21"/>
                <w:lang w:val="zh-CN"/>
              </w:rPr>
              <w:t>负责本部门生产工艺审核，提出、推荐本部门的清洁生产方案。</w:t>
            </w:r>
          </w:p>
        </w:tc>
      </w:tr>
    </w:tbl>
    <w:p>
      <w:pPr>
        <w:autoSpaceDE w:val="0"/>
        <w:autoSpaceDN w:val="0"/>
        <w:adjustRightInd w:val="0"/>
        <w:spacing w:before="120" w:beforeLines="50" w:line="360" w:lineRule="auto"/>
        <w:ind w:firstLine="480" w:firstLineChars="200"/>
        <w:rPr>
          <w:rFonts w:hint="eastAsia" w:ascii="宋体" w:hAnsi="宋体" w:cs="宋体"/>
          <w:color w:val="000000"/>
          <w:sz w:val="24"/>
          <w:lang w:val="zh-CN"/>
        </w:rPr>
      </w:pPr>
      <w:r>
        <w:rPr>
          <w:rFonts w:hint="eastAsia" w:ascii="宋体" w:hAnsi="宋体" w:cs="宋体"/>
          <w:color w:val="000000"/>
          <w:sz w:val="24"/>
          <w:lang w:val="zh-CN"/>
        </w:rPr>
        <w:t>公司清洁生产工作坚持在发展的基础上兼顾环保，经济效益和社会效益一起抓的指导思想。自成立清洁生产领导小组和清洁生产审核小组后，企业上下对清洁生产高度重视，召开了的清洁生产动员大会，针对不同层次的人员，组织了多次的清洁生产培训班。首先对公司管理人员进行了清洁生产审核的全方位培训和宣教，统一了认识。通过对审核骨干的宣传和培训工作，使来自企业各部门的工作骨干对清洁生产审核程序和工作方法有了全面深入的了解，为今后工作顺利开展奠定了基础。</w:t>
      </w:r>
    </w:p>
    <w:p>
      <w:pPr>
        <w:pStyle w:val="4"/>
        <w:rPr>
          <w:color w:val="000000"/>
          <w:lang w:val="zh-CN"/>
        </w:rPr>
      </w:pPr>
      <w:bookmarkStart w:id="63" w:name="_Toc23000850"/>
      <w:bookmarkStart w:id="64" w:name="_Toc474018551"/>
      <w:bookmarkStart w:id="65" w:name="_Toc470870065"/>
      <w:bookmarkStart w:id="66" w:name="_Toc367782188"/>
      <w:bookmarkStart w:id="67" w:name="_Toc422252451"/>
      <w:bookmarkStart w:id="68" w:name="_Toc306002717"/>
      <w:bookmarkStart w:id="69" w:name="_Toc367782194"/>
      <w:r>
        <w:rPr>
          <w:rFonts w:hint="eastAsia"/>
          <w:color w:val="000000"/>
          <w:lang w:val="zh-CN"/>
        </w:rPr>
        <w:t>1.3 制定清洁生产审核工作计划</w:t>
      </w:r>
      <w:bookmarkEnd w:id="63"/>
      <w:bookmarkEnd w:id="64"/>
      <w:bookmarkEnd w:id="65"/>
      <w:bookmarkEnd w:id="66"/>
      <w:bookmarkEnd w:id="67"/>
    </w:p>
    <w:p>
      <w:pPr>
        <w:spacing w:line="360" w:lineRule="auto"/>
        <w:ind w:firstLine="480"/>
        <w:rPr>
          <w:rFonts w:hint="eastAsia" w:ascii="宋体" w:hAnsi="宋体"/>
          <w:color w:val="000000"/>
          <w:sz w:val="24"/>
          <w:szCs w:val="24"/>
        </w:rPr>
      </w:pPr>
      <w:bookmarkStart w:id="70" w:name="_Toc306002712"/>
      <w:bookmarkStart w:id="71" w:name="_Toc291960322"/>
      <w:bookmarkStart w:id="72" w:name="_Toc281124503"/>
      <w:bookmarkStart w:id="73" w:name="_Toc282248868"/>
      <w:bookmarkStart w:id="74" w:name="_Toc296604570"/>
      <w:bookmarkStart w:id="75" w:name="_Toc367782189"/>
      <w:r>
        <w:rPr>
          <w:rFonts w:ascii="宋体" w:hAnsi="宋体"/>
          <w:color w:val="000000"/>
          <w:sz w:val="24"/>
          <w:szCs w:val="24"/>
        </w:rPr>
        <w:t>审核小组依据清洁生产审核工作的要求召开会议，对本轮清洁生产审核的工作计划进行了研究，结合</w:t>
      </w:r>
      <w:r>
        <w:rPr>
          <w:rFonts w:hint="eastAsia" w:ascii="宋体" w:hAnsi="宋体"/>
          <w:color w:val="000000"/>
          <w:sz w:val="24"/>
          <w:szCs w:val="24"/>
        </w:rPr>
        <w:t>公司</w:t>
      </w:r>
      <w:r>
        <w:rPr>
          <w:rFonts w:ascii="宋体" w:hAnsi="宋体"/>
          <w:color w:val="000000"/>
          <w:sz w:val="24"/>
          <w:szCs w:val="24"/>
        </w:rPr>
        <w:t>生产工作与计划任务，制定出</w:t>
      </w:r>
      <w:r>
        <w:rPr>
          <w:rFonts w:hint="eastAsia" w:ascii="宋体" w:hAnsi="宋体"/>
          <w:color w:val="000000"/>
          <w:sz w:val="24"/>
          <w:szCs w:val="24"/>
        </w:rPr>
        <w:t>云南</w:t>
      </w:r>
      <w:r>
        <w:rPr>
          <w:rFonts w:hint="eastAsia" w:ascii="宋体" w:hAnsi="宋体"/>
          <w:color w:val="000000"/>
          <w:sz w:val="24"/>
        </w:rPr>
        <w:t>罗平锌电股份有限公司富乐铅锌矿</w:t>
      </w:r>
      <w:r>
        <w:rPr>
          <w:rFonts w:ascii="宋体" w:hAnsi="宋体"/>
          <w:color w:val="000000"/>
          <w:sz w:val="24"/>
          <w:szCs w:val="24"/>
        </w:rPr>
        <w:t>清洁生产审核工作计划</w:t>
      </w:r>
      <w:r>
        <w:rPr>
          <w:rFonts w:hint="eastAsia" w:ascii="宋体" w:hAnsi="宋体"/>
          <w:color w:val="000000"/>
          <w:sz w:val="24"/>
          <w:szCs w:val="24"/>
        </w:rPr>
        <w:t>，</w:t>
      </w:r>
      <w:r>
        <w:rPr>
          <w:rFonts w:ascii="宋体" w:hAnsi="宋体"/>
          <w:color w:val="000000"/>
          <w:sz w:val="24"/>
          <w:szCs w:val="24"/>
        </w:rPr>
        <w:t>计划进度由审核</w:t>
      </w:r>
      <w:r>
        <w:rPr>
          <w:rFonts w:hint="eastAsia" w:ascii="宋体" w:hAnsi="宋体"/>
          <w:color w:val="000000"/>
          <w:sz w:val="24"/>
          <w:szCs w:val="24"/>
        </w:rPr>
        <w:t>领导小组</w:t>
      </w:r>
      <w:r>
        <w:rPr>
          <w:rFonts w:ascii="宋体" w:hAnsi="宋体"/>
          <w:color w:val="000000"/>
          <w:sz w:val="24"/>
          <w:szCs w:val="24"/>
        </w:rPr>
        <w:t>监督、检查。</w:t>
      </w:r>
      <w:r>
        <w:rPr>
          <w:rFonts w:hint="eastAsia" w:ascii="宋体" w:hAnsi="宋体"/>
          <w:color w:val="000000"/>
          <w:sz w:val="24"/>
        </w:rPr>
        <w:t>公司</w:t>
      </w:r>
      <w:r>
        <w:rPr>
          <w:rFonts w:ascii="宋体" w:hAnsi="宋体"/>
          <w:color w:val="000000"/>
          <w:sz w:val="24"/>
          <w:szCs w:val="24"/>
        </w:rPr>
        <w:t>清洁生产审核工作计划</w:t>
      </w:r>
      <w:r>
        <w:rPr>
          <w:rFonts w:hint="eastAsia" w:ascii="宋体" w:hAnsi="宋体"/>
          <w:color w:val="000000"/>
          <w:sz w:val="24"/>
          <w:szCs w:val="24"/>
        </w:rPr>
        <w:t>，详</w:t>
      </w:r>
      <w:r>
        <w:rPr>
          <w:rFonts w:ascii="宋体" w:hAnsi="宋体"/>
          <w:color w:val="000000"/>
          <w:sz w:val="24"/>
          <w:szCs w:val="24"/>
        </w:rPr>
        <w:t>见表1-</w:t>
      </w:r>
      <w:r>
        <w:rPr>
          <w:rFonts w:hint="eastAsia" w:ascii="宋体" w:hAnsi="宋体"/>
          <w:color w:val="000000"/>
          <w:sz w:val="24"/>
          <w:szCs w:val="24"/>
        </w:rPr>
        <w:t>2</w:t>
      </w:r>
      <w:r>
        <w:rPr>
          <w:rFonts w:ascii="宋体" w:hAnsi="宋体"/>
          <w:color w:val="000000"/>
          <w:sz w:val="24"/>
          <w:szCs w:val="24"/>
        </w:rPr>
        <w:t>。</w:t>
      </w:r>
    </w:p>
    <w:p>
      <w:pPr>
        <w:ind w:firstLine="482"/>
        <w:jc w:val="center"/>
        <w:rPr>
          <w:rFonts w:ascii="宋体" w:hAnsi="宋体"/>
          <w:b/>
          <w:color w:val="000000"/>
          <w:sz w:val="24"/>
          <w:szCs w:val="24"/>
        </w:rPr>
      </w:pPr>
      <w:r>
        <w:rPr>
          <w:rFonts w:ascii="宋体" w:hAnsi="宋体"/>
          <w:b/>
          <w:color w:val="000000"/>
          <w:sz w:val="24"/>
          <w:szCs w:val="24"/>
        </w:rPr>
        <w:t>表1-</w:t>
      </w:r>
      <w:r>
        <w:rPr>
          <w:rFonts w:hint="eastAsia" w:ascii="宋体" w:hAnsi="宋体"/>
          <w:b/>
          <w:color w:val="000000"/>
          <w:sz w:val="24"/>
          <w:szCs w:val="24"/>
        </w:rPr>
        <w:t>2</w:t>
      </w:r>
      <w:r>
        <w:rPr>
          <w:rFonts w:ascii="宋体" w:hAnsi="宋体"/>
          <w:b/>
          <w:color w:val="000000"/>
          <w:sz w:val="24"/>
          <w:szCs w:val="24"/>
        </w:rPr>
        <w:t xml:space="preserve">    审核工作计划表</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20"/>
        <w:gridCol w:w="1080"/>
        <w:gridCol w:w="900"/>
        <w:gridCol w:w="2949"/>
        <w:gridCol w:w="2039"/>
        <w:gridCol w:w="18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452" w:hRule="atLeast"/>
          <w:tblHeader/>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序号</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工作阶段</w:t>
            </w:r>
          </w:p>
        </w:tc>
        <w:tc>
          <w:tcPr>
            <w:tcW w:w="900" w:type="dxa"/>
            <w:noWrap w:val="0"/>
            <w:vAlign w:val="center"/>
          </w:tcPr>
          <w:p>
            <w:pPr>
              <w:rPr>
                <w:rFonts w:hint="eastAsia" w:ascii="宋体" w:hAnsi="宋体" w:cs="楷体_GB2312"/>
                <w:color w:val="000000"/>
              </w:rPr>
            </w:pPr>
            <w:r>
              <w:rPr>
                <w:rFonts w:hint="eastAsia" w:ascii="宋体" w:hAnsi="宋体" w:cs="楷体_GB2312"/>
                <w:color w:val="000000"/>
              </w:rPr>
              <w:t>时间</w:t>
            </w:r>
          </w:p>
          <w:p>
            <w:pPr>
              <w:rPr>
                <w:rFonts w:hint="eastAsia" w:ascii="宋体" w:hAnsi="宋体" w:cs="楷体_GB2312"/>
                <w:color w:val="000000"/>
              </w:rPr>
            </w:pPr>
            <w:r>
              <w:rPr>
                <w:rFonts w:hint="eastAsia" w:ascii="宋体" w:hAnsi="宋体" w:cs="楷体_GB2312"/>
                <w:color w:val="000000"/>
              </w:rPr>
              <w:t>安 排</w:t>
            </w:r>
          </w:p>
        </w:tc>
        <w:tc>
          <w:tcPr>
            <w:tcW w:w="2949" w:type="dxa"/>
            <w:noWrap w:val="0"/>
            <w:vAlign w:val="center"/>
          </w:tcPr>
          <w:p>
            <w:pPr>
              <w:jc w:val="center"/>
              <w:rPr>
                <w:rFonts w:hint="eastAsia" w:ascii="宋体" w:hAnsi="宋体" w:cs="楷体_GB2312"/>
                <w:color w:val="000000"/>
              </w:rPr>
            </w:pPr>
            <w:r>
              <w:rPr>
                <w:rFonts w:hint="eastAsia" w:ascii="宋体" w:hAnsi="宋体" w:cs="楷体_GB2312"/>
                <w:color w:val="000000"/>
              </w:rPr>
              <w:t>主要工作内容</w:t>
            </w:r>
          </w:p>
        </w:tc>
        <w:tc>
          <w:tcPr>
            <w:tcW w:w="2039" w:type="dxa"/>
            <w:noWrap w:val="0"/>
            <w:vAlign w:val="center"/>
          </w:tcPr>
          <w:p>
            <w:pPr>
              <w:jc w:val="center"/>
              <w:rPr>
                <w:rFonts w:hint="eastAsia" w:ascii="宋体" w:hAnsi="宋体" w:cs="楷体_GB2312"/>
                <w:color w:val="000000"/>
              </w:rPr>
            </w:pPr>
            <w:r>
              <w:rPr>
                <w:rFonts w:hint="eastAsia" w:ascii="宋体" w:hAnsi="宋体" w:cs="楷体_GB2312"/>
                <w:color w:val="000000"/>
              </w:rPr>
              <w:t>工作重点</w:t>
            </w:r>
          </w:p>
        </w:tc>
        <w:tc>
          <w:tcPr>
            <w:tcW w:w="1826" w:type="dxa"/>
            <w:noWrap w:val="0"/>
            <w:vAlign w:val="center"/>
          </w:tcPr>
          <w:p>
            <w:pPr>
              <w:jc w:val="center"/>
              <w:rPr>
                <w:rFonts w:hint="eastAsia" w:ascii="宋体" w:hAnsi="宋体" w:cs="楷体_GB2312"/>
                <w:color w:val="000000"/>
              </w:rPr>
            </w:pPr>
            <w:r>
              <w:rPr>
                <w:rFonts w:hint="eastAsia" w:ascii="宋体" w:hAnsi="宋体" w:cs="楷体_GB2312"/>
                <w:color w:val="000000"/>
              </w:rPr>
              <w:t>工作目标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524"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1</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审核准备</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2019.1～2019.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1.30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1.清洁生产培训</w:t>
            </w:r>
          </w:p>
          <w:p>
            <w:pPr>
              <w:rPr>
                <w:rFonts w:hint="eastAsia" w:ascii="宋体" w:hAnsi="宋体" w:cs="楷体_GB2312"/>
                <w:color w:val="000000"/>
              </w:rPr>
            </w:pPr>
            <w:r>
              <w:rPr>
                <w:rFonts w:hint="eastAsia" w:ascii="宋体" w:hAnsi="宋体" w:cs="楷体_GB2312"/>
                <w:color w:val="000000"/>
              </w:rPr>
              <w:t>2.成立审核小组</w:t>
            </w:r>
          </w:p>
          <w:p>
            <w:pPr>
              <w:rPr>
                <w:rFonts w:hint="eastAsia" w:ascii="宋体" w:hAnsi="宋体" w:cs="楷体_GB2312"/>
                <w:color w:val="000000"/>
              </w:rPr>
            </w:pPr>
            <w:r>
              <w:rPr>
                <w:rFonts w:hint="eastAsia" w:ascii="宋体" w:hAnsi="宋体" w:cs="楷体_GB2312"/>
                <w:color w:val="000000"/>
              </w:rPr>
              <w:t>3.制定工作计划</w:t>
            </w:r>
          </w:p>
          <w:p>
            <w:pPr>
              <w:rPr>
                <w:rFonts w:hint="eastAsia" w:ascii="宋体" w:hAnsi="宋体" w:cs="楷体_GB2312"/>
                <w:color w:val="000000"/>
              </w:rPr>
            </w:pPr>
            <w:r>
              <w:rPr>
                <w:rFonts w:hint="eastAsia" w:ascii="宋体" w:hAnsi="宋体" w:cs="楷体_GB2312"/>
                <w:color w:val="000000"/>
              </w:rPr>
              <w:t>4.开展宣传教育</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高层领导支持和参与，成立审核小组，审核骨干培训，制定工作计划，对全公司员工进行清洁生产和清洁生产审核知识宣传</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1公司领导参与</w:t>
            </w:r>
          </w:p>
          <w:p>
            <w:pPr>
              <w:rPr>
                <w:rFonts w:hint="eastAsia" w:ascii="宋体" w:hAnsi="宋体" w:cs="楷体_GB2312"/>
                <w:color w:val="000000"/>
              </w:rPr>
            </w:pPr>
            <w:r>
              <w:rPr>
                <w:rFonts w:hint="eastAsia" w:ascii="宋体" w:hAnsi="宋体" w:cs="楷体_GB2312"/>
                <w:color w:val="000000"/>
              </w:rPr>
              <w:t>2.审核小组成立</w:t>
            </w:r>
          </w:p>
          <w:p>
            <w:pPr>
              <w:rPr>
                <w:rFonts w:hint="eastAsia" w:ascii="宋体" w:hAnsi="宋体" w:cs="楷体_GB2312"/>
                <w:color w:val="000000"/>
              </w:rPr>
            </w:pPr>
            <w:r>
              <w:rPr>
                <w:rFonts w:hint="eastAsia" w:ascii="宋体" w:hAnsi="宋体" w:cs="楷体_GB2312"/>
                <w:color w:val="000000"/>
              </w:rPr>
              <w:t>3.审核工作计划</w:t>
            </w:r>
          </w:p>
          <w:p>
            <w:pPr>
              <w:rPr>
                <w:rFonts w:hint="eastAsia" w:ascii="宋体" w:hAnsi="宋体" w:cs="楷体_GB2312"/>
                <w:color w:val="000000"/>
              </w:rPr>
            </w:pPr>
            <w:r>
              <w:rPr>
                <w:rFonts w:hint="eastAsia" w:ascii="宋体" w:hAnsi="宋体" w:cs="楷体_GB2312"/>
                <w:color w:val="000000"/>
              </w:rPr>
              <w:t>4.障碍的克服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808"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2</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预审核</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2019.2～2019.2.28</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5.进行现状调研</w:t>
            </w:r>
          </w:p>
          <w:p>
            <w:pPr>
              <w:rPr>
                <w:rFonts w:hint="eastAsia" w:ascii="宋体" w:hAnsi="宋体" w:cs="楷体_GB2312"/>
                <w:color w:val="000000"/>
              </w:rPr>
            </w:pPr>
            <w:r>
              <w:rPr>
                <w:rFonts w:hint="eastAsia" w:ascii="宋体" w:hAnsi="宋体" w:cs="楷体_GB2312"/>
                <w:color w:val="000000"/>
              </w:rPr>
              <w:t>6.组织现场考察</w:t>
            </w:r>
          </w:p>
          <w:p>
            <w:pPr>
              <w:rPr>
                <w:rFonts w:hint="eastAsia" w:ascii="宋体" w:hAnsi="宋体" w:cs="楷体_GB2312"/>
                <w:color w:val="000000"/>
              </w:rPr>
            </w:pPr>
            <w:r>
              <w:rPr>
                <w:rFonts w:hint="eastAsia" w:ascii="宋体" w:hAnsi="宋体" w:cs="楷体_GB2312"/>
                <w:color w:val="000000"/>
              </w:rPr>
              <w:t>7.评价产污状况</w:t>
            </w:r>
          </w:p>
          <w:p>
            <w:pPr>
              <w:rPr>
                <w:rFonts w:hint="eastAsia" w:ascii="宋体" w:hAnsi="宋体" w:cs="楷体_GB2312"/>
                <w:color w:val="000000"/>
              </w:rPr>
            </w:pPr>
            <w:r>
              <w:rPr>
                <w:rFonts w:hint="eastAsia" w:ascii="宋体" w:hAnsi="宋体" w:cs="楷体_GB2312"/>
                <w:color w:val="000000"/>
              </w:rPr>
              <w:t>8.确定审核重点</w:t>
            </w:r>
          </w:p>
          <w:p>
            <w:pPr>
              <w:rPr>
                <w:rFonts w:hint="eastAsia" w:ascii="宋体" w:hAnsi="宋体" w:cs="楷体_GB2312"/>
                <w:color w:val="000000"/>
              </w:rPr>
            </w:pPr>
            <w:r>
              <w:rPr>
                <w:rFonts w:hint="eastAsia" w:ascii="宋体" w:hAnsi="宋体" w:cs="楷体_GB2312"/>
                <w:color w:val="000000"/>
              </w:rPr>
              <w:t>9.设置清洁生产目标</w:t>
            </w:r>
          </w:p>
          <w:p>
            <w:pPr>
              <w:rPr>
                <w:rFonts w:hint="eastAsia" w:ascii="宋体" w:hAnsi="宋体" w:cs="楷体_GB2312"/>
                <w:color w:val="000000"/>
              </w:rPr>
            </w:pPr>
            <w:r>
              <w:rPr>
                <w:rFonts w:hint="eastAsia" w:ascii="宋体" w:hAnsi="宋体" w:cs="楷体_GB2312"/>
                <w:color w:val="000000"/>
              </w:rPr>
              <w:t>10.提出实施无/低费方案</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评价公司产污、排污状况，确定审核重点，并针对审核重点设置清洁生产目标</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1.现状调查结论</w:t>
            </w:r>
          </w:p>
          <w:p>
            <w:pPr>
              <w:rPr>
                <w:rFonts w:hint="eastAsia" w:ascii="宋体" w:hAnsi="宋体" w:cs="楷体_GB2312"/>
                <w:color w:val="000000"/>
              </w:rPr>
            </w:pPr>
            <w:r>
              <w:rPr>
                <w:rFonts w:hint="eastAsia" w:ascii="宋体" w:hAnsi="宋体" w:cs="楷体_GB2312"/>
                <w:color w:val="000000"/>
              </w:rPr>
              <w:t>2.审核重点</w:t>
            </w:r>
          </w:p>
          <w:p>
            <w:pPr>
              <w:rPr>
                <w:rFonts w:hint="eastAsia" w:ascii="宋体" w:hAnsi="宋体" w:cs="楷体_GB2312"/>
                <w:color w:val="000000"/>
              </w:rPr>
            </w:pPr>
            <w:r>
              <w:rPr>
                <w:rFonts w:hint="eastAsia" w:ascii="宋体" w:hAnsi="宋体" w:cs="楷体_GB2312"/>
                <w:color w:val="000000"/>
              </w:rPr>
              <w:t>3.清洁生产目标</w:t>
            </w:r>
          </w:p>
          <w:p>
            <w:pPr>
              <w:rPr>
                <w:rFonts w:hint="eastAsia" w:ascii="宋体" w:hAnsi="宋体" w:cs="楷体_GB2312"/>
                <w:color w:val="000000"/>
              </w:rPr>
            </w:pPr>
            <w:r>
              <w:rPr>
                <w:rFonts w:hint="eastAsia" w:ascii="宋体" w:hAnsi="宋体" w:cs="楷体_GB2312"/>
                <w:color w:val="000000"/>
              </w:rPr>
              <w:t>4.现场考察产生的无/低费方案的实施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288"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3</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审核</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2019.3～</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3.30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11.准备审核重点料</w:t>
            </w:r>
          </w:p>
          <w:p>
            <w:pPr>
              <w:rPr>
                <w:rFonts w:hint="eastAsia" w:ascii="宋体" w:hAnsi="宋体" w:cs="楷体_GB2312"/>
                <w:color w:val="000000"/>
              </w:rPr>
            </w:pPr>
            <w:r>
              <w:rPr>
                <w:rFonts w:hint="eastAsia" w:ascii="宋体" w:hAnsi="宋体" w:cs="楷体_GB2312"/>
                <w:color w:val="000000"/>
              </w:rPr>
              <w:t>12.实测物料输入输出物流</w:t>
            </w:r>
          </w:p>
          <w:p>
            <w:pPr>
              <w:rPr>
                <w:rFonts w:hint="eastAsia" w:ascii="宋体" w:hAnsi="宋体" w:cs="楷体_GB2312"/>
                <w:color w:val="000000"/>
              </w:rPr>
            </w:pPr>
            <w:r>
              <w:rPr>
                <w:rFonts w:hint="eastAsia" w:ascii="宋体" w:hAnsi="宋体" w:cs="楷体_GB2312"/>
                <w:color w:val="000000"/>
              </w:rPr>
              <w:t>13.建立物料平衡</w:t>
            </w:r>
          </w:p>
          <w:p>
            <w:pPr>
              <w:rPr>
                <w:rFonts w:hint="eastAsia" w:ascii="宋体" w:hAnsi="宋体" w:cs="楷体_GB2312"/>
                <w:color w:val="000000"/>
              </w:rPr>
            </w:pPr>
            <w:r>
              <w:rPr>
                <w:rFonts w:hint="eastAsia" w:ascii="宋体" w:hAnsi="宋体" w:cs="楷体_GB2312"/>
                <w:color w:val="000000"/>
              </w:rPr>
              <w:t>14.分析废弃物产生原因</w:t>
            </w:r>
          </w:p>
          <w:p>
            <w:pPr>
              <w:rPr>
                <w:rFonts w:hint="eastAsia" w:ascii="宋体" w:hAnsi="宋体" w:cs="楷体_GB2312"/>
                <w:color w:val="000000"/>
              </w:rPr>
            </w:pPr>
            <w:r>
              <w:rPr>
                <w:rFonts w:hint="eastAsia" w:ascii="宋体" w:hAnsi="宋体" w:cs="楷体_GB2312"/>
                <w:color w:val="000000"/>
              </w:rPr>
              <w:t>15.提出和实施无/低费方案</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实测输入输出物流建立物料平衡，分析废弃物产生原因，准备解决问题的方案</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1.物料平衡</w:t>
            </w:r>
          </w:p>
          <w:p>
            <w:pPr>
              <w:rPr>
                <w:rFonts w:hint="eastAsia" w:ascii="宋体" w:hAnsi="宋体" w:cs="楷体_GB2312"/>
                <w:color w:val="000000"/>
              </w:rPr>
            </w:pPr>
            <w:r>
              <w:rPr>
                <w:rFonts w:hint="eastAsia" w:ascii="宋体" w:hAnsi="宋体" w:cs="楷体_GB2312"/>
                <w:color w:val="000000"/>
              </w:rPr>
              <w:t>2.废弃物产生原因</w:t>
            </w:r>
          </w:p>
          <w:p>
            <w:pPr>
              <w:rPr>
                <w:rFonts w:hint="eastAsia" w:ascii="宋体" w:hAnsi="宋体" w:cs="楷体_GB2312"/>
                <w:color w:val="000000"/>
              </w:rPr>
            </w:pPr>
            <w:r>
              <w:rPr>
                <w:rFonts w:hint="eastAsia" w:ascii="宋体" w:hAnsi="宋体" w:cs="楷体_GB2312"/>
                <w:color w:val="000000"/>
              </w:rPr>
              <w:t>3.审核重点无/低费方案的实施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808"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4</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方案的产生和筛选</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2019.4～2019.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4.15</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16.产生方案</w:t>
            </w:r>
          </w:p>
          <w:p>
            <w:pPr>
              <w:rPr>
                <w:rFonts w:hint="eastAsia" w:ascii="宋体" w:hAnsi="宋体" w:cs="楷体_GB2312"/>
                <w:color w:val="000000"/>
              </w:rPr>
            </w:pPr>
            <w:r>
              <w:rPr>
                <w:rFonts w:hint="eastAsia" w:ascii="宋体" w:hAnsi="宋体" w:cs="楷体_GB2312"/>
                <w:color w:val="000000"/>
              </w:rPr>
              <w:t>17.分类汇总方案</w:t>
            </w:r>
          </w:p>
          <w:p>
            <w:pPr>
              <w:rPr>
                <w:rFonts w:hint="eastAsia" w:ascii="宋体" w:hAnsi="宋体" w:cs="楷体_GB2312"/>
                <w:color w:val="000000"/>
              </w:rPr>
            </w:pPr>
            <w:r>
              <w:rPr>
                <w:rFonts w:hint="eastAsia" w:ascii="宋体" w:hAnsi="宋体" w:cs="楷体_GB2312"/>
                <w:color w:val="000000"/>
              </w:rPr>
              <w:t>18.筛选方案</w:t>
            </w:r>
          </w:p>
          <w:p>
            <w:pPr>
              <w:rPr>
                <w:rFonts w:hint="eastAsia" w:ascii="宋体" w:hAnsi="宋体" w:cs="楷体_GB2312"/>
                <w:color w:val="000000"/>
              </w:rPr>
            </w:pPr>
            <w:r>
              <w:rPr>
                <w:rFonts w:hint="eastAsia" w:ascii="宋体" w:hAnsi="宋体" w:cs="楷体_GB2312"/>
                <w:color w:val="000000"/>
              </w:rPr>
              <w:t>19.研制方案</w:t>
            </w:r>
          </w:p>
          <w:p>
            <w:pPr>
              <w:rPr>
                <w:rFonts w:hint="eastAsia" w:ascii="宋体" w:hAnsi="宋体" w:cs="楷体_GB2312"/>
                <w:color w:val="000000"/>
              </w:rPr>
            </w:pPr>
            <w:r>
              <w:rPr>
                <w:rFonts w:hint="eastAsia" w:ascii="宋体" w:hAnsi="宋体" w:cs="楷体_GB2312"/>
                <w:color w:val="000000"/>
              </w:rPr>
              <w:t>20.继续实施无/低费方案</w:t>
            </w:r>
          </w:p>
          <w:p>
            <w:pPr>
              <w:rPr>
                <w:rFonts w:hint="eastAsia" w:ascii="宋体" w:hAnsi="宋体" w:cs="楷体_GB2312"/>
                <w:color w:val="000000"/>
              </w:rPr>
            </w:pPr>
            <w:r>
              <w:rPr>
                <w:rFonts w:hint="eastAsia" w:ascii="宋体" w:hAnsi="宋体" w:cs="楷体_GB2312"/>
                <w:color w:val="000000"/>
              </w:rPr>
              <w:t>21.核定并汇总无/低费方案实施效果</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制定审核重点的清洁生产方案，筛选确定出两个以上中/高费方案，核定与汇总已实施的无/低费方案的实施效果</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1.各类清洁生产方案的汇总</w:t>
            </w:r>
          </w:p>
          <w:p>
            <w:pPr>
              <w:rPr>
                <w:rFonts w:hint="eastAsia" w:ascii="宋体" w:hAnsi="宋体" w:cs="楷体_GB2312"/>
                <w:color w:val="000000"/>
              </w:rPr>
            </w:pPr>
            <w:r>
              <w:rPr>
                <w:rFonts w:hint="eastAsia" w:ascii="宋体" w:hAnsi="宋体" w:cs="楷体_GB2312"/>
                <w:color w:val="000000"/>
              </w:rPr>
              <w:t>2.推荐的供可行性分析的方案</w:t>
            </w:r>
          </w:p>
          <w:p>
            <w:pPr>
              <w:rPr>
                <w:rFonts w:hint="eastAsia" w:ascii="宋体" w:hAnsi="宋体" w:cs="楷体_GB2312"/>
                <w:color w:val="000000"/>
              </w:rPr>
            </w:pPr>
            <w:r>
              <w:rPr>
                <w:rFonts w:hint="eastAsia" w:ascii="宋体" w:hAnsi="宋体" w:cs="楷体_GB2312"/>
                <w:color w:val="000000"/>
              </w:rPr>
              <w:t>3.无/低费方案实施效果的核定与汇总</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1219"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5</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实施方案的确定</w:t>
            </w:r>
          </w:p>
          <w:p>
            <w:pPr>
              <w:jc w:val="center"/>
              <w:rPr>
                <w:rFonts w:hint="eastAsia" w:ascii="宋体" w:hAnsi="宋体" w:cs="楷体_GB2312"/>
                <w:color w:val="000000"/>
              </w:rPr>
            </w:pPr>
            <w:r>
              <w:rPr>
                <w:rFonts w:hint="eastAsia" w:ascii="宋体" w:hAnsi="宋体" w:cs="楷体_GB2312"/>
                <w:color w:val="000000"/>
              </w:rPr>
              <w:t>（含实施）</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2019.4.16～2019.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10.30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22．进行市场调查</w:t>
            </w:r>
          </w:p>
          <w:p>
            <w:pPr>
              <w:rPr>
                <w:rFonts w:hint="eastAsia" w:ascii="宋体" w:hAnsi="宋体" w:cs="楷体_GB2312"/>
                <w:color w:val="000000"/>
              </w:rPr>
            </w:pPr>
            <w:r>
              <w:rPr>
                <w:rFonts w:hint="eastAsia" w:ascii="宋体" w:hAnsi="宋体" w:cs="楷体_GB2312"/>
                <w:color w:val="000000"/>
              </w:rPr>
              <w:t>23.组织技术评估</w:t>
            </w:r>
          </w:p>
          <w:p>
            <w:pPr>
              <w:rPr>
                <w:rFonts w:hint="eastAsia" w:ascii="宋体" w:hAnsi="宋体" w:cs="楷体_GB2312"/>
                <w:color w:val="000000"/>
              </w:rPr>
            </w:pPr>
            <w:r>
              <w:rPr>
                <w:rFonts w:hint="eastAsia" w:ascii="宋体" w:hAnsi="宋体" w:cs="楷体_GB2312"/>
                <w:color w:val="000000"/>
              </w:rPr>
              <w:t>24.进行环境评估</w:t>
            </w:r>
          </w:p>
          <w:p>
            <w:pPr>
              <w:rPr>
                <w:rFonts w:hint="eastAsia" w:ascii="宋体" w:hAnsi="宋体" w:cs="楷体_GB2312"/>
                <w:color w:val="000000"/>
              </w:rPr>
            </w:pPr>
            <w:r>
              <w:rPr>
                <w:rFonts w:hint="eastAsia" w:ascii="宋体" w:hAnsi="宋体" w:cs="楷体_GB2312"/>
                <w:color w:val="000000"/>
              </w:rPr>
              <w:t>25.进行经济评估</w:t>
            </w:r>
          </w:p>
          <w:p>
            <w:pPr>
              <w:rPr>
                <w:rFonts w:hint="eastAsia" w:ascii="宋体" w:hAnsi="宋体" w:cs="楷体_GB2312"/>
                <w:color w:val="000000"/>
              </w:rPr>
            </w:pPr>
            <w:r>
              <w:rPr>
                <w:rFonts w:hint="eastAsia" w:ascii="宋体" w:hAnsi="宋体" w:cs="楷体_GB2312"/>
                <w:color w:val="000000"/>
              </w:rPr>
              <w:t>26.推荐可实施方案</w:t>
            </w:r>
          </w:p>
          <w:p>
            <w:pPr>
              <w:rPr>
                <w:rFonts w:hint="eastAsia" w:ascii="宋体" w:hAnsi="宋体" w:cs="楷体_GB2312"/>
                <w:color w:val="000000"/>
              </w:rPr>
            </w:pPr>
            <w:r>
              <w:rPr>
                <w:rFonts w:hint="eastAsia" w:ascii="宋体" w:hAnsi="宋体" w:cs="楷体_GB2312"/>
                <w:color w:val="000000"/>
              </w:rPr>
              <w:t>27.组织方案实施</w:t>
            </w:r>
          </w:p>
          <w:p>
            <w:pPr>
              <w:rPr>
                <w:rFonts w:hint="eastAsia" w:ascii="宋体" w:hAnsi="宋体" w:cs="楷体_GB2312"/>
                <w:color w:val="000000"/>
              </w:rPr>
            </w:pPr>
            <w:r>
              <w:rPr>
                <w:rFonts w:hint="eastAsia" w:ascii="宋体" w:hAnsi="宋体" w:cs="楷体_GB2312"/>
                <w:color w:val="000000"/>
              </w:rPr>
              <w:t>28.汇总已实施的无/低费方案的成果</w:t>
            </w:r>
          </w:p>
          <w:p>
            <w:pPr>
              <w:rPr>
                <w:rFonts w:hint="eastAsia" w:ascii="宋体" w:hAnsi="宋体" w:cs="楷体_GB2312"/>
                <w:color w:val="000000"/>
              </w:rPr>
            </w:pPr>
            <w:r>
              <w:rPr>
                <w:rFonts w:hint="eastAsia" w:ascii="宋体" w:hAnsi="宋体" w:cs="楷体_GB2312"/>
                <w:color w:val="000000"/>
              </w:rPr>
              <w:t>29.验证已实施中/高费方案的成果</w:t>
            </w:r>
          </w:p>
          <w:p>
            <w:pPr>
              <w:rPr>
                <w:rFonts w:hint="eastAsia" w:ascii="宋体" w:hAnsi="宋体" w:cs="楷体_GB2312"/>
                <w:color w:val="000000"/>
              </w:rPr>
            </w:pPr>
            <w:r>
              <w:rPr>
                <w:rFonts w:hint="eastAsia" w:ascii="宋体" w:hAnsi="宋体" w:cs="楷体_GB2312"/>
                <w:color w:val="000000"/>
              </w:rPr>
              <w:t>30.分析总结已实施方案对组织的影响</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结合市场调查和收集的资料，进行环境、技术、经济的可行性分析，选择和推荐最佳实施方案统筹规划推荐方案的实施，对方案实施的成效进行统计和汇总。制订方案实施计划</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1.方案的可行性分析结果</w:t>
            </w:r>
          </w:p>
          <w:p>
            <w:pPr>
              <w:rPr>
                <w:rFonts w:hint="eastAsia" w:ascii="宋体" w:hAnsi="宋体" w:cs="楷体_GB2312"/>
                <w:color w:val="000000"/>
              </w:rPr>
            </w:pPr>
            <w:r>
              <w:rPr>
                <w:rFonts w:hint="eastAsia" w:ascii="宋体" w:hAnsi="宋体" w:cs="楷体_GB2312"/>
                <w:color w:val="000000"/>
              </w:rPr>
              <w:t>2.推荐的可实施方案</w:t>
            </w:r>
          </w:p>
          <w:p>
            <w:pPr>
              <w:rPr>
                <w:rFonts w:hint="eastAsia" w:ascii="宋体" w:hAnsi="宋体" w:cs="楷体_GB2312"/>
                <w:color w:val="000000"/>
              </w:rPr>
            </w:pPr>
            <w:r>
              <w:rPr>
                <w:rFonts w:hint="eastAsia" w:ascii="宋体" w:hAnsi="宋体" w:cs="楷体_GB2312"/>
                <w:color w:val="000000"/>
              </w:rPr>
              <w:t>3.推荐方案的实施</w:t>
            </w:r>
          </w:p>
          <w:p>
            <w:pPr>
              <w:rPr>
                <w:rFonts w:hint="eastAsia" w:ascii="宋体" w:hAnsi="宋体" w:cs="楷体_GB2312"/>
                <w:color w:val="000000"/>
              </w:rPr>
            </w:pPr>
            <w:r>
              <w:rPr>
                <w:rFonts w:hint="eastAsia" w:ascii="宋体" w:hAnsi="宋体" w:cs="楷体_GB2312"/>
                <w:color w:val="000000"/>
              </w:rPr>
              <w:t>4.已实施方案的成果分析结论</w:t>
            </w:r>
          </w:p>
          <w:p>
            <w:pPr>
              <w:rPr>
                <w:rFonts w:hint="eastAsia" w:ascii="宋体" w:hAnsi="宋体" w:cs="楷体_GB2312"/>
                <w:color w:val="000000"/>
              </w:rPr>
            </w:pPr>
            <w:r>
              <w:rPr>
                <w:rFonts w:hint="eastAsia" w:ascii="宋体" w:hAnsi="宋体" w:cs="楷体_GB2312"/>
                <w:color w:val="000000"/>
              </w:rPr>
              <w:t>5.组织方案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599"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6</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编写清洁生产审核报告</w:t>
            </w:r>
          </w:p>
        </w:tc>
        <w:tc>
          <w:tcPr>
            <w:tcW w:w="900" w:type="dxa"/>
            <w:noWrap w:val="0"/>
            <w:vAlign w:val="center"/>
          </w:tcPr>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2019.11～2019.</w:t>
            </w:r>
          </w:p>
          <w:p>
            <w:pPr>
              <w:autoSpaceDE w:val="0"/>
              <w:autoSpaceDN w:val="0"/>
              <w:adjustRightInd w:val="0"/>
              <w:rPr>
                <w:rFonts w:hint="eastAsia" w:ascii="宋体" w:hAnsi="宋体" w:cs="楷体_GB2312"/>
                <w:color w:val="000000"/>
                <w:kern w:val="0"/>
              </w:rPr>
            </w:pPr>
            <w:r>
              <w:rPr>
                <w:rFonts w:hint="eastAsia" w:ascii="宋体" w:hAnsi="宋体" w:cs="楷体_GB2312"/>
                <w:color w:val="000000"/>
                <w:kern w:val="0"/>
              </w:rPr>
              <w:t>.11.20</w:t>
            </w:r>
          </w:p>
        </w:tc>
        <w:tc>
          <w:tcPr>
            <w:tcW w:w="2949" w:type="dxa"/>
            <w:noWrap w:val="0"/>
            <w:vAlign w:val="center"/>
          </w:tcPr>
          <w:p>
            <w:pPr>
              <w:rPr>
                <w:rFonts w:hint="eastAsia" w:ascii="宋体" w:hAnsi="宋体" w:cs="楷体_GB2312"/>
                <w:color w:val="000000"/>
              </w:rPr>
            </w:pPr>
            <w:r>
              <w:rPr>
                <w:rFonts w:hint="eastAsia" w:ascii="宋体" w:hAnsi="宋体" w:cs="楷体_GB2312"/>
                <w:color w:val="000000"/>
              </w:rPr>
              <w:t>31.宣传清洁生产取得的成果</w:t>
            </w:r>
          </w:p>
          <w:p>
            <w:pPr>
              <w:rPr>
                <w:rFonts w:hint="eastAsia" w:ascii="宋体" w:hAnsi="宋体" w:cs="楷体_GB2312"/>
                <w:color w:val="000000"/>
              </w:rPr>
            </w:pPr>
            <w:r>
              <w:rPr>
                <w:rFonts w:hint="eastAsia" w:ascii="宋体" w:hAnsi="宋体" w:cs="楷体_GB2312"/>
                <w:color w:val="000000"/>
              </w:rPr>
              <w:t>32.建立和完善清洁生产组织</w:t>
            </w:r>
          </w:p>
          <w:p>
            <w:pPr>
              <w:rPr>
                <w:rFonts w:hint="eastAsia" w:ascii="宋体" w:hAnsi="宋体" w:cs="楷体_GB2312"/>
                <w:color w:val="000000"/>
              </w:rPr>
            </w:pPr>
            <w:r>
              <w:rPr>
                <w:rFonts w:hint="eastAsia" w:ascii="宋体" w:hAnsi="宋体" w:cs="楷体_GB2312"/>
                <w:color w:val="000000"/>
              </w:rPr>
              <w:t>33.建立和完善清洁生产制度</w:t>
            </w:r>
          </w:p>
          <w:p>
            <w:pPr>
              <w:rPr>
                <w:rFonts w:hint="eastAsia" w:ascii="宋体" w:hAnsi="宋体" w:cs="楷体_GB2312"/>
                <w:color w:val="000000"/>
              </w:rPr>
            </w:pPr>
            <w:r>
              <w:rPr>
                <w:rFonts w:hint="eastAsia" w:ascii="宋体" w:hAnsi="宋体" w:cs="楷体_GB2312"/>
                <w:color w:val="000000"/>
              </w:rPr>
              <w:t>34.制定持续清洁生产计划</w:t>
            </w:r>
          </w:p>
          <w:p>
            <w:pPr>
              <w:rPr>
                <w:rFonts w:hint="eastAsia" w:ascii="宋体" w:hAnsi="宋体" w:cs="楷体_GB2312"/>
                <w:color w:val="000000"/>
              </w:rPr>
            </w:pPr>
            <w:r>
              <w:rPr>
                <w:rFonts w:hint="eastAsia" w:ascii="宋体" w:hAnsi="宋体" w:cs="楷体_GB2312"/>
                <w:color w:val="000000"/>
              </w:rPr>
              <w:t>35.编写清洁生产审核报告</w:t>
            </w:r>
          </w:p>
        </w:tc>
        <w:tc>
          <w:tcPr>
            <w:tcW w:w="2039" w:type="dxa"/>
            <w:noWrap w:val="0"/>
            <w:vAlign w:val="center"/>
          </w:tcPr>
          <w:p>
            <w:pPr>
              <w:rPr>
                <w:rFonts w:hint="eastAsia" w:ascii="宋体" w:hAnsi="宋体" w:cs="楷体_GB2312"/>
                <w:color w:val="000000"/>
              </w:rPr>
            </w:pPr>
            <w:r>
              <w:rPr>
                <w:rFonts w:hint="eastAsia" w:ascii="宋体" w:hAnsi="宋体" w:cs="楷体_GB2312"/>
                <w:color w:val="000000"/>
              </w:rPr>
              <w:t>建立推行和管理清洁生产的组织机构，建促进实施清洁生产的管理制度。</w:t>
            </w:r>
          </w:p>
          <w:p>
            <w:pPr>
              <w:rPr>
                <w:rFonts w:hint="eastAsia" w:ascii="宋体" w:hAnsi="宋体" w:cs="楷体_GB2312"/>
                <w:color w:val="000000"/>
              </w:rPr>
            </w:pPr>
            <w:r>
              <w:rPr>
                <w:rFonts w:hint="eastAsia" w:ascii="宋体" w:hAnsi="宋体" w:cs="楷体_GB2312"/>
                <w:color w:val="000000"/>
              </w:rPr>
              <w:t>制定持续清洁生产计划，编制审核报告</w:t>
            </w:r>
          </w:p>
        </w:tc>
        <w:tc>
          <w:tcPr>
            <w:tcW w:w="1826" w:type="dxa"/>
            <w:noWrap w:val="0"/>
            <w:vAlign w:val="center"/>
          </w:tcPr>
          <w:p>
            <w:pPr>
              <w:rPr>
                <w:rFonts w:hint="eastAsia" w:ascii="宋体" w:hAnsi="宋体" w:cs="楷体_GB2312"/>
                <w:color w:val="000000"/>
              </w:rPr>
            </w:pPr>
            <w:r>
              <w:rPr>
                <w:rFonts w:hint="eastAsia" w:ascii="宋体" w:hAnsi="宋体" w:cs="楷体_GB2312"/>
                <w:color w:val="000000"/>
              </w:rPr>
              <w:t>1建立清洁生产组织机构</w:t>
            </w:r>
          </w:p>
          <w:p>
            <w:pPr>
              <w:rPr>
                <w:rFonts w:hint="eastAsia" w:ascii="宋体" w:hAnsi="宋体" w:cs="楷体_GB2312"/>
                <w:color w:val="000000"/>
              </w:rPr>
            </w:pPr>
            <w:r>
              <w:rPr>
                <w:rFonts w:hint="eastAsia" w:ascii="宋体" w:hAnsi="宋体" w:cs="楷体_GB2312"/>
                <w:color w:val="000000"/>
              </w:rPr>
              <w:t>2.完善清洁生产管理制度</w:t>
            </w:r>
          </w:p>
          <w:p>
            <w:pPr>
              <w:rPr>
                <w:rFonts w:hint="eastAsia" w:ascii="宋体" w:hAnsi="宋体" w:cs="楷体_GB2312"/>
                <w:color w:val="000000"/>
              </w:rPr>
            </w:pPr>
            <w:r>
              <w:rPr>
                <w:rFonts w:hint="eastAsia" w:ascii="宋体" w:hAnsi="宋体" w:cs="楷体_GB2312"/>
                <w:color w:val="000000"/>
              </w:rPr>
              <w:t>3.编制清洁生产审核报告</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After w:w="0" w:type="dxa"/>
          <w:trHeight w:val="452" w:hRule="atLeast"/>
          <w:jc w:val="center"/>
        </w:trPr>
        <w:tc>
          <w:tcPr>
            <w:tcW w:w="720" w:type="dxa"/>
            <w:noWrap w:val="0"/>
            <w:vAlign w:val="center"/>
          </w:tcPr>
          <w:p>
            <w:pPr>
              <w:jc w:val="center"/>
              <w:rPr>
                <w:rFonts w:hint="eastAsia" w:ascii="宋体" w:hAnsi="宋体" w:cs="楷体_GB2312"/>
                <w:color w:val="000000"/>
              </w:rPr>
            </w:pPr>
            <w:r>
              <w:rPr>
                <w:rFonts w:hint="eastAsia" w:ascii="宋体" w:hAnsi="宋体" w:cs="楷体_GB2312"/>
                <w:color w:val="000000"/>
              </w:rPr>
              <w:t>7</w:t>
            </w:r>
          </w:p>
        </w:tc>
        <w:tc>
          <w:tcPr>
            <w:tcW w:w="1080" w:type="dxa"/>
            <w:noWrap w:val="0"/>
            <w:vAlign w:val="center"/>
          </w:tcPr>
          <w:p>
            <w:pPr>
              <w:jc w:val="center"/>
              <w:rPr>
                <w:rFonts w:hint="eastAsia" w:ascii="宋体" w:hAnsi="宋体" w:cs="楷体_GB2312"/>
                <w:color w:val="000000"/>
              </w:rPr>
            </w:pPr>
            <w:r>
              <w:rPr>
                <w:rFonts w:hint="eastAsia" w:ascii="宋体" w:hAnsi="宋体" w:cs="楷体_GB2312"/>
                <w:color w:val="000000"/>
              </w:rPr>
              <w:t>申请评估</w:t>
            </w:r>
          </w:p>
        </w:tc>
        <w:tc>
          <w:tcPr>
            <w:tcW w:w="7714" w:type="dxa"/>
            <w:gridSpan w:val="4"/>
            <w:noWrap w:val="0"/>
            <w:vAlign w:val="center"/>
          </w:tcPr>
          <w:p>
            <w:pPr>
              <w:rPr>
                <w:rFonts w:hint="eastAsia" w:ascii="宋体" w:hAnsi="宋体" w:cs="楷体_GB2312"/>
                <w:color w:val="000000"/>
              </w:rPr>
            </w:pPr>
            <w:r>
              <w:rPr>
                <w:rFonts w:hint="eastAsia" w:ascii="宋体" w:hAnsi="宋体" w:cs="楷体_GB2312"/>
                <w:color w:val="000000"/>
              </w:rPr>
              <w:t>2019.12.5完成报告的编制工作，向市环保局递交评估申请</w:t>
            </w:r>
          </w:p>
        </w:tc>
      </w:tr>
    </w:tbl>
    <w:p>
      <w:pPr>
        <w:spacing w:before="120" w:beforeLines="50" w:line="360" w:lineRule="auto"/>
        <w:ind w:firstLine="460" w:firstLineChars="200"/>
        <w:rPr>
          <w:rFonts w:hint="eastAsia" w:ascii="宋体" w:hAnsi="宋体"/>
          <w:color w:val="000000"/>
          <w:spacing w:val="-5"/>
          <w:sz w:val="24"/>
        </w:rPr>
      </w:pPr>
      <w:r>
        <w:rPr>
          <w:rFonts w:hint="eastAsia" w:ascii="宋体" w:hAnsi="宋体"/>
          <w:color w:val="000000"/>
          <w:spacing w:val="-5"/>
          <w:sz w:val="24"/>
        </w:rPr>
        <w:t>通过制定好清洁生产审核的工作计划，按一定的程序和步骤进行，各司其职，部门配合，促进清洁生产审核工作的深入开展。</w:t>
      </w:r>
    </w:p>
    <w:p>
      <w:pPr>
        <w:pStyle w:val="4"/>
        <w:rPr>
          <w:rFonts w:hint="eastAsia"/>
          <w:color w:val="000000"/>
        </w:rPr>
      </w:pPr>
      <w:bookmarkStart w:id="76" w:name="_Toc23000851"/>
      <w:bookmarkStart w:id="77" w:name="_Toc422252452"/>
      <w:bookmarkStart w:id="78" w:name="_Toc470870066"/>
      <w:bookmarkStart w:id="79" w:name="_Toc474018552"/>
      <w:r>
        <w:rPr>
          <w:rFonts w:hint="eastAsia"/>
          <w:color w:val="000000"/>
        </w:rPr>
        <w:t>1.4 宣传、发动和教育</w:t>
      </w:r>
      <w:bookmarkEnd w:id="70"/>
      <w:bookmarkEnd w:id="71"/>
      <w:bookmarkEnd w:id="72"/>
      <w:bookmarkEnd w:id="73"/>
      <w:bookmarkEnd w:id="74"/>
      <w:bookmarkEnd w:id="75"/>
      <w:bookmarkEnd w:id="76"/>
      <w:bookmarkEnd w:id="77"/>
      <w:bookmarkEnd w:id="78"/>
      <w:bookmarkEnd w:id="79"/>
    </w:p>
    <w:p>
      <w:pPr>
        <w:spacing w:line="360" w:lineRule="auto"/>
        <w:ind w:firstLine="480"/>
        <w:rPr>
          <w:rFonts w:ascii="宋体" w:hAnsi="宋体"/>
          <w:color w:val="000000"/>
          <w:sz w:val="24"/>
        </w:rPr>
      </w:pPr>
      <w:bookmarkStart w:id="80" w:name="_Toc291960323"/>
      <w:bookmarkStart w:id="81" w:name="_Toc306002713"/>
      <w:bookmarkStart w:id="82" w:name="_Toc296604571"/>
      <w:bookmarkStart w:id="83" w:name="_Toc367782190"/>
      <w:bookmarkStart w:id="84" w:name="_Toc422252453"/>
      <w:r>
        <w:rPr>
          <w:rFonts w:ascii="宋体" w:hAnsi="宋体"/>
          <w:color w:val="000000"/>
          <w:sz w:val="24"/>
        </w:rPr>
        <w:t>清洁生产审核是一个需要各部门、各生产岗位全体职工都参与的活动，而清洁生产审核对</w:t>
      </w:r>
      <w:r>
        <w:rPr>
          <w:rFonts w:hint="eastAsia" w:ascii="宋体" w:hAnsi="宋体"/>
          <w:color w:val="000000"/>
          <w:sz w:val="24"/>
        </w:rPr>
        <w:t>公司</w:t>
      </w:r>
      <w:r>
        <w:rPr>
          <w:rFonts w:ascii="宋体" w:hAnsi="宋体"/>
          <w:color w:val="000000"/>
          <w:sz w:val="24"/>
        </w:rPr>
        <w:t>来说是一个全新的概念，因此，需要开展宣传教育使职工转变观念，改变思维方式，积极投入到清洁生产审核工作中去。</w:t>
      </w:r>
    </w:p>
    <w:bookmarkEnd w:id="80"/>
    <w:bookmarkEnd w:id="81"/>
    <w:bookmarkEnd w:id="82"/>
    <w:bookmarkEnd w:id="83"/>
    <w:bookmarkEnd w:id="84"/>
    <w:p>
      <w:pPr>
        <w:pStyle w:val="5"/>
        <w:rPr>
          <w:rFonts w:hint="eastAsia"/>
          <w:color w:val="000000"/>
        </w:rPr>
      </w:pPr>
      <w:bookmarkStart w:id="85" w:name="_Toc474018553"/>
      <w:bookmarkStart w:id="86" w:name="_Toc23000852"/>
      <w:bookmarkStart w:id="87" w:name="_Toc470870067"/>
      <w:bookmarkStart w:id="88" w:name="_Toc468857781"/>
      <w:r>
        <w:rPr>
          <w:rFonts w:hint="eastAsia"/>
          <w:color w:val="000000"/>
        </w:rPr>
        <w:t>1.4.1 宣传教育方式及内容</w:t>
      </w:r>
      <w:bookmarkEnd w:id="85"/>
      <w:bookmarkEnd w:id="86"/>
      <w:bookmarkEnd w:id="87"/>
      <w:bookmarkEnd w:id="88"/>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1.4.1.1宣传教育方式</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（1）组织清洁生产审核小组、各部门主管人员进行清洁生产审核培训。</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（2）利用宣传栏进行清洁生产专题宣传。</w:t>
      </w:r>
    </w:p>
    <w:p>
      <w:pPr>
        <w:autoSpaceDE w:val="0"/>
        <w:autoSpaceDN w:val="0"/>
        <w:adjustRightInd w:val="0"/>
        <w:spacing w:line="360" w:lineRule="auto"/>
        <w:ind w:firstLine="460" w:firstLineChars="200"/>
        <w:rPr>
          <w:rFonts w:hint="eastAsia" w:ascii="宋体" w:hAnsi="宋体"/>
          <w:color w:val="000000"/>
          <w:sz w:val="24"/>
        </w:rPr>
      </w:pPr>
      <w:r>
        <w:rPr>
          <w:rFonts w:hint="eastAsia" w:ascii="宋体" w:hAnsi="宋体"/>
          <w:color w:val="000000"/>
          <w:spacing w:val="-5"/>
          <w:sz w:val="24"/>
        </w:rPr>
        <w:t>（3）发放清洁生产审核培训资料、教材。</w:t>
      </w:r>
      <w:r>
        <w:rPr>
          <w:rFonts w:hint="eastAsia" w:ascii="宋体" w:hAnsi="宋体"/>
          <w:color w:val="000000"/>
          <w:sz w:val="24"/>
        </w:rPr>
        <w:t>审核小组向各部门发放清洁生产知识宣传资料（40份）、清洁生产培训教材（30套）。</w:t>
      </w:r>
    </w:p>
    <w:p>
      <w:pPr>
        <w:autoSpaceDE w:val="0"/>
        <w:autoSpaceDN w:val="0"/>
        <w:adjustRightInd w:val="0"/>
        <w:spacing w:line="360" w:lineRule="auto"/>
        <w:ind w:firstLine="480" w:firstLineChars="200"/>
        <w:rPr>
          <w:rFonts w:hint="eastAsia" w:ascii="宋体" w:hAnsi="宋体"/>
          <w:color w:val="000000"/>
          <w:sz w:val="24"/>
        </w:rPr>
      </w:pPr>
      <w:r>
        <w:rPr>
          <w:rFonts w:hint="eastAsia" w:ascii="宋体" w:hAnsi="宋体"/>
          <w:color w:val="000000"/>
          <w:sz w:val="24"/>
        </w:rPr>
        <w:t>（4）进行清洁生产审核考试，考试合格发放清洁生产内审员证，全公司共有23名内审员培训合格，并发了内审员证。</w:t>
      </w:r>
    </w:p>
    <w:p>
      <w:pPr>
        <w:autoSpaceDE w:val="0"/>
        <w:autoSpaceDN w:val="0"/>
        <w:adjustRightInd w:val="0"/>
        <w:spacing w:line="360" w:lineRule="auto"/>
        <w:ind w:firstLine="480" w:firstLineChars="200"/>
        <w:rPr>
          <w:rFonts w:hint="eastAsia" w:ascii="宋体" w:hAnsi="宋体"/>
          <w:color w:val="000000"/>
          <w:sz w:val="24"/>
        </w:rPr>
      </w:pPr>
      <w:r>
        <w:rPr>
          <w:rFonts w:hint="eastAsia" w:ascii="宋体" w:hAnsi="宋体"/>
          <w:color w:val="000000"/>
          <w:sz w:val="24"/>
        </w:rPr>
        <w:t>（5）以讨论会的形式，组织审核小组进行学习、讨论，交流各个阶段审核工作的进行情况，遇到的问题和解决方法。</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1.4.1.2 宣传教育内容</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（1）学习国际、国内清洁生产的来源，国家清洁生产法律法规以及清洁生产审核的要求。</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（2）学习清洁生产、清洁生产审核的概念、定义，清洁生产审核工作的原理、内容、程序与要求。</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3）了解清洁生产的意义,开展清洁生产可以减轻能源、资源消耗，减少污染产生和排放，使人类走向可持续发展的道路。认识清洁生产工作的重要性、紧迫性和必要性。明白了清洁生产从源头控制与污染物末端治理模式的区别。</w:t>
      </w:r>
    </w:p>
    <w:p>
      <w:pPr>
        <w:autoSpaceDE w:val="0"/>
        <w:autoSpaceDN w:val="0"/>
        <w:adjustRightInd w:val="0"/>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（4）结合实际，将清洁生产审核步骤和公司生产管理结合起来，相互对应，使审核小组成员对各自的工作分工有较清晰的认识，便于各司其职，促进工作顺利开展。</w:t>
      </w:r>
    </w:p>
    <w:p>
      <w:pPr>
        <w:pStyle w:val="5"/>
        <w:rPr>
          <w:rFonts w:hint="eastAsia"/>
          <w:color w:val="000000"/>
        </w:rPr>
      </w:pPr>
      <w:bookmarkStart w:id="89" w:name="_Toc23000853"/>
      <w:bookmarkStart w:id="90" w:name="_Toc422252457"/>
      <w:r>
        <w:rPr>
          <w:rFonts w:hint="eastAsia"/>
          <w:color w:val="000000"/>
        </w:rPr>
        <w:t>1.4.2克服障碍</w:t>
      </w:r>
      <w:bookmarkEnd w:id="68"/>
      <w:bookmarkEnd w:id="69"/>
      <w:bookmarkEnd w:id="89"/>
      <w:bookmarkEnd w:id="90"/>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在开展清洁生产审核宣传和培训过程中，公司十分关注员工提出的问题、意见以及思想动态，如果员工一些思想障碍不解决好，将会影响清洁生产和清洁生产审核工作的正常开展。为此采取各种办法解决员工中存在的思想障碍。审核工作中遇到的障碍及解决办法见表1-3。</w:t>
      </w:r>
    </w:p>
    <w:p>
      <w:pPr>
        <w:spacing w:line="320" w:lineRule="exact"/>
        <w:jc w:val="center"/>
        <w:rPr>
          <w:rFonts w:hint="eastAsia" w:ascii="宋体" w:hAnsi="宋体"/>
          <w:color w:val="000000"/>
          <w:sz w:val="24"/>
          <w:szCs w:val="24"/>
        </w:rPr>
      </w:pPr>
      <w:r>
        <w:rPr>
          <w:rFonts w:hint="eastAsia" w:ascii="宋体" w:hAnsi="宋体"/>
          <w:b/>
          <w:color w:val="000000"/>
          <w:sz w:val="24"/>
          <w:szCs w:val="24"/>
        </w:rPr>
        <w:t>表1-3     审核工作中的主要障碍及解决办法</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07"/>
        <w:gridCol w:w="31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tblHeader/>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分类</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szCs w:val="21"/>
              </w:rPr>
            </w:pPr>
            <w:r>
              <w:rPr>
                <w:rFonts w:hint="eastAsia" w:ascii="宋体" w:hAnsi="宋体"/>
                <w:color w:val="000000"/>
                <w:szCs w:val="21"/>
              </w:rPr>
              <w:t>障碍</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szCs w:val="21"/>
              </w:rPr>
            </w:pPr>
            <w:r>
              <w:rPr>
                <w:rFonts w:hint="eastAsia" w:ascii="宋体" w:hAnsi="宋体"/>
                <w:color w:val="000000"/>
                <w:szCs w:val="21"/>
              </w:rPr>
              <w:t>解决办法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977" w:hRule="atLeast"/>
          <w:jc w:val="center"/>
        </w:trPr>
        <w:tc>
          <w:tcPr>
            <w:tcW w:w="15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观念障碍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只有传统的污染行业才有实施清洁生产的必要</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清洁生产是一种预防性的环境战略思想，其原理不仅可以运用于生产加工，还可以运用于产品的设计和服务中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本企业所有的设备都是比较先进的，还有清洁生产潜力吗？</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先进设备并不能说明清洁生产水平。清洁生产水平还得包括了管理水平、污染处理水平、环境管理水平以及产品的生态水平等等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公司生产流程简单，没有实施清洁生产的必要</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即使是一个工段、一个生产工艺，都可以开展清洁生产，只要存在浪费和不合理的地方，就有实施清洁生产的潜力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企业目前生产订单很多，生产任务紧迫，没有时间搞清洁生产</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清洁生产与日常生产是不矛盾的，相反可以通过清洁生产来促进日常生产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113" w:hRule="atLeast"/>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管理障碍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清洁生产与日常管理有差异</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教育员工正确对待清洁生产与管理的关系，使他们明白，清洁生产的成果要靠平时的管理维护。同时，需将清洁生产管理纳入到企业的管理体系中去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098" w:hRule="atLeast"/>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生产技术障碍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先进的设备就有先进的工艺，先进的工艺还不是清洁生产工艺吗？</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任何时候，设备是“死的”，人是活的，工艺是需要不断的改进和提高。因此不能认为有了先进的设备，就不存在工艺进步的问题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823" w:hRule="atLeast"/>
          <w:jc w:val="center"/>
        </w:trPr>
        <w:tc>
          <w:tcPr>
            <w:tcW w:w="1507"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经济障碍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公司的资金比较紧张，没有清洁生产审核的资金。</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清洁生产与企业投入的关系是一个相对的动态的关系，可以从无/低费方案效益中积累资金，也可以争取外部的资助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46" w:hRule="atLeast"/>
          <w:jc w:val="center"/>
        </w:trPr>
        <w:tc>
          <w:tcPr>
            <w:tcW w:w="150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left"/>
              <w:rPr>
                <w:rFonts w:ascii="宋体" w:hAnsi="宋体"/>
                <w:color w:val="000000"/>
                <w:szCs w:val="21"/>
              </w:rPr>
            </w:pP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对物料平衡认识不够，认为需要大量的投入</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物料平衡是根据审核重点工艺情况决定的，并不是所有的物料平衡都需要投入大量的设备和资金，有的企业利用现有技术和设备就可完成实测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trHeight w:val="1220" w:hRule="atLeast"/>
          <w:jc w:val="center"/>
        </w:trPr>
        <w:tc>
          <w:tcPr>
            <w:tcW w:w="1507"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政策法规障碍</w:t>
            </w:r>
          </w:p>
        </w:tc>
        <w:tc>
          <w:tcPr>
            <w:tcW w:w="319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认为政府对清洁生产企业没有实实在在的优惠政策</w:t>
            </w:r>
          </w:p>
        </w:tc>
        <w:tc>
          <w:tcPr>
            <w:tcW w:w="468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清洁生产对企业的生产经营也有很多促进作用，我国也在不断完善环境保护相关的法规和政策，特别是对清洁能源、节能减排有一定的扶持和优惠政策。做为清洁生产利国利民</w:t>
            </w:r>
          </w:p>
        </w:tc>
      </w:tr>
    </w:tbl>
    <w:p>
      <w:pPr>
        <w:pStyle w:val="4"/>
        <w:rPr>
          <w:rFonts w:hint="eastAsia"/>
          <w:color w:val="000000"/>
        </w:rPr>
      </w:pPr>
      <w:bookmarkStart w:id="91" w:name="_Toc461612475"/>
      <w:bookmarkStart w:id="92" w:name="_Toc474018555"/>
      <w:bookmarkStart w:id="93" w:name="_Toc23000854"/>
      <w:r>
        <w:rPr>
          <w:rFonts w:hint="eastAsia"/>
          <w:color w:val="000000"/>
        </w:rPr>
        <w:t>1.5</w:t>
      </w:r>
      <w:bookmarkEnd w:id="91"/>
      <w:r>
        <w:rPr>
          <w:rFonts w:hint="eastAsia"/>
          <w:color w:val="000000"/>
        </w:rPr>
        <w:t xml:space="preserve"> 历年清洁生产审核情况</w:t>
      </w:r>
      <w:bookmarkEnd w:id="92"/>
      <w:bookmarkEnd w:id="93"/>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云南罗平锌电股份有限公司富乐铅锌矿2011年第一次开展强制性清洁生产审核（第五批），审核中提出的47个无/低费方案，共投入资金8.23万元，经济效益为25.90万元/年。实施2个中/高费方案，分别是防止浓密脱水工段处的废水外排、除尘设施安装，方案共投入资金20万元，产生的经济效益为19万元。同时减少生产废水38984.4m</w:t>
      </w:r>
      <w:r>
        <w:rPr>
          <w:rFonts w:hint="eastAsia" w:ascii="宋体" w:hAnsi="宋体"/>
          <w:color w:val="000000"/>
          <w:sz w:val="24"/>
          <w:vertAlign w:val="superscript"/>
        </w:rPr>
        <w:t>3</w:t>
      </w:r>
      <w:r>
        <w:rPr>
          <w:rFonts w:hint="eastAsia" w:ascii="宋体" w:hAnsi="宋体"/>
          <w:color w:val="000000"/>
          <w:sz w:val="24"/>
        </w:rPr>
        <w:t>/年，增加锌精矿产量约714.7吨/年，增加铅精矿产量约2910.8吨/年。</w: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pStyle w:val="3"/>
        <w:spacing w:before="0" w:after="0" w:line="540" w:lineRule="auto"/>
        <w:jc w:val="center"/>
        <w:rPr>
          <w:rFonts w:hint="eastAsia" w:ascii="宋体" w:hAnsi="宋体"/>
          <w:color w:val="000000"/>
          <w:lang w:val="zh-CN"/>
        </w:rPr>
      </w:pPr>
      <w:bookmarkStart w:id="94" w:name="_Toc415316007"/>
      <w:bookmarkStart w:id="95" w:name="_Toc422492750"/>
      <w:bookmarkStart w:id="96" w:name="_Toc23000855"/>
      <w:r>
        <w:rPr>
          <w:rFonts w:hint="eastAsia" w:ascii="宋体" w:hAnsi="宋体"/>
          <w:color w:val="000000"/>
          <w:lang w:val="zh-CN"/>
        </w:rPr>
        <w:t>第2章 预审核</w:t>
      </w:r>
      <w:bookmarkEnd w:id="94"/>
      <w:bookmarkEnd w:id="95"/>
      <w:bookmarkEnd w:id="96"/>
    </w:p>
    <w:p>
      <w:pPr>
        <w:spacing w:line="360" w:lineRule="auto"/>
        <w:ind w:firstLine="646"/>
        <w:rPr>
          <w:rFonts w:hint="eastAsia" w:ascii="宋体" w:hAnsi="宋体"/>
          <w:color w:val="000000"/>
          <w:sz w:val="24"/>
        </w:rPr>
      </w:pPr>
      <w:r>
        <w:rPr>
          <w:rFonts w:hint="eastAsia" w:ascii="宋体" w:hAnsi="宋体"/>
          <w:color w:val="000000"/>
          <w:sz w:val="24"/>
        </w:rPr>
        <w:t>预审核是清洁生产审核的第二阶段，主要是对公司进行全面的调查分析，探询和发现清洁生产的潜力和机会，从而确定公司本阶段的审核重点。本阶段的工作重点是评价公司原材料的输入和产出、能源的消耗、物料的管理、设备的管理以及产污排污情况，并在全面评价的基础上，确定审核的重点，设置清洁生产目标。</w:t>
      </w:r>
    </w:p>
    <w:p>
      <w:pPr>
        <w:pStyle w:val="4"/>
        <w:rPr>
          <w:color w:val="000000"/>
        </w:rPr>
      </w:pPr>
      <w:bookmarkStart w:id="97" w:name="_Toc248988026"/>
      <w:bookmarkStart w:id="98" w:name="_Toc249092752"/>
      <w:bookmarkStart w:id="99" w:name="_Toc292376231"/>
      <w:bookmarkStart w:id="100" w:name="_Toc292378751"/>
      <w:bookmarkStart w:id="101" w:name="_Toc298278089"/>
      <w:bookmarkStart w:id="102" w:name="_Toc306002719"/>
      <w:bookmarkStart w:id="103" w:name="_Toc415316008"/>
      <w:bookmarkStart w:id="104" w:name="_Toc422492751"/>
      <w:bookmarkStart w:id="105" w:name="_Toc23000856"/>
      <w:r>
        <w:rPr>
          <w:color w:val="000000"/>
        </w:rPr>
        <w:t xml:space="preserve">2.1 </w:t>
      </w:r>
      <w:r>
        <w:rPr>
          <w:rFonts w:hint="eastAsia"/>
          <w:color w:val="000000"/>
        </w:rPr>
        <w:t>企业概况</w:t>
      </w:r>
      <w:bookmarkEnd w:id="97"/>
      <w:bookmarkEnd w:id="98"/>
      <w:bookmarkEnd w:id="99"/>
      <w:bookmarkEnd w:id="100"/>
      <w:bookmarkEnd w:id="101"/>
      <w:bookmarkEnd w:id="102"/>
      <w:bookmarkEnd w:id="103"/>
      <w:bookmarkEnd w:id="104"/>
      <w:bookmarkEnd w:id="105"/>
    </w:p>
    <w:p>
      <w:pPr>
        <w:pStyle w:val="5"/>
        <w:rPr>
          <w:rFonts w:hint="eastAsia"/>
          <w:color w:val="000000"/>
        </w:rPr>
      </w:pPr>
      <w:bookmarkStart w:id="106" w:name="_Toc292376232"/>
      <w:bookmarkStart w:id="107" w:name="_Toc292378752"/>
      <w:bookmarkStart w:id="108" w:name="_Toc298278090"/>
      <w:bookmarkStart w:id="109" w:name="_Toc306002720"/>
      <w:bookmarkStart w:id="110" w:name="_Toc415316009"/>
      <w:bookmarkStart w:id="111" w:name="_Toc422492752"/>
      <w:bookmarkStart w:id="112" w:name="_Toc23000857"/>
      <w:r>
        <w:rPr>
          <w:rFonts w:hint="eastAsia"/>
          <w:color w:val="000000"/>
        </w:rPr>
        <w:t>2.1.1企业</w:t>
      </w:r>
      <w:bookmarkEnd w:id="106"/>
      <w:bookmarkEnd w:id="107"/>
      <w:bookmarkEnd w:id="108"/>
      <w:bookmarkEnd w:id="109"/>
      <w:r>
        <w:rPr>
          <w:rFonts w:hint="eastAsia"/>
          <w:color w:val="000000"/>
        </w:rPr>
        <w:t>基本情况</w:t>
      </w:r>
      <w:bookmarkEnd w:id="110"/>
      <w:bookmarkEnd w:id="111"/>
      <w:bookmarkEnd w:id="112"/>
    </w:p>
    <w:p>
      <w:pPr>
        <w:spacing w:line="360" w:lineRule="auto"/>
        <w:ind w:firstLine="646"/>
        <w:rPr>
          <w:rFonts w:hint="eastAsia" w:ascii="宋体" w:hAnsi="宋体"/>
          <w:color w:val="000000"/>
          <w:sz w:val="24"/>
        </w:rPr>
      </w:pPr>
      <w:r>
        <w:rPr>
          <w:rFonts w:hint="eastAsia" w:ascii="宋体" w:hAnsi="宋体"/>
          <w:color w:val="000000"/>
          <w:sz w:val="24"/>
        </w:rPr>
        <w:t>云南罗平锌电股份有限公司富乐铅锌矿基本情况，见表2—1：</w:t>
      </w:r>
    </w:p>
    <w:p>
      <w:pPr>
        <w:spacing w:line="360" w:lineRule="auto"/>
        <w:ind w:firstLine="482" w:firstLineChars="200"/>
        <w:jc w:val="center"/>
        <w:rPr>
          <w:rFonts w:hint="eastAsia" w:ascii="宋体" w:hAnsi="宋体"/>
          <w:b/>
          <w:color w:val="000000"/>
          <w:sz w:val="24"/>
          <w:szCs w:val="24"/>
        </w:rPr>
      </w:pPr>
      <w:r>
        <w:rPr>
          <w:rFonts w:hint="eastAsia" w:ascii="宋体" w:hAnsi="宋体"/>
          <w:b/>
          <w:color w:val="000000"/>
          <w:sz w:val="24"/>
          <w:szCs w:val="24"/>
        </w:rPr>
        <w:t>表2—1   公司基本情况表</w:t>
      </w:r>
    </w:p>
    <w:tbl>
      <w:tblPr>
        <w:tblStyle w:val="35"/>
        <w:tblW w:w="0" w:type="auto"/>
        <w:tblInd w:w="8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062" w:hRule="atLeast"/>
        </w:trPr>
        <w:tc>
          <w:tcPr>
            <w:tcW w:w="7560" w:type="dxa"/>
            <w:noWrap w:val="0"/>
            <w:vAlign w:val="top"/>
          </w:tcPr>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企业名称：  </w:t>
            </w:r>
            <w:r>
              <w:rPr>
                <w:rFonts w:hint="eastAsia"/>
                <w:color w:val="000000"/>
                <w:spacing w:val="8"/>
                <w:sz w:val="24"/>
                <w:szCs w:val="24"/>
                <w:u w:val="single"/>
              </w:rPr>
              <w:t>云南罗平锌电股份有限公司富乐铅锌矿</w:t>
            </w:r>
          </w:p>
          <w:p>
            <w:pPr>
              <w:spacing w:line="440" w:lineRule="exact"/>
              <w:ind w:firstLine="480" w:firstLineChars="200"/>
              <w:rPr>
                <w:color w:val="000000"/>
                <w:sz w:val="24"/>
                <w:szCs w:val="24"/>
                <w:u w:val="single"/>
              </w:rPr>
            </w:pPr>
            <w:r>
              <w:rPr>
                <w:rFonts w:hint="eastAsia"/>
                <w:color w:val="000000"/>
                <w:sz w:val="24"/>
                <w:szCs w:val="24"/>
                <w:u w:val="single"/>
              </w:rPr>
              <w:t xml:space="preserve">所属行业：  铅锌开采、选矿  </w:t>
            </w:r>
          </w:p>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企业类型：股份制  </w:t>
            </w:r>
          </w:p>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法人代表：李尤立     </w:t>
            </w:r>
          </w:p>
          <w:p>
            <w:pPr>
              <w:spacing w:line="440" w:lineRule="exact"/>
              <w:ind w:firstLine="480" w:firstLineChars="200"/>
              <w:rPr>
                <w:rFonts w:hint="eastAsia" w:ascii="宋体" w:hAnsi="宋体" w:cs="仿宋"/>
                <w:color w:val="000000"/>
                <w:sz w:val="24"/>
              </w:rPr>
            </w:pPr>
            <w:r>
              <w:rPr>
                <w:rFonts w:hint="eastAsia"/>
                <w:color w:val="000000"/>
                <w:sz w:val="24"/>
                <w:szCs w:val="24"/>
                <w:u w:val="single"/>
              </w:rPr>
              <w:t>统一代码：915300007089268547</w:t>
            </w:r>
          </w:p>
          <w:p>
            <w:pPr>
              <w:spacing w:line="440" w:lineRule="exact"/>
              <w:ind w:firstLine="480" w:firstLineChars="200"/>
              <w:rPr>
                <w:rFonts w:hint="eastAsia"/>
                <w:color w:val="000000"/>
                <w:sz w:val="24"/>
                <w:szCs w:val="24"/>
                <w:u w:val="single"/>
              </w:rPr>
            </w:pPr>
            <w:r>
              <w:rPr>
                <w:rFonts w:hint="eastAsia"/>
                <w:color w:val="000000"/>
                <w:sz w:val="24"/>
                <w:szCs w:val="24"/>
                <w:u w:val="single"/>
              </w:rPr>
              <w:t>建厂日期：</w:t>
            </w:r>
            <w:r>
              <w:rPr>
                <w:rFonts w:hint="eastAsia" w:ascii="宋体" w:hAnsi="宋体"/>
                <w:color w:val="000000"/>
                <w:sz w:val="24"/>
                <w:szCs w:val="24"/>
                <w:u w:val="single"/>
              </w:rPr>
              <w:t>1993年3月</w:t>
            </w:r>
            <w:r>
              <w:rPr>
                <w:rFonts w:hint="eastAsia"/>
                <w:color w:val="000000"/>
                <w:sz w:val="24"/>
                <w:szCs w:val="24"/>
                <w:u w:val="single"/>
              </w:rPr>
              <w:t xml:space="preserve"> </w:t>
            </w:r>
          </w:p>
          <w:p>
            <w:pPr>
              <w:spacing w:line="440" w:lineRule="exact"/>
              <w:ind w:firstLine="480" w:firstLineChars="200"/>
              <w:rPr>
                <w:rFonts w:hint="eastAsia"/>
                <w:color w:val="000000"/>
                <w:sz w:val="24"/>
                <w:szCs w:val="24"/>
                <w:u w:val="single"/>
              </w:rPr>
            </w:pPr>
            <w:r>
              <w:rPr>
                <w:rFonts w:hint="eastAsia"/>
                <w:color w:val="000000"/>
                <w:sz w:val="24"/>
                <w:szCs w:val="24"/>
                <w:u w:val="single"/>
              </w:rPr>
              <w:t>投产日期：</w:t>
            </w:r>
            <w:r>
              <w:rPr>
                <w:rFonts w:hint="eastAsia" w:ascii="宋体" w:hAnsi="宋体"/>
                <w:color w:val="000000"/>
                <w:sz w:val="24"/>
                <w:szCs w:val="24"/>
                <w:u w:val="single"/>
              </w:rPr>
              <w:t>1994年5月30日</w:t>
            </w:r>
          </w:p>
          <w:p>
            <w:pPr>
              <w:spacing w:line="440" w:lineRule="exact"/>
              <w:ind w:firstLine="480" w:firstLineChars="200"/>
              <w:rPr>
                <w:rFonts w:hint="eastAsia"/>
                <w:color w:val="000000"/>
                <w:sz w:val="24"/>
                <w:szCs w:val="24"/>
                <w:u w:val="single"/>
              </w:rPr>
            </w:pPr>
            <w:r>
              <w:rPr>
                <w:rFonts w:hint="eastAsia"/>
                <w:color w:val="000000"/>
                <w:sz w:val="24"/>
                <w:szCs w:val="24"/>
                <w:u w:val="single"/>
              </w:rPr>
              <w:t>地址：</w:t>
            </w:r>
            <w:r>
              <w:rPr>
                <w:rFonts w:hint="eastAsia" w:ascii="宋体" w:hAnsi="宋体"/>
                <w:color w:val="000000"/>
                <w:sz w:val="24"/>
                <w:szCs w:val="24"/>
                <w:u w:val="single"/>
              </w:rPr>
              <w:t>云南省曲靖市罗平县罗雄镇万达路136号</w:t>
            </w:r>
            <w:r>
              <w:rPr>
                <w:rFonts w:hint="eastAsia"/>
                <w:color w:val="000000"/>
                <w:sz w:val="24"/>
                <w:szCs w:val="24"/>
                <w:u w:val="single"/>
              </w:rPr>
              <w:t xml:space="preserve">   </w:t>
            </w:r>
          </w:p>
          <w:p>
            <w:pPr>
              <w:spacing w:line="440" w:lineRule="exact"/>
              <w:ind w:firstLine="480" w:firstLineChars="200"/>
              <w:rPr>
                <w:rFonts w:hint="eastAsia"/>
                <w:color w:val="000000"/>
                <w:sz w:val="24"/>
                <w:szCs w:val="24"/>
                <w:u w:val="single"/>
              </w:rPr>
            </w:pPr>
            <w:r>
              <w:rPr>
                <w:rFonts w:hint="eastAsia"/>
                <w:color w:val="000000"/>
                <w:sz w:val="24"/>
                <w:szCs w:val="24"/>
                <w:u w:val="single"/>
              </w:rPr>
              <w:t>邮政编码:</w:t>
            </w:r>
            <w:r>
              <w:rPr>
                <w:rFonts w:eastAsia="Times New Roman"/>
                <w:color w:val="000000"/>
                <w:sz w:val="24"/>
                <w:szCs w:val="24"/>
                <w:u w:val="single"/>
              </w:rPr>
              <w:t xml:space="preserve"> </w:t>
            </w:r>
            <w:r>
              <w:rPr>
                <w:rFonts w:hint="eastAsia"/>
                <w:color w:val="000000"/>
                <w:sz w:val="24"/>
                <w:szCs w:val="24"/>
                <w:u w:val="single"/>
              </w:rPr>
              <w:t xml:space="preserve">655800  </w:t>
            </w:r>
          </w:p>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联系人：周伟  </w:t>
            </w:r>
          </w:p>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电话：0874-8731279         </w:t>
            </w:r>
          </w:p>
          <w:p>
            <w:pPr>
              <w:spacing w:line="440" w:lineRule="exact"/>
              <w:ind w:firstLine="480" w:firstLineChars="200"/>
              <w:rPr>
                <w:rFonts w:hint="eastAsia"/>
                <w:color w:val="000000"/>
                <w:sz w:val="24"/>
                <w:szCs w:val="24"/>
                <w:u w:val="single"/>
              </w:rPr>
            </w:pPr>
            <w:r>
              <w:rPr>
                <w:rFonts w:hint="eastAsia"/>
                <w:color w:val="000000"/>
                <w:sz w:val="24"/>
                <w:szCs w:val="24"/>
                <w:u w:val="single"/>
              </w:rPr>
              <w:t>手机</w:t>
            </w:r>
            <w:r>
              <w:rPr>
                <w:rFonts w:hint="eastAsia"/>
                <w:color w:val="000000"/>
                <w:sz w:val="24"/>
                <w:szCs w:val="24"/>
              </w:rPr>
              <w:t>：</w:t>
            </w:r>
            <w:r>
              <w:rPr>
                <w:rFonts w:hint="eastAsia" w:ascii="宋体" w:hAnsi="宋体" w:cs="宋体"/>
                <w:color w:val="000000"/>
                <w:sz w:val="24"/>
                <w:szCs w:val="24"/>
                <w:u w:val="single"/>
              </w:rPr>
              <w:t>13608742347</w:t>
            </w:r>
            <w:r>
              <w:rPr>
                <w:rFonts w:hint="eastAsia"/>
                <w:color w:val="000000"/>
                <w:sz w:val="24"/>
                <w:szCs w:val="24"/>
                <w:u w:val="single"/>
              </w:rPr>
              <w:t xml:space="preserve">  </w:t>
            </w:r>
          </w:p>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上年末员工人总数：245人   </w:t>
            </w:r>
          </w:p>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专业技术人员（中高职）：20人   </w:t>
            </w:r>
          </w:p>
          <w:p>
            <w:pPr>
              <w:spacing w:line="440" w:lineRule="exact"/>
              <w:ind w:firstLine="480" w:firstLineChars="200"/>
              <w:rPr>
                <w:rFonts w:hint="eastAsia"/>
                <w:color w:val="000000"/>
                <w:sz w:val="24"/>
                <w:szCs w:val="24"/>
                <w:u w:val="single"/>
              </w:rPr>
            </w:pPr>
            <w:r>
              <w:rPr>
                <w:rFonts w:hint="eastAsia"/>
                <w:color w:val="000000"/>
                <w:sz w:val="24"/>
                <w:szCs w:val="24"/>
                <w:u w:val="single"/>
              </w:rPr>
              <w:t>企业2018年总产值：</w:t>
            </w:r>
            <w:r>
              <w:rPr>
                <w:rFonts w:hint="eastAsia" w:ascii="宋体" w:hAnsi="宋体"/>
                <w:color w:val="000000"/>
                <w:sz w:val="24"/>
                <w:szCs w:val="24"/>
                <w:u w:val="single"/>
              </w:rPr>
              <w:t>161875</w:t>
            </w:r>
            <w:r>
              <w:rPr>
                <w:rFonts w:hint="eastAsia"/>
                <w:color w:val="000000"/>
                <w:sz w:val="24"/>
                <w:szCs w:val="24"/>
                <w:u w:val="single"/>
              </w:rPr>
              <w:t xml:space="preserve">万元   </w:t>
            </w:r>
          </w:p>
          <w:p>
            <w:pPr>
              <w:spacing w:line="440" w:lineRule="exact"/>
              <w:ind w:firstLine="480" w:firstLineChars="200"/>
              <w:rPr>
                <w:rFonts w:hint="eastAsia"/>
                <w:color w:val="000000"/>
                <w:sz w:val="24"/>
                <w:szCs w:val="24"/>
                <w:u w:val="single"/>
              </w:rPr>
            </w:pPr>
            <w:r>
              <w:rPr>
                <w:rFonts w:hint="eastAsia"/>
                <w:color w:val="000000"/>
                <w:sz w:val="24"/>
                <w:szCs w:val="24"/>
                <w:u w:val="single"/>
              </w:rPr>
              <w:t xml:space="preserve">企业主要产品：锌精矿、铅精矿  </w:t>
            </w:r>
          </w:p>
          <w:p>
            <w:pPr>
              <w:spacing w:line="440" w:lineRule="exact"/>
              <w:ind w:firstLine="480" w:firstLineChars="200"/>
              <w:rPr>
                <w:rFonts w:hint="eastAsia"/>
                <w:color w:val="000000"/>
                <w:u w:val="single"/>
              </w:rPr>
            </w:pPr>
            <w:r>
              <w:rPr>
                <w:rFonts w:hint="eastAsia"/>
                <w:color w:val="000000"/>
                <w:sz w:val="24"/>
                <w:szCs w:val="24"/>
                <w:u w:val="single"/>
              </w:rPr>
              <w:t xml:space="preserve">生产规模：洗选原矿120000 t/a   </w:t>
            </w:r>
          </w:p>
        </w:tc>
      </w:tr>
    </w:tbl>
    <w:p>
      <w:pPr>
        <w:spacing w:line="440" w:lineRule="exact"/>
        <w:ind w:firstLine="646"/>
        <w:rPr>
          <w:rFonts w:hint="eastAsia" w:ascii="宋体" w:hAnsi="宋体"/>
          <w:color w:val="000000"/>
          <w:sz w:val="24"/>
        </w:rPr>
      </w:pPr>
      <w:bookmarkStart w:id="113" w:name="_Toc415316011"/>
      <w:bookmarkStart w:id="114" w:name="_Toc422252461"/>
    </w:p>
    <w:p>
      <w:pPr>
        <w:spacing w:line="360" w:lineRule="auto"/>
        <w:ind w:firstLine="480" w:firstLineChars="200"/>
        <w:rPr>
          <w:rFonts w:hint="eastAsia" w:ascii="宋体" w:hAnsi="宋体"/>
          <w:color w:val="000000"/>
          <w:sz w:val="24"/>
        </w:rPr>
      </w:pPr>
      <w:r>
        <w:rPr>
          <w:rFonts w:hint="eastAsia" w:ascii="宋体" w:hAnsi="宋体"/>
          <w:color w:val="000000"/>
          <w:sz w:val="24"/>
        </w:rPr>
        <w:t>云南罗平锌电股份有限公司</w:t>
      </w:r>
      <w:bookmarkStart w:id="115" w:name="_Hlt303862501"/>
      <w:bookmarkEnd w:id="115"/>
      <w:bookmarkStart w:id="116" w:name="_Hlt303862504"/>
      <w:bookmarkEnd w:id="116"/>
      <w:r>
        <w:rPr>
          <w:rFonts w:hint="eastAsia" w:ascii="宋体" w:hAnsi="宋体"/>
          <w:color w:val="000000"/>
          <w:sz w:val="24"/>
        </w:rPr>
        <w:t>成立于2000年12月21日，是国内首家集水力发电、矿山探采选、铅锌选矿及深加工为一体的股份制企业。已成为云南省政府实施 “电矿结合”发展战略的典范企业和罗平地方经济发展的支柱产业。2007年2月15日，公司股票在深圳证券交易所正式挂牌上市交易，成为中国证券市场上的A股上市公司。</w:t>
      </w:r>
    </w:p>
    <w:p>
      <w:pPr>
        <w:spacing w:line="360" w:lineRule="auto"/>
        <w:ind w:firstLine="480" w:firstLineChars="200"/>
        <w:rPr>
          <w:rFonts w:hint="eastAsia" w:ascii="宋体" w:hAnsi="宋体"/>
          <w:color w:val="000000"/>
          <w:sz w:val="24"/>
        </w:rPr>
      </w:pPr>
      <w:r>
        <w:rPr>
          <w:rFonts w:hint="eastAsia" w:ascii="宋体" w:hAnsi="宋体"/>
          <w:color w:val="000000"/>
          <w:sz w:val="24"/>
        </w:rPr>
        <w:t>云南罗平锌电股份有限公司富乐铅锌矿为云南罗平锌电股份有限公司的下属生产单位，始建于1984年，新建时为乡镇企业，1995年由罗平锌电公司整合收编。初建设时依托当地铅锌矿资源，建设铅锌采矿厂和日处理100t规模的硫化铅锌矿选矿系统，采用浮选工艺进行选矿生产。1992年进行了一次扩建，在原日处理100t规模的选矿厂（老系统）南面增建一条生产线，仍采用浮选工艺，洗选硫化铅锌矿，扩建规模为日处理200t硫化铅锌矿。2005年增加了重选工序，有6台摇床设备，即在浮选工段后采用摇床重选技术对尾矿进行重选，增加金属收得率，减少金属损失和对环境的影响。</w:t>
      </w:r>
    </w:p>
    <w:p>
      <w:pPr>
        <w:spacing w:line="360" w:lineRule="auto"/>
        <w:ind w:firstLine="480" w:firstLineChars="200"/>
        <w:rPr>
          <w:rFonts w:hint="eastAsia" w:ascii="宋体" w:hAnsi="宋体"/>
          <w:color w:val="000000"/>
          <w:sz w:val="24"/>
        </w:rPr>
      </w:pPr>
      <w:r>
        <w:rPr>
          <w:rFonts w:hint="eastAsia" w:ascii="宋体" w:hAnsi="宋体"/>
          <w:color w:val="000000"/>
          <w:sz w:val="24"/>
        </w:rPr>
        <w:t>云南罗平锌电股份有限公司富乐铅锌矿为云南罗平锌电股份有限公司下属分厂，位于罗平县城最北端的富乐镇，距罗平县城90公里，与富源县仅一河之隔，地处河谷区域，地理坐标：东经104°33′，北纬28°17′，海拔1400米，地处高山峡谷之中，属北亚热带高原性气候，四季温和，矿区面积3.751平方公里，年生产规模10.00万吨。所从事的生产工作为矿山井下开拓、采掘、提升、运输等，地理位置位于罗平县富乐镇天水村委会老君台村。主要设施有矿山运输提升设施、通风设施、压风设施、炸药库、油库等；主要设备有压风机、提升绞车、矩扇、耙矿绞车、电机车等；主要装置有提升绞车制动装置、信号通讯装置、储气罐等。</w:t>
      </w:r>
    </w:p>
    <w:p>
      <w:pPr>
        <w:spacing w:line="360" w:lineRule="auto"/>
        <w:ind w:firstLine="480" w:firstLineChars="200"/>
        <w:rPr>
          <w:rFonts w:hint="eastAsia" w:ascii="宋体" w:hAnsi="宋体"/>
          <w:color w:val="000000"/>
          <w:sz w:val="24"/>
        </w:rPr>
      </w:pPr>
      <w:r>
        <w:rPr>
          <w:rFonts w:hint="eastAsia" w:ascii="宋体" w:hAnsi="宋体"/>
          <w:color w:val="000000"/>
          <w:sz w:val="24"/>
        </w:rPr>
        <w:t>云南省罗平县富乐铅锌矿，地处罗平县富乐镇境内。由云南省国土资源厅发证登记，采矿证号为C5300002010123240111524，有效期：2016年5月30日～2022年10月30日，采矿权范围由8个拐点圈定，矿区面积3.571km</w:t>
      </w:r>
      <w:r>
        <w:rPr>
          <w:rFonts w:hint="eastAsia" w:ascii="宋体" w:hAnsi="宋体"/>
          <w:color w:val="000000"/>
          <w:sz w:val="24"/>
          <w:vertAlign w:val="superscript"/>
        </w:rPr>
        <w:t>2</w:t>
      </w:r>
      <w:r>
        <w:rPr>
          <w:rFonts w:hint="eastAsia" w:ascii="宋体" w:hAnsi="宋体"/>
          <w:color w:val="000000"/>
          <w:sz w:val="24"/>
        </w:rPr>
        <w:t>，开采深度1881m～1490m。采矿权人：云南罗平锌电股份有限公司。矿山名称：云南罗平锌电股份有限公司富乐铅锌矿。开采方式：地下开采。生产规模：10万t/a。</w:t>
      </w:r>
    </w:p>
    <w:p>
      <w:pPr>
        <w:spacing w:line="360" w:lineRule="auto"/>
        <w:ind w:firstLine="480" w:firstLineChars="200"/>
        <w:rPr>
          <w:rFonts w:hint="eastAsia" w:ascii="宋体" w:hAnsi="宋体"/>
          <w:color w:val="000000"/>
          <w:sz w:val="24"/>
        </w:rPr>
      </w:pPr>
      <w:r>
        <w:rPr>
          <w:rFonts w:hint="eastAsia" w:ascii="宋体" w:hAnsi="宋体"/>
          <w:color w:val="000000"/>
          <w:sz w:val="24"/>
        </w:rPr>
        <w:t>富乐铅锌矿相关环保手续由云南罗平锌电股份有限公司统一办理。</w:t>
      </w:r>
    </w:p>
    <w:p>
      <w:pPr>
        <w:pStyle w:val="5"/>
        <w:rPr>
          <w:rFonts w:hint="eastAsia"/>
          <w:color w:val="000000"/>
        </w:rPr>
      </w:pPr>
      <w:bookmarkStart w:id="117" w:name="_Toc23000858"/>
      <w:r>
        <w:rPr>
          <w:rFonts w:hint="eastAsia"/>
          <w:color w:val="000000"/>
        </w:rPr>
        <w:t>2.1.2厂区地理位置</w:t>
      </w:r>
      <w:bookmarkEnd w:id="113"/>
      <w:bookmarkEnd w:id="114"/>
      <w:bookmarkEnd w:id="117"/>
    </w:p>
    <w:p>
      <w:pPr>
        <w:spacing w:line="360" w:lineRule="auto"/>
        <w:ind w:firstLine="480" w:firstLineChars="200"/>
        <w:rPr>
          <w:rFonts w:hint="eastAsia" w:ascii="宋体" w:hAnsi="宋体"/>
          <w:color w:val="000000"/>
          <w:sz w:val="24"/>
        </w:rPr>
      </w:pPr>
      <w:bookmarkStart w:id="118" w:name="_Toc431211207"/>
      <w:bookmarkStart w:id="119" w:name="_Toc422252463"/>
      <w:bookmarkStart w:id="120" w:name="_Toc23000859"/>
      <w:r>
        <w:rPr>
          <w:rFonts w:hint="eastAsia" w:ascii="宋体" w:hAnsi="宋体"/>
          <w:color w:val="000000"/>
          <w:sz w:val="24"/>
        </w:rPr>
        <w:t>罗平县位于云南省东部，滇、桂、黔三省(区)结合部，素有“鸡鸣三省”之称。 地处东经103°57′～104°43′，北纬24°31′～25°25′之间。东沿黄泥河为界与贵州兴义市接壤；东南以南盘江、清水江为界，与广西壮族自治区西林县隔河相望；西南与师宗相邻；西至北界，分别与陆良、麒麟、富源三县(区)毗邻。西距省城昆明220公里，北距曲靖市131公里，东至贵州省兴义市86公里，南距广西壮族自治区西林县城156公里。</w:t>
      </w:r>
    </w:p>
    <w:p>
      <w:pPr>
        <w:spacing w:line="360" w:lineRule="auto"/>
        <w:ind w:firstLine="480" w:firstLineChars="200"/>
        <w:rPr>
          <w:rFonts w:hint="eastAsia" w:ascii="宋体" w:hAnsi="宋体"/>
          <w:color w:val="000000"/>
          <w:sz w:val="24"/>
        </w:rPr>
      </w:pPr>
      <w:r>
        <w:rPr>
          <w:rFonts w:hint="eastAsia" w:ascii="宋体" w:hAnsi="宋体"/>
          <w:color w:val="000000"/>
          <w:sz w:val="24"/>
        </w:rPr>
        <w:t>云南罗平锌电股份有限公司富乐铅锌矿位于罗平县辖区内的北部山区，为罗平县富乐镇所辖，厂址距离罗平县城93公里，距离曲靖市113公里，道路交通良好公司地理位置详见附图1。</w:t>
      </w:r>
    </w:p>
    <w:bookmarkEnd w:id="118"/>
    <w:p>
      <w:pPr>
        <w:pStyle w:val="5"/>
        <w:rPr>
          <w:rFonts w:hint="eastAsia"/>
          <w:color w:val="000000"/>
        </w:rPr>
      </w:pPr>
      <w:r>
        <w:rPr>
          <w:rFonts w:hint="eastAsia"/>
          <w:color w:val="000000"/>
        </w:rPr>
        <w:t>2.1.3企业厂区平面布置</w:t>
      </w:r>
      <w:bookmarkEnd w:id="119"/>
      <w:bookmarkEnd w:id="120"/>
    </w:p>
    <w:p>
      <w:pPr>
        <w:snapToGrid w:val="0"/>
        <w:spacing w:line="360" w:lineRule="auto"/>
        <w:ind w:firstLine="480" w:firstLineChars="200"/>
        <w:rPr>
          <w:rFonts w:hint="eastAsia" w:ascii="宋体" w:hAnsi="宋体" w:cs="仿宋"/>
          <w:color w:val="000000"/>
          <w:kern w:val="0"/>
          <w:sz w:val="24"/>
          <w:szCs w:val="24"/>
        </w:rPr>
      </w:pPr>
      <w:r>
        <w:rPr>
          <w:rFonts w:hint="eastAsia" w:ascii="宋体" w:hAnsi="宋体" w:cs="仿宋"/>
          <w:color w:val="000000"/>
          <w:kern w:val="0"/>
          <w:sz w:val="24"/>
          <w:szCs w:val="24"/>
        </w:rPr>
        <w:t>富乐铅锌矿位于罗平县富乐镇老君台村委会，占地70亩（46667m</w:t>
      </w:r>
      <w:r>
        <w:rPr>
          <w:rFonts w:hint="eastAsia" w:ascii="宋体" w:hAnsi="宋体" w:cs="仿宋"/>
          <w:color w:val="000000"/>
          <w:kern w:val="0"/>
          <w:sz w:val="24"/>
          <w:szCs w:val="24"/>
          <w:vertAlign w:val="superscript"/>
        </w:rPr>
        <w:t>2</w:t>
      </w:r>
      <w:r>
        <w:rPr>
          <w:rFonts w:hint="eastAsia" w:ascii="宋体" w:hAnsi="宋体" w:cs="仿宋"/>
          <w:color w:val="000000"/>
          <w:kern w:val="0"/>
          <w:sz w:val="24"/>
          <w:szCs w:val="24"/>
        </w:rPr>
        <w:t>），占地区域为块泽河峡谷西侧的半山坡上，厂区位置西高东低，东临块泽河。厂址西面和西北面为山坡地形。老君台村位于厂址西北方向约500m，中间有山坡山丘相隔。西面沿山坡上行约2km为富乐镇。</w:t>
      </w:r>
      <w:r>
        <w:rPr>
          <w:rFonts w:hint="eastAsia" w:ascii="宋体" w:hAnsi="宋体"/>
          <w:color w:val="000000"/>
          <w:sz w:val="24"/>
        </w:rPr>
        <w:t>厂区平面布置见附图2。</w:t>
      </w:r>
    </w:p>
    <w:p>
      <w:pPr>
        <w:pStyle w:val="5"/>
        <w:rPr>
          <w:rFonts w:hint="eastAsia"/>
          <w:color w:val="000000"/>
        </w:rPr>
      </w:pPr>
      <w:bookmarkStart w:id="121" w:name="_Toc422252464"/>
      <w:bookmarkStart w:id="122" w:name="_Toc23000860"/>
      <w:bookmarkStart w:id="123" w:name="_Toc415316012"/>
      <w:bookmarkStart w:id="124" w:name="_Toc422252465"/>
      <w:r>
        <w:rPr>
          <w:rFonts w:hint="eastAsia"/>
          <w:color w:val="000000"/>
        </w:rPr>
        <w:t>2.1.4企业组织结构</w:t>
      </w:r>
      <w:bookmarkEnd w:id="121"/>
      <w:bookmarkEnd w:id="122"/>
    </w:p>
    <w:p>
      <w:pPr>
        <w:snapToGrid w:val="0"/>
        <w:spacing w:line="360" w:lineRule="auto"/>
        <w:ind w:firstLine="480" w:firstLineChars="200"/>
        <w:rPr>
          <w:rFonts w:hint="eastAsia" w:ascii="宋体" w:hAnsi="宋体" w:cs="仿宋"/>
          <w:color w:val="000000"/>
          <w:kern w:val="0"/>
          <w:sz w:val="24"/>
          <w:szCs w:val="24"/>
        </w:rPr>
      </w:pPr>
      <w:r>
        <w:rPr>
          <w:rFonts w:hint="eastAsia" w:ascii="宋体" w:hAnsi="宋体" w:cs="仿宋"/>
          <w:color w:val="000000"/>
          <w:kern w:val="0"/>
          <w:sz w:val="24"/>
          <w:szCs w:val="24"/>
        </w:rPr>
        <w:t>富乐铅锌矿为云南罗平锌电股份有限公司下属生产单位，由公司统一领导。铅锌矿下设矿长、副矿厂，设22个二层管理机构。</w:t>
      </w:r>
    </w:p>
    <w:p>
      <w:pPr>
        <w:snapToGrid w:val="0"/>
        <w:spacing w:line="360" w:lineRule="auto"/>
        <w:ind w:firstLine="480" w:firstLineChars="200"/>
        <w:rPr>
          <w:rFonts w:hint="eastAsia" w:ascii="宋体" w:hAnsi="宋体" w:cs="仿宋"/>
          <w:color w:val="000000"/>
          <w:kern w:val="0"/>
          <w:sz w:val="24"/>
          <w:szCs w:val="24"/>
        </w:rPr>
      </w:pPr>
      <w:r>
        <w:rPr>
          <w:rFonts w:hint="eastAsia" w:ascii="宋体" w:hAnsi="宋体" w:cs="仿宋"/>
          <w:color w:val="000000"/>
          <w:kern w:val="0"/>
          <w:sz w:val="24"/>
          <w:szCs w:val="24"/>
        </w:rPr>
        <w:t>选矿厂现有在职员工122人，厂级领导2人(大专以上学历)，中层管理人员20人，大多是大、中专以上人员。选矿厂在职员工年龄40-50岁的占85%。破碎设备作业率为41.1%，相当于年工作300天，每天工作3班，每班工作5小时。磨矿、浸出、浮选+重选、脱水、水处理工序设备作业率为82.2%，相当于年工作330天，每天工作3班，每班工作8小时。</w:t>
      </w:r>
    </w:p>
    <w:p>
      <w:pPr>
        <w:snapToGrid w:val="0"/>
        <w:spacing w:line="360" w:lineRule="auto"/>
        <w:ind w:firstLine="480" w:firstLineChars="200"/>
        <w:rPr>
          <w:rFonts w:hint="eastAsia" w:ascii="宋体" w:hAnsi="宋体" w:cs="仿宋"/>
          <w:color w:val="000000"/>
          <w:kern w:val="0"/>
          <w:sz w:val="24"/>
          <w:szCs w:val="24"/>
        </w:rPr>
      </w:pPr>
      <w:r>
        <w:rPr>
          <w:rFonts w:hint="eastAsia" w:ascii="宋体" w:hAnsi="宋体" w:cs="仿宋"/>
          <w:color w:val="000000"/>
          <w:kern w:val="0"/>
          <w:sz w:val="24"/>
          <w:szCs w:val="24"/>
        </w:rPr>
        <w:t>采矿厂生产制度四班三运转，每班8h，每天24h生产。每年生产300d，7200h。在职员工245人，均为当地人员。详见下表2-2。</w:t>
      </w:r>
    </w:p>
    <w:p>
      <w:pPr>
        <w:spacing w:line="360" w:lineRule="auto"/>
        <w:ind w:firstLine="556"/>
        <w:jc w:val="center"/>
        <w:rPr>
          <w:rFonts w:hint="eastAsia" w:ascii="宋体" w:hAnsi="宋体"/>
          <w:b/>
          <w:color w:val="000000"/>
          <w:sz w:val="24"/>
        </w:rPr>
      </w:pPr>
      <w:r>
        <w:rPr>
          <w:rFonts w:hint="eastAsia" w:ascii="宋体" w:hAnsi="宋体"/>
          <w:b/>
          <w:color w:val="000000"/>
          <w:sz w:val="24"/>
        </w:rPr>
        <w:t>表2-2  公司员工文化结构组成情况表</w:t>
      </w:r>
    </w:p>
    <w:tbl>
      <w:tblPr>
        <w:tblStyle w:val="35"/>
        <w:tblW w:w="0" w:type="auto"/>
        <w:tblInd w:w="36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63"/>
        <w:gridCol w:w="1024"/>
        <w:gridCol w:w="1025"/>
        <w:gridCol w:w="1024"/>
        <w:gridCol w:w="1025"/>
        <w:gridCol w:w="830"/>
        <w:gridCol w:w="831"/>
        <w:gridCol w:w="830"/>
        <w:gridCol w:w="11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44" w:hRule="atLeast"/>
        </w:trPr>
        <w:tc>
          <w:tcPr>
            <w:tcW w:w="1063" w:type="dxa"/>
            <w:vMerge w:val="restart"/>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总人数</w:t>
            </w:r>
          </w:p>
        </w:tc>
        <w:tc>
          <w:tcPr>
            <w:tcW w:w="2049"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中高级职称</w:t>
            </w:r>
          </w:p>
        </w:tc>
        <w:tc>
          <w:tcPr>
            <w:tcW w:w="2049"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大专及以上</w:t>
            </w:r>
          </w:p>
        </w:tc>
        <w:tc>
          <w:tcPr>
            <w:tcW w:w="1661"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技术人员</w:t>
            </w:r>
          </w:p>
        </w:tc>
        <w:tc>
          <w:tcPr>
            <w:tcW w:w="2016" w:type="dxa"/>
            <w:gridSpan w:val="2"/>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其它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85" w:hRule="atLeast"/>
        </w:trPr>
        <w:tc>
          <w:tcPr>
            <w:tcW w:w="106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auto"/>
              <w:rPr>
                <w:color w:val="000000"/>
                <w:szCs w:val="21"/>
              </w:rPr>
            </w:pP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人数</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比例%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91" w:hRule="atLeast"/>
        </w:trPr>
        <w:tc>
          <w:tcPr>
            <w:tcW w:w="1063"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color w:val="000000"/>
                <w:szCs w:val="21"/>
              </w:rPr>
            </w:pPr>
            <w:r>
              <w:rPr>
                <w:rFonts w:hint="eastAsia"/>
                <w:color w:val="000000"/>
                <w:szCs w:val="21"/>
              </w:rPr>
              <w:t>245</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2</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1.6</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15</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12</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25</w:t>
            </w:r>
          </w:p>
        </w:tc>
        <w:tc>
          <w:tcPr>
            <w:tcW w:w="831"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20</w:t>
            </w:r>
          </w:p>
        </w:tc>
        <w:tc>
          <w:tcPr>
            <w:tcW w:w="830"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98</w:t>
            </w:r>
          </w:p>
        </w:tc>
        <w:tc>
          <w:tcPr>
            <w:tcW w:w="1186" w:type="dxa"/>
            <w:tcBorders>
              <w:top w:val="single" w:color="auto" w:sz="4" w:space="0"/>
              <w:left w:val="single" w:color="auto" w:sz="4" w:space="0"/>
              <w:bottom w:val="single" w:color="auto" w:sz="4" w:space="0"/>
              <w:right w:val="single" w:color="auto" w:sz="4" w:space="0"/>
            </w:tcBorders>
            <w:noWrap w:val="0"/>
            <w:vAlign w:val="center"/>
          </w:tcPr>
          <w:p>
            <w:pPr>
              <w:spacing w:line="360" w:lineRule="auto"/>
              <w:jc w:val="center"/>
              <w:rPr>
                <w:rFonts w:hint="eastAsia"/>
                <w:color w:val="000000"/>
                <w:szCs w:val="21"/>
              </w:rPr>
            </w:pPr>
            <w:r>
              <w:rPr>
                <w:rFonts w:hint="eastAsia"/>
                <w:color w:val="000000"/>
                <w:szCs w:val="21"/>
              </w:rPr>
              <w:t>80</w:t>
            </w:r>
          </w:p>
        </w:tc>
      </w:tr>
    </w:tbl>
    <w:p>
      <w:pPr>
        <w:spacing w:before="240" w:beforeLines="100" w:line="360" w:lineRule="auto"/>
        <w:ind w:firstLine="480" w:firstLineChars="200"/>
        <w:rPr>
          <w:rFonts w:hint="eastAsia" w:ascii="宋体" w:hAnsi="宋体"/>
          <w:color w:val="000000"/>
          <w:sz w:val="24"/>
          <w:szCs w:val="24"/>
        </w:rPr>
      </w:pPr>
      <w:r>
        <w:rPr>
          <w:rFonts w:ascii="宋体" w:hAnsi="宋体"/>
          <w:color w:val="000000"/>
          <w:sz w:val="24"/>
          <w:szCs w:val="24"/>
        </w:rPr>
        <w:t>公司组织结构见图2-</w:t>
      </w:r>
      <w:r>
        <w:rPr>
          <w:rFonts w:hint="eastAsia" w:ascii="宋体" w:hAnsi="宋体"/>
          <w:color w:val="000000"/>
          <w:sz w:val="24"/>
          <w:szCs w:val="24"/>
        </w:rPr>
        <w:t>1。</w:t>
      </w:r>
    </w:p>
    <w:p>
      <w:pPr>
        <w:spacing w:before="240" w:beforeLines="100" w:line="360" w:lineRule="auto"/>
        <w:ind w:firstLine="480" w:firstLineChars="200"/>
        <w:rPr>
          <w:rFonts w:hint="eastAsia" w:ascii="宋体" w:hAnsi="宋体"/>
          <w:color w:val="000000"/>
          <w:sz w:val="24"/>
          <w:szCs w:val="24"/>
        </w:rPr>
      </w:pPr>
    </w:p>
    <w:p>
      <w:pPr>
        <w:spacing w:before="240" w:beforeLines="100" w:line="360" w:lineRule="auto"/>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rPr>
      </w:pPr>
      <w:r>
        <w:rPr>
          <w:rFonts w:hint="eastAsia" w:ascii="宋体" w:hAnsi="宋体"/>
          <w:color w:val="000000"/>
          <w:sz w:val="24"/>
          <w:lang/>
        </w:rPr>
        <mc:AlternateContent>
          <mc:Choice Requires="wps">
            <w:drawing>
              <wp:anchor distT="0" distB="0" distL="114300" distR="114300" simplePos="0" relativeHeight="251661312" behindDoc="0" locked="0" layoutInCell="1" allowOverlap="1">
                <wp:simplePos x="0" y="0"/>
                <wp:positionH relativeFrom="column">
                  <wp:posOffset>800100</wp:posOffset>
                </wp:positionH>
                <wp:positionV relativeFrom="paragraph">
                  <wp:posOffset>99060</wp:posOffset>
                </wp:positionV>
                <wp:extent cx="4213860" cy="3863340"/>
                <wp:effectExtent l="4445" t="4445" r="10795" b="18415"/>
                <wp:wrapNone/>
                <wp:docPr id="3" name="矩形 6538"/>
                <wp:cNvGraphicFramePr/>
                <a:graphic xmlns:a="http://schemas.openxmlformats.org/drawingml/2006/main">
                  <a:graphicData uri="http://schemas.microsoft.com/office/word/2010/wordprocessingShape">
                    <wps:wsp>
                      <wps:cNvSpPr/>
                      <wps:spPr>
                        <a:xfrm>
                          <a:off x="0" y="0"/>
                          <a:ext cx="4213860" cy="386334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4021455" cy="3711575"/>
                                  <wp:effectExtent l="0" t="0" r="17145" b="3175"/>
                                  <wp:docPr id="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
                                          <pic:cNvPicPr>
                                            <a:picLocks noChangeAspect="1"/>
                                          </pic:cNvPicPr>
                                        </pic:nvPicPr>
                                        <pic:blipFill>
                                          <a:blip r:embed="rId13"/>
                                          <a:stretch>
                                            <a:fillRect/>
                                          </a:stretch>
                                        </pic:blipFill>
                                        <pic:spPr>
                                          <a:xfrm>
                                            <a:off x="0" y="0"/>
                                            <a:ext cx="4021455" cy="3711575"/>
                                          </a:xfrm>
                                          <a:prstGeom prst="rect">
                                            <a:avLst/>
                                          </a:prstGeom>
                                          <a:noFill/>
                                          <a:ln>
                                            <a:noFill/>
                                          </a:ln>
                                        </pic:spPr>
                                      </pic:pic>
                                    </a:graphicData>
                                  </a:graphic>
                                </wp:inline>
                              </w:drawing>
                            </w:r>
                          </w:p>
                        </w:txbxContent>
                      </wps:txbx>
                      <wps:bodyPr wrap="none" upright="1"/>
                    </wps:wsp>
                  </a:graphicData>
                </a:graphic>
              </wp:anchor>
            </w:drawing>
          </mc:Choice>
          <mc:Fallback>
            <w:pict>
              <v:rect id="矩形 6538" o:spid="_x0000_s1026" o:spt="1" style="position:absolute;left:0pt;margin-left:63pt;margin-top:7.8pt;height:304.2pt;width:331.8pt;mso-wrap-style:none;z-index:251661312;mso-width-relative:page;mso-height-relative:page;" fillcolor="#FFFFFF" filled="t" stroked="t" coordsize="21600,21600" o:gfxdata="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BJXDQQ2QAAAAoBAAAPAAAAAAAAAAEAIAAA&#10;ACIAAABkcnMvZG93bnJldi54bWxQSwECFAAUAAAACACHTuJAK8G3zwsCAAA5BAAADgAAAAAAAAAB&#10;ACAAAAAoAQAAZHJzL2Uyb0RvYy54bWxQSwUGAAAAAAYABgBZAQAApQUAAAAA&#10;">
                <v:fill on="t" focussize="0,0"/>
                <v:stroke color="#000000" joinstyle="miter"/>
                <v:imagedata o:title=""/>
                <o:lock v:ext="edit" aspectratio="f"/>
                <v:textbox>
                  <w:txbxContent>
                    <w:p>
                      <w:r>
                        <w:drawing>
                          <wp:inline distT="0" distB="0" distL="114300" distR="114300">
                            <wp:extent cx="4021455" cy="3711575"/>
                            <wp:effectExtent l="0" t="0" r="17145" b="3175"/>
                            <wp:docPr id="1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
                                    <pic:cNvPicPr>
                                      <a:picLocks noChangeAspect="1"/>
                                    </pic:cNvPicPr>
                                  </pic:nvPicPr>
                                  <pic:blipFill>
                                    <a:blip r:embed="rId13"/>
                                    <a:stretch>
                                      <a:fillRect/>
                                    </a:stretch>
                                  </pic:blipFill>
                                  <pic:spPr>
                                    <a:xfrm>
                                      <a:off x="0" y="0"/>
                                      <a:ext cx="4021455" cy="3711575"/>
                                    </a:xfrm>
                                    <a:prstGeom prst="rect">
                                      <a:avLst/>
                                    </a:prstGeom>
                                    <a:noFill/>
                                    <a:ln>
                                      <a:noFill/>
                                    </a:ln>
                                  </pic:spPr>
                                </pic:pic>
                              </a:graphicData>
                            </a:graphic>
                          </wp:inline>
                        </w:drawing>
                      </w:r>
                    </w:p>
                  </w:txbxContent>
                </v:textbox>
              </v:rect>
            </w:pict>
          </mc:Fallback>
        </mc:AlternateContent>
      </w:r>
      <w:r>
        <w:rPr>
          <w:rFonts w:hint="eastAsia" w:ascii="宋体" w:hAnsi="宋体"/>
          <w:color w:val="000000"/>
          <w:sz w:val="24"/>
        </w:rPr>
        <w:t xml:space="preserve"> </w:t>
      </w: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highlight w:val="cyan"/>
        </w:rPr>
      </w:pPr>
    </w:p>
    <w:p>
      <w:pPr>
        <w:spacing w:line="240" w:lineRule="exact"/>
        <w:ind w:firstLine="480" w:firstLineChars="200"/>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jc w:val="left"/>
        <w:rPr>
          <w:rFonts w:hint="eastAsia" w:ascii="宋体" w:hAnsi="宋体"/>
          <w:color w:val="000000"/>
          <w:sz w:val="24"/>
          <w:highlight w:val="cyan"/>
        </w:rPr>
      </w:pPr>
    </w:p>
    <w:p>
      <w:pPr>
        <w:spacing w:line="240" w:lineRule="exact"/>
        <w:jc w:val="left"/>
        <w:rPr>
          <w:rFonts w:hint="eastAsia" w:ascii="宋体" w:hAnsi="宋体"/>
          <w:color w:val="000000"/>
          <w:sz w:val="24"/>
          <w:highlight w:val="cyan"/>
        </w:rPr>
      </w:pPr>
    </w:p>
    <w:p>
      <w:pPr>
        <w:spacing w:line="240" w:lineRule="exact"/>
        <w:jc w:val="left"/>
        <w:rPr>
          <w:rFonts w:hint="eastAsia" w:ascii="宋体" w:hAnsi="宋体"/>
          <w:color w:val="000000"/>
          <w:sz w:val="24"/>
          <w:highlight w:val="cyan"/>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spacing w:line="240" w:lineRule="exact"/>
        <w:jc w:val="left"/>
        <w:rPr>
          <w:rFonts w:hint="eastAsia" w:ascii="宋体" w:hAnsi="宋体"/>
          <w:color w:val="000000"/>
          <w:sz w:val="24"/>
        </w:rPr>
      </w:pPr>
    </w:p>
    <w:p>
      <w:pPr>
        <w:widowControl/>
        <w:jc w:val="center"/>
        <w:rPr>
          <w:rFonts w:hint="eastAsia" w:ascii="宋体" w:hAnsi="宋体" w:cs="宋体"/>
          <w:b/>
          <w:color w:val="000000"/>
          <w:kern w:val="0"/>
          <w:sz w:val="24"/>
          <w:szCs w:val="24"/>
        </w:rPr>
      </w:pPr>
      <w:r>
        <w:rPr>
          <w:rFonts w:ascii="宋体" w:hAnsi="宋体"/>
          <w:b/>
          <w:color w:val="000000"/>
          <w:kern w:val="0"/>
          <w:sz w:val="24"/>
          <w:szCs w:val="24"/>
        </w:rPr>
        <w:t>图2-</w:t>
      </w:r>
      <w:r>
        <w:rPr>
          <w:rFonts w:hint="eastAsia" w:ascii="宋体" w:hAnsi="宋体"/>
          <w:b/>
          <w:color w:val="000000"/>
          <w:kern w:val="0"/>
          <w:sz w:val="24"/>
          <w:szCs w:val="24"/>
        </w:rPr>
        <w:t>1</w:t>
      </w:r>
      <w:r>
        <w:rPr>
          <w:rFonts w:ascii="宋体" w:hAnsi="宋体"/>
          <w:b/>
          <w:color w:val="000000"/>
          <w:kern w:val="0"/>
          <w:sz w:val="24"/>
          <w:szCs w:val="24"/>
        </w:rPr>
        <w:t xml:space="preserve">  </w:t>
      </w:r>
      <w:r>
        <w:rPr>
          <w:rFonts w:hint="eastAsia" w:ascii="宋体" w:hAnsi="宋体"/>
          <w:b/>
          <w:color w:val="000000"/>
          <w:kern w:val="0"/>
          <w:sz w:val="24"/>
          <w:szCs w:val="24"/>
        </w:rPr>
        <w:t>富乐铅锌矿</w:t>
      </w:r>
      <w:r>
        <w:rPr>
          <w:rFonts w:ascii="宋体" w:hAnsi="宋体" w:cs="宋体"/>
          <w:b/>
          <w:color w:val="000000"/>
          <w:kern w:val="0"/>
          <w:sz w:val="24"/>
          <w:szCs w:val="24"/>
        </w:rPr>
        <w:t>组织结构图</w:t>
      </w:r>
    </w:p>
    <w:p>
      <w:pPr>
        <w:widowControl/>
        <w:jc w:val="center"/>
        <w:rPr>
          <w:rFonts w:hint="eastAsia" w:ascii="宋体" w:hAnsi="宋体" w:cs="宋体"/>
          <w:b/>
          <w:color w:val="000000"/>
          <w:kern w:val="0"/>
          <w:sz w:val="24"/>
          <w:szCs w:val="24"/>
        </w:rPr>
      </w:pPr>
    </w:p>
    <w:bookmarkEnd w:id="123"/>
    <w:bookmarkEnd w:id="124"/>
    <w:p>
      <w:pPr>
        <w:pStyle w:val="4"/>
        <w:rPr>
          <w:color w:val="000000"/>
        </w:rPr>
      </w:pPr>
      <w:bookmarkStart w:id="125" w:name="_Toc468913646"/>
      <w:bookmarkStart w:id="126" w:name="_Toc470870076"/>
      <w:bookmarkStart w:id="127" w:name="_Toc474018562"/>
      <w:bookmarkStart w:id="128" w:name="_Toc23000861"/>
      <w:bookmarkStart w:id="129" w:name="_Toc415316014"/>
      <w:bookmarkStart w:id="130" w:name="_Toc422252468"/>
      <w:r>
        <w:rPr>
          <w:rFonts w:hint="eastAsia"/>
          <w:color w:val="000000"/>
        </w:rPr>
        <w:t xml:space="preserve">2.2 </w:t>
      </w:r>
      <w:bookmarkEnd w:id="125"/>
      <w:r>
        <w:rPr>
          <w:rFonts w:hint="eastAsia"/>
          <w:color w:val="000000"/>
        </w:rPr>
        <w:t>现状考察</w:t>
      </w:r>
      <w:bookmarkEnd w:id="126"/>
      <w:bookmarkEnd w:id="127"/>
      <w:bookmarkEnd w:id="128"/>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在审核期间，由矿领导、环保科、审核小组和咨询公司审核人员在正常生产的情况下多次对生产系统及配套生产设施进行了实地现场考察。通过查阅生产记录，检查岗位操作规程执行情况、生产运行台账和计量器具配备情况，分析核对有关参数和信息，与管理人员、技术人员、操作工人座谈等方法，重点考察了企业周边环境情况，污染物产生与排放量多、污染重、处理处置难的部位，能耗、水耗、物耗大的部位，原辅材料和产品储存输送等情况。并召开了审核小组工作会议，分析能耗高、物耗高、效率低、污染重的原因。</w:t>
      </w:r>
    </w:p>
    <w:p>
      <w:pPr>
        <w:pStyle w:val="5"/>
        <w:rPr>
          <w:rFonts w:hint="eastAsia"/>
          <w:color w:val="000000"/>
        </w:rPr>
      </w:pPr>
      <w:bookmarkStart w:id="131" w:name="_Toc470870077"/>
      <w:bookmarkStart w:id="132" w:name="_Toc474018563"/>
      <w:bookmarkStart w:id="133" w:name="_Toc23000862"/>
      <w:r>
        <w:rPr>
          <w:rFonts w:hint="eastAsia"/>
          <w:color w:val="000000"/>
        </w:rPr>
        <w:t>2.2.1生产工艺概况</w:t>
      </w:r>
      <w:bookmarkEnd w:id="131"/>
      <w:bookmarkEnd w:id="132"/>
      <w:bookmarkEnd w:id="133"/>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富乐铅锌矿生产产品主要是锌精矿和铅精矿。铅锌矿为为采矿和选厂。采矿和选矿基本同在一个区域内，选厂在采矿口的上方约一公里处，矿石进选厂运输靠汽车运输。</w:t>
      </w:r>
    </w:p>
    <w:p>
      <w:pPr>
        <w:spacing w:line="360" w:lineRule="auto"/>
        <w:ind w:firstLine="482" w:firstLineChars="200"/>
        <w:rPr>
          <w:rFonts w:hint="eastAsia" w:ascii="宋体" w:hAnsi="宋体"/>
          <w:b/>
          <w:color w:val="000000"/>
          <w:kern w:val="0"/>
          <w:sz w:val="24"/>
          <w:szCs w:val="24"/>
        </w:rPr>
      </w:pPr>
      <w:r>
        <w:rPr>
          <w:rFonts w:hint="eastAsia" w:ascii="宋体" w:hAnsi="宋体"/>
          <w:b/>
          <w:color w:val="000000"/>
          <w:kern w:val="0"/>
          <w:sz w:val="24"/>
          <w:szCs w:val="24"/>
        </w:rPr>
        <w:t>2.2.1.1矿山生产工艺</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（1）矿山开采范围</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采矿证号为C5300002010123240111524，有效期：2016年5月30日～2022年10月30日，采矿权范围由8个拐点圈定，矿区面积3.571km</w:t>
      </w:r>
      <w:r>
        <w:rPr>
          <w:rFonts w:hint="eastAsia" w:ascii="宋体" w:hAnsi="宋体"/>
          <w:color w:val="000000"/>
          <w:kern w:val="0"/>
          <w:sz w:val="24"/>
          <w:szCs w:val="24"/>
          <w:vertAlign w:val="superscript"/>
        </w:rPr>
        <w:t>2</w:t>
      </w:r>
      <w:r>
        <w:rPr>
          <w:rFonts w:hint="eastAsia" w:ascii="宋体" w:hAnsi="宋体"/>
          <w:color w:val="000000"/>
          <w:kern w:val="0"/>
          <w:sz w:val="24"/>
          <w:szCs w:val="24"/>
        </w:rPr>
        <w:t>，开采深度1881m～1490m。开采方式：地下开采。生产规模：10万t/a。拐点坐标详见表2-3。</w:t>
      </w:r>
    </w:p>
    <w:p>
      <w:pPr>
        <w:spacing w:line="360" w:lineRule="auto"/>
        <w:ind w:firstLine="482" w:firstLineChars="200"/>
        <w:jc w:val="center"/>
        <w:rPr>
          <w:rFonts w:hint="eastAsia"/>
          <w:b/>
          <w:color w:val="000000"/>
          <w:sz w:val="24"/>
          <w:szCs w:val="24"/>
        </w:rPr>
      </w:pPr>
      <w:r>
        <w:rPr>
          <w:rFonts w:hint="eastAsia"/>
          <w:b/>
          <w:color w:val="000000"/>
          <w:sz w:val="24"/>
          <w:szCs w:val="24"/>
        </w:rPr>
        <w:t>表2-3 矿区范围拐点坐标</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7"/>
        <w:gridCol w:w="1804"/>
        <w:gridCol w:w="2011"/>
        <w:gridCol w:w="1804"/>
        <w:gridCol w:w="2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9" w:hRule="atLeast"/>
          <w:tblHeader/>
        </w:trPr>
        <w:tc>
          <w:tcPr>
            <w:tcW w:w="1847" w:type="dxa"/>
            <w:vMerge w:val="restart"/>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拐点号</w:t>
            </w:r>
          </w:p>
        </w:tc>
        <w:tc>
          <w:tcPr>
            <w:tcW w:w="3815" w:type="dxa"/>
            <w:gridSpan w:val="2"/>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1954年北京坐标系</w:t>
            </w:r>
          </w:p>
        </w:tc>
        <w:tc>
          <w:tcPr>
            <w:tcW w:w="3813" w:type="dxa"/>
            <w:gridSpan w:val="2"/>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1980年西安坐标系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blHeader/>
        </w:trPr>
        <w:tc>
          <w:tcPr>
            <w:tcW w:w="1847" w:type="dxa"/>
            <w:vMerge w:val="continue"/>
            <w:noWrap w:val="0"/>
            <w:vAlign w:val="center"/>
          </w:tcPr>
          <w:p>
            <w:pPr>
              <w:widowControl/>
              <w:spacing w:line="360" w:lineRule="exact"/>
              <w:jc w:val="left"/>
              <w:rPr>
                <w:rFonts w:hint="eastAsia" w:ascii="宋体" w:hAnsi="宋体" w:cs="仿宋"/>
                <w:color w:val="000000"/>
                <w:kern w:val="0"/>
                <w:szCs w:val="21"/>
              </w:rPr>
            </w:pPr>
          </w:p>
        </w:tc>
        <w:tc>
          <w:tcPr>
            <w:tcW w:w="3815" w:type="dxa"/>
            <w:gridSpan w:val="2"/>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（3°带直角坐标）</w:t>
            </w:r>
          </w:p>
        </w:tc>
        <w:tc>
          <w:tcPr>
            <w:tcW w:w="3813" w:type="dxa"/>
            <w:gridSpan w:val="2"/>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（直角坐标）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blHeader/>
        </w:trPr>
        <w:tc>
          <w:tcPr>
            <w:tcW w:w="1847" w:type="dxa"/>
            <w:vMerge w:val="continue"/>
            <w:noWrap w:val="0"/>
            <w:vAlign w:val="center"/>
          </w:tcPr>
          <w:p>
            <w:pPr>
              <w:widowControl/>
              <w:spacing w:line="360" w:lineRule="exact"/>
              <w:jc w:val="left"/>
              <w:rPr>
                <w:rFonts w:hint="eastAsia" w:ascii="宋体" w:hAnsi="宋体" w:cs="仿宋"/>
                <w:color w:val="000000"/>
                <w:kern w:val="0"/>
                <w:szCs w:val="21"/>
              </w:rPr>
            </w:pP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X</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Y</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X</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矿1</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2808301</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35438461</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2808243</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35438381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矿2</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2807480</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35439320</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2807422</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35439240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矿3</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2806485</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35439375</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2806427</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矿4</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2806000</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35439515</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2805942</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35439435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矿5</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2804972</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35439277</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2804914</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35439197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矿6</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2805217</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35438560</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2805159</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35438480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矿7</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2806422</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35437728</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2806364</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35437648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847"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矿8</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2806887</w:t>
            </w:r>
          </w:p>
        </w:tc>
        <w:tc>
          <w:tcPr>
            <w:tcW w:w="2011"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35437974</w:t>
            </w:r>
          </w:p>
        </w:tc>
        <w:tc>
          <w:tcPr>
            <w:tcW w:w="1804"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2806829</w:t>
            </w:r>
          </w:p>
        </w:tc>
        <w:tc>
          <w:tcPr>
            <w:tcW w:w="2009" w:type="dxa"/>
            <w:noWrap w:val="0"/>
            <w:vAlign w:val="center"/>
          </w:tcPr>
          <w:p>
            <w:pPr>
              <w:widowControl/>
              <w:spacing w:line="360" w:lineRule="exact"/>
              <w:jc w:val="center"/>
              <w:rPr>
                <w:rFonts w:hint="eastAsia" w:ascii="宋体" w:hAnsi="宋体" w:cs="仿宋"/>
                <w:color w:val="000000"/>
                <w:kern w:val="0"/>
                <w:szCs w:val="21"/>
              </w:rPr>
            </w:pPr>
            <w:r>
              <w:rPr>
                <w:rFonts w:hint="eastAsia" w:ascii="宋体" w:hAnsi="宋体" w:cs="仿宋"/>
                <w:color w:val="000000"/>
                <w:kern w:val="0"/>
                <w:szCs w:val="21"/>
              </w:rPr>
              <w:t>35437894</w:t>
            </w:r>
          </w:p>
        </w:tc>
      </w:tr>
    </w:tbl>
    <w:p>
      <w:pPr>
        <w:pStyle w:val="21"/>
        <w:spacing w:before="240" w:beforeLines="100" w:line="360" w:lineRule="auto"/>
        <w:ind w:firstLine="528" w:firstLineChars="200"/>
        <w:jc w:val="both"/>
        <w:rPr>
          <w:rFonts w:hint="eastAsia" w:ascii="宋体" w:hAnsi="宋体" w:cs="仿宋"/>
          <w:color w:val="000000"/>
          <w:spacing w:val="12"/>
          <w:sz w:val="24"/>
          <w:szCs w:val="24"/>
        </w:rPr>
      </w:pPr>
      <w:r>
        <w:rPr>
          <w:rFonts w:hint="eastAsia" w:ascii="宋体" w:hAnsi="宋体" w:cs="仿宋"/>
          <w:color w:val="000000"/>
          <w:spacing w:val="12"/>
          <w:sz w:val="24"/>
          <w:szCs w:val="24"/>
        </w:rPr>
        <w:t>（2）矿山开采工艺</w:t>
      </w:r>
    </w:p>
    <w:p>
      <w:pPr>
        <w:spacing w:line="360" w:lineRule="auto"/>
        <w:ind w:firstLine="480" w:firstLineChars="200"/>
        <w:rPr>
          <w:color w:val="000000"/>
          <w:sz w:val="24"/>
          <w:szCs w:val="24"/>
        </w:rPr>
      </w:pPr>
      <w:r>
        <w:rPr>
          <w:rFonts w:hint="eastAsia"/>
          <w:color w:val="000000"/>
          <w:sz w:val="24"/>
          <w:szCs w:val="24"/>
        </w:rPr>
        <w:t>矿山主要包括开采区和生活办公区两个部分组成；生活办公区自北向南主要包括办公楼、停车场以及宿舍楼，宿舍楼住宿人员包括矿山和选厂部分工人及管理人员；</w:t>
      </w:r>
    </w:p>
    <w:p>
      <w:pPr>
        <w:spacing w:line="360" w:lineRule="auto"/>
        <w:ind w:firstLine="480" w:firstLineChars="200"/>
        <w:rPr>
          <w:color w:val="000000"/>
          <w:sz w:val="24"/>
          <w:szCs w:val="24"/>
        </w:rPr>
      </w:pPr>
      <w:r>
        <w:rPr>
          <w:rFonts w:hint="eastAsia"/>
          <w:color w:val="000000"/>
          <w:sz w:val="24"/>
          <w:szCs w:val="24"/>
        </w:rPr>
        <w:t>采区工程布置主要包括以下内容：</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①开采范围、开采对象及开采方式</w:t>
      </w:r>
    </w:p>
    <w:p>
      <w:pPr>
        <w:spacing w:line="360" w:lineRule="auto"/>
        <w:ind w:firstLine="480" w:firstLineChars="200"/>
        <w:rPr>
          <w:color w:val="000000"/>
          <w:sz w:val="24"/>
          <w:szCs w:val="24"/>
        </w:rPr>
      </w:pPr>
      <w:r>
        <w:rPr>
          <w:rFonts w:hint="eastAsia"/>
          <w:color w:val="000000"/>
          <w:sz w:val="24"/>
          <w:szCs w:val="24"/>
        </w:rPr>
        <w:t>目前矿山开采范围为采矿许可证范围，矿区面积为</w:t>
      </w:r>
      <w:r>
        <w:rPr>
          <w:color w:val="000000"/>
          <w:sz w:val="24"/>
          <w:szCs w:val="24"/>
        </w:rPr>
        <w:t>3.571km</w:t>
      </w:r>
      <w:r>
        <w:rPr>
          <w:color w:val="000000"/>
          <w:sz w:val="24"/>
          <w:szCs w:val="24"/>
          <w:vertAlign w:val="superscript"/>
        </w:rPr>
        <w:t>2</w:t>
      </w:r>
      <w:r>
        <w:rPr>
          <w:rFonts w:hint="eastAsia"/>
          <w:color w:val="000000"/>
          <w:sz w:val="24"/>
          <w:szCs w:val="24"/>
        </w:rPr>
        <w:t>，开采标高为</w:t>
      </w:r>
      <w:r>
        <w:rPr>
          <w:color w:val="000000"/>
          <w:sz w:val="24"/>
          <w:szCs w:val="24"/>
        </w:rPr>
        <w:t>1881</w:t>
      </w:r>
      <w:r>
        <w:rPr>
          <w:rFonts w:hint="eastAsia"/>
          <w:color w:val="000000"/>
          <w:sz w:val="24"/>
          <w:szCs w:val="24"/>
        </w:rPr>
        <w:t>～</w:t>
      </w:r>
      <w:r>
        <w:rPr>
          <w:color w:val="000000"/>
          <w:sz w:val="24"/>
          <w:szCs w:val="24"/>
        </w:rPr>
        <w:t>1490m</w:t>
      </w:r>
      <w:r>
        <w:rPr>
          <w:rFonts w:hint="eastAsia"/>
          <w:color w:val="000000"/>
          <w:sz w:val="24"/>
          <w:szCs w:val="24"/>
        </w:rPr>
        <w:t>，矿区范围由</w:t>
      </w:r>
      <w:r>
        <w:rPr>
          <w:color w:val="000000"/>
          <w:sz w:val="24"/>
          <w:szCs w:val="24"/>
        </w:rPr>
        <w:t>8</w:t>
      </w:r>
      <w:r>
        <w:rPr>
          <w:rFonts w:hint="eastAsia"/>
          <w:color w:val="000000"/>
          <w:sz w:val="24"/>
          <w:szCs w:val="24"/>
        </w:rPr>
        <w:t>个拐点圈定。</w:t>
      </w:r>
    </w:p>
    <w:p>
      <w:pPr>
        <w:spacing w:line="360" w:lineRule="auto"/>
        <w:ind w:firstLine="480" w:firstLineChars="200"/>
        <w:rPr>
          <w:color w:val="000000"/>
          <w:sz w:val="24"/>
          <w:szCs w:val="24"/>
        </w:rPr>
      </w:pPr>
      <w:r>
        <w:rPr>
          <w:rFonts w:hint="eastAsia"/>
          <w:color w:val="000000"/>
          <w:sz w:val="24"/>
          <w:szCs w:val="24"/>
        </w:rPr>
        <w:t>目前，矿山采用地下开采方式。</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②采矿方法</w:t>
      </w:r>
    </w:p>
    <w:p>
      <w:pPr>
        <w:spacing w:line="360" w:lineRule="auto"/>
        <w:ind w:firstLine="480" w:firstLineChars="200"/>
        <w:rPr>
          <w:color w:val="000000"/>
          <w:sz w:val="24"/>
          <w:szCs w:val="24"/>
        </w:rPr>
      </w:pPr>
      <w:r>
        <w:rPr>
          <w:rFonts w:hint="eastAsia"/>
          <w:color w:val="000000"/>
          <w:sz w:val="24"/>
          <w:szCs w:val="24"/>
        </w:rPr>
        <w:t>矿山目前采用全面采矿法及房柱采矿法进行回采，采矿及掘进作业选用常规的</w:t>
      </w:r>
      <w:r>
        <w:rPr>
          <w:color w:val="000000"/>
          <w:sz w:val="24"/>
          <w:szCs w:val="24"/>
        </w:rPr>
        <w:t>YT-28</w:t>
      </w:r>
      <w:r>
        <w:rPr>
          <w:rFonts w:hint="eastAsia"/>
          <w:color w:val="000000"/>
          <w:sz w:val="24"/>
          <w:szCs w:val="24"/>
        </w:rPr>
        <w:t>型浅孔凿岩机进行水平及小角度倾斜凿岩钻孔作业，选用常规的</w:t>
      </w:r>
      <w:r>
        <w:rPr>
          <w:color w:val="000000"/>
          <w:sz w:val="24"/>
          <w:szCs w:val="24"/>
        </w:rPr>
        <w:t>YSP-45</w:t>
      </w:r>
      <w:r>
        <w:rPr>
          <w:rFonts w:hint="eastAsia"/>
          <w:color w:val="000000"/>
          <w:sz w:val="24"/>
          <w:szCs w:val="24"/>
        </w:rPr>
        <w:t>型浅孔凿岩机进行竖向及大角度倾斜凿岩钻孔作业。</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③矿井开拓</w:t>
      </w:r>
    </w:p>
    <w:p>
      <w:pPr>
        <w:spacing w:line="360" w:lineRule="auto"/>
        <w:ind w:firstLine="480" w:firstLineChars="200"/>
        <w:rPr>
          <w:color w:val="000000"/>
          <w:sz w:val="24"/>
          <w:szCs w:val="24"/>
        </w:rPr>
      </w:pPr>
      <w:r>
        <w:rPr>
          <w:rFonts w:hint="eastAsia"/>
          <w:color w:val="000000"/>
          <w:sz w:val="24"/>
          <w:szCs w:val="24"/>
        </w:rPr>
        <w:t>目前，矿山的开拓方式为：平硐</w:t>
      </w:r>
      <w:r>
        <w:rPr>
          <w:color w:val="000000"/>
          <w:sz w:val="24"/>
          <w:szCs w:val="24"/>
        </w:rPr>
        <w:t>+</w:t>
      </w:r>
      <w:r>
        <w:rPr>
          <w:rFonts w:hint="eastAsia"/>
          <w:color w:val="000000"/>
          <w:sz w:val="24"/>
          <w:szCs w:val="24"/>
        </w:rPr>
        <w:t>斜井</w:t>
      </w:r>
      <w:r>
        <w:rPr>
          <w:color w:val="000000"/>
          <w:sz w:val="24"/>
          <w:szCs w:val="24"/>
        </w:rPr>
        <w:t>+</w:t>
      </w:r>
      <w:r>
        <w:rPr>
          <w:rFonts w:hint="eastAsia"/>
          <w:color w:val="000000"/>
          <w:sz w:val="24"/>
          <w:szCs w:val="24"/>
        </w:rPr>
        <w:t>无轨斜坡道</w:t>
      </w:r>
      <w:r>
        <w:rPr>
          <w:color w:val="000000"/>
          <w:sz w:val="24"/>
          <w:szCs w:val="24"/>
        </w:rPr>
        <w:t>+</w:t>
      </w:r>
      <w:r>
        <w:rPr>
          <w:rFonts w:hint="eastAsia"/>
          <w:color w:val="000000"/>
          <w:sz w:val="24"/>
          <w:szCs w:val="24"/>
        </w:rPr>
        <w:t>溜井开拓。</w:t>
      </w:r>
    </w:p>
    <w:p>
      <w:pPr>
        <w:spacing w:line="360" w:lineRule="auto"/>
        <w:ind w:firstLine="480" w:firstLineChars="200"/>
        <w:rPr>
          <w:color w:val="000000"/>
          <w:sz w:val="24"/>
          <w:szCs w:val="24"/>
        </w:rPr>
      </w:pPr>
      <w:r>
        <w:rPr>
          <w:rFonts w:hint="eastAsia"/>
          <w:color w:val="000000"/>
          <w:sz w:val="24"/>
          <w:szCs w:val="24"/>
        </w:rPr>
        <w:t>目前形成的开拓巷道具体如下：</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a)平巷</w:t>
      </w:r>
    </w:p>
    <w:p>
      <w:pPr>
        <w:spacing w:line="360" w:lineRule="auto"/>
        <w:ind w:firstLine="480" w:firstLineChars="200"/>
        <w:rPr>
          <w:rFonts w:hint="eastAsia"/>
          <w:color w:val="000000"/>
          <w:sz w:val="24"/>
          <w:szCs w:val="24"/>
        </w:rPr>
      </w:pPr>
      <w:r>
        <w:rPr>
          <w:rFonts w:hint="eastAsia"/>
          <w:color w:val="000000"/>
          <w:sz w:val="24"/>
          <w:szCs w:val="24"/>
        </w:rPr>
        <w:t>主要形成了</w:t>
      </w:r>
      <w:r>
        <w:rPr>
          <w:color w:val="000000"/>
          <w:sz w:val="24"/>
          <w:szCs w:val="24"/>
        </w:rPr>
        <w:t>1590m</w:t>
      </w:r>
      <w:r>
        <w:rPr>
          <w:rFonts w:hint="eastAsia"/>
          <w:color w:val="000000"/>
          <w:sz w:val="24"/>
          <w:szCs w:val="24"/>
        </w:rPr>
        <w:t>回风平巷、</w:t>
      </w:r>
      <w:r>
        <w:rPr>
          <w:color w:val="000000"/>
          <w:sz w:val="24"/>
          <w:szCs w:val="24"/>
        </w:rPr>
        <w:t>1540m</w:t>
      </w:r>
      <w:r>
        <w:rPr>
          <w:rFonts w:hint="eastAsia"/>
          <w:color w:val="000000"/>
          <w:sz w:val="24"/>
          <w:szCs w:val="24"/>
        </w:rPr>
        <w:t>回风巷道、</w:t>
      </w:r>
      <w:r>
        <w:rPr>
          <w:color w:val="000000"/>
          <w:sz w:val="24"/>
          <w:szCs w:val="24"/>
        </w:rPr>
        <w:t>1540m</w:t>
      </w:r>
      <w:r>
        <w:rPr>
          <w:rFonts w:hint="eastAsia"/>
          <w:color w:val="000000"/>
          <w:sz w:val="24"/>
          <w:szCs w:val="24"/>
        </w:rPr>
        <w:t>主运输巷道、</w:t>
      </w:r>
      <w:r>
        <w:rPr>
          <w:color w:val="000000"/>
          <w:sz w:val="24"/>
          <w:szCs w:val="24"/>
        </w:rPr>
        <w:t>1490m</w:t>
      </w:r>
      <w:r>
        <w:rPr>
          <w:rFonts w:hint="eastAsia"/>
          <w:color w:val="000000"/>
          <w:sz w:val="24"/>
          <w:szCs w:val="24"/>
        </w:rPr>
        <w:t>主运输巷道。</w:t>
      </w:r>
    </w:p>
    <w:p>
      <w:pPr>
        <w:spacing w:line="360" w:lineRule="auto"/>
        <w:ind w:firstLine="480" w:firstLineChars="200"/>
        <w:rPr>
          <w:color w:val="000000"/>
          <w:sz w:val="24"/>
          <w:szCs w:val="24"/>
        </w:rPr>
      </w:pPr>
      <w:r>
        <w:rPr>
          <w:color w:val="000000"/>
          <w:sz w:val="24"/>
          <w:szCs w:val="24"/>
        </w:rPr>
        <w:t>1590m</w:t>
      </w:r>
      <w:r>
        <w:rPr>
          <w:rFonts w:hint="eastAsia"/>
          <w:color w:val="000000"/>
          <w:sz w:val="24"/>
          <w:szCs w:val="24"/>
        </w:rPr>
        <w:t>回风平巷：标高</w:t>
      </w:r>
      <w:r>
        <w:rPr>
          <w:color w:val="000000"/>
          <w:sz w:val="24"/>
          <w:szCs w:val="24"/>
        </w:rPr>
        <w:t>1590m</w:t>
      </w:r>
      <w:r>
        <w:rPr>
          <w:rFonts w:hint="eastAsia"/>
          <w:color w:val="000000"/>
          <w:sz w:val="24"/>
          <w:szCs w:val="24"/>
        </w:rPr>
        <w:t>，坑道断面为</w:t>
      </w:r>
      <w:r>
        <w:rPr>
          <w:color w:val="000000"/>
          <w:sz w:val="24"/>
          <w:szCs w:val="24"/>
        </w:rPr>
        <w:t>2.2m</w:t>
      </w:r>
      <w:r>
        <w:rPr>
          <w:rFonts w:hint="eastAsia"/>
          <w:color w:val="000000"/>
          <w:sz w:val="24"/>
          <w:szCs w:val="24"/>
        </w:rPr>
        <w:t>（宽）</w:t>
      </w:r>
      <w:r>
        <w:rPr>
          <w:color w:val="000000"/>
          <w:sz w:val="24"/>
          <w:szCs w:val="24"/>
        </w:rPr>
        <w:t>×2.5m</w:t>
      </w:r>
      <w:r>
        <w:rPr>
          <w:rFonts w:hint="eastAsia"/>
          <w:color w:val="000000"/>
          <w:sz w:val="24"/>
          <w:szCs w:val="24"/>
        </w:rPr>
        <w:t>（高），主要作为矿山的回风平巷使用，其通过</w:t>
      </w:r>
      <w:r>
        <w:rPr>
          <w:color w:val="000000"/>
          <w:sz w:val="24"/>
          <w:szCs w:val="24"/>
        </w:rPr>
        <w:t>1590m-1560m</w:t>
      </w:r>
      <w:r>
        <w:rPr>
          <w:rFonts w:hint="eastAsia"/>
          <w:color w:val="000000"/>
          <w:sz w:val="24"/>
          <w:szCs w:val="24"/>
        </w:rPr>
        <w:t>斜井、</w:t>
      </w:r>
      <w:r>
        <w:rPr>
          <w:color w:val="000000"/>
          <w:sz w:val="24"/>
          <w:szCs w:val="24"/>
        </w:rPr>
        <w:t>1560m-1540m</w:t>
      </w:r>
      <w:r>
        <w:rPr>
          <w:rFonts w:hint="eastAsia"/>
          <w:color w:val="000000"/>
          <w:sz w:val="24"/>
          <w:szCs w:val="24"/>
        </w:rPr>
        <w:t>人行材料通风井与</w:t>
      </w:r>
      <w:r>
        <w:rPr>
          <w:color w:val="000000"/>
          <w:sz w:val="24"/>
          <w:szCs w:val="24"/>
        </w:rPr>
        <w:t>1540m</w:t>
      </w:r>
      <w:r>
        <w:rPr>
          <w:rFonts w:hint="eastAsia"/>
          <w:color w:val="000000"/>
          <w:sz w:val="24"/>
          <w:szCs w:val="24"/>
        </w:rPr>
        <w:t>主运输巷道联通，目前主要用于东部采场、中部采场以及已有开拓系统的回风，其在</w:t>
      </w:r>
      <w:r>
        <w:rPr>
          <w:color w:val="000000"/>
          <w:sz w:val="24"/>
          <w:szCs w:val="24"/>
        </w:rPr>
        <w:t>1590m</w:t>
      </w:r>
      <w:r>
        <w:rPr>
          <w:rFonts w:hint="eastAsia"/>
          <w:color w:val="000000"/>
          <w:sz w:val="24"/>
          <w:szCs w:val="24"/>
        </w:rPr>
        <w:t>坑口安装了一台</w:t>
      </w:r>
      <w:r>
        <w:rPr>
          <w:color w:val="000000"/>
          <w:sz w:val="24"/>
          <w:szCs w:val="24"/>
        </w:rPr>
        <w:t>K40-10-NO10</w:t>
      </w:r>
      <w:r>
        <w:rPr>
          <w:rFonts w:hint="eastAsia"/>
          <w:color w:val="000000"/>
          <w:sz w:val="24"/>
          <w:szCs w:val="24"/>
        </w:rPr>
        <w:t>抽出式风机。</w:t>
      </w:r>
      <w:r>
        <w:rPr>
          <w:color w:val="000000"/>
          <w:sz w:val="24"/>
          <w:szCs w:val="24"/>
        </w:rPr>
        <w:t>1540m</w:t>
      </w:r>
      <w:r>
        <w:rPr>
          <w:rFonts w:hint="eastAsia"/>
          <w:color w:val="000000"/>
          <w:sz w:val="24"/>
          <w:szCs w:val="24"/>
        </w:rPr>
        <w:t>回风平巷：标高</w:t>
      </w:r>
      <w:r>
        <w:rPr>
          <w:color w:val="000000"/>
          <w:sz w:val="24"/>
          <w:szCs w:val="24"/>
        </w:rPr>
        <w:t>1540m</w:t>
      </w:r>
      <w:r>
        <w:rPr>
          <w:rFonts w:hint="eastAsia"/>
          <w:color w:val="000000"/>
          <w:sz w:val="24"/>
          <w:szCs w:val="24"/>
        </w:rPr>
        <w:t>，坑道断面为</w:t>
      </w:r>
      <w:r>
        <w:rPr>
          <w:color w:val="000000"/>
          <w:sz w:val="24"/>
          <w:szCs w:val="24"/>
        </w:rPr>
        <w:t>2.2m</w:t>
      </w:r>
      <w:r>
        <w:rPr>
          <w:rFonts w:hint="eastAsia"/>
          <w:color w:val="000000"/>
          <w:sz w:val="24"/>
          <w:szCs w:val="24"/>
        </w:rPr>
        <w:t>（宽）</w:t>
      </w:r>
      <w:r>
        <w:rPr>
          <w:color w:val="000000"/>
          <w:sz w:val="24"/>
          <w:szCs w:val="24"/>
        </w:rPr>
        <w:t>×2.5m</w:t>
      </w:r>
      <w:r>
        <w:rPr>
          <w:rFonts w:hint="eastAsia"/>
          <w:color w:val="000000"/>
          <w:sz w:val="24"/>
          <w:szCs w:val="24"/>
        </w:rPr>
        <w:t>（高），主要作为矿山的回风平巷使用，目前主要用于已有开拓系统的回风，其在</w:t>
      </w:r>
      <w:r>
        <w:rPr>
          <w:color w:val="000000"/>
          <w:sz w:val="24"/>
          <w:szCs w:val="24"/>
        </w:rPr>
        <w:t>1540m</w:t>
      </w:r>
      <w:r>
        <w:rPr>
          <w:rFonts w:hint="eastAsia"/>
          <w:color w:val="000000"/>
          <w:sz w:val="24"/>
          <w:szCs w:val="24"/>
        </w:rPr>
        <w:t>坑口安装了一台</w:t>
      </w:r>
      <w:r>
        <w:rPr>
          <w:color w:val="000000"/>
          <w:sz w:val="24"/>
          <w:szCs w:val="24"/>
        </w:rPr>
        <w:t>K40-10-NO10</w:t>
      </w:r>
      <w:r>
        <w:rPr>
          <w:rFonts w:hint="eastAsia"/>
          <w:color w:val="000000"/>
          <w:sz w:val="24"/>
          <w:szCs w:val="24"/>
        </w:rPr>
        <w:t>抽出式风机。</w:t>
      </w:r>
    </w:p>
    <w:p>
      <w:pPr>
        <w:spacing w:line="360" w:lineRule="auto"/>
        <w:ind w:firstLine="480" w:firstLineChars="200"/>
        <w:rPr>
          <w:color w:val="000000"/>
          <w:sz w:val="24"/>
          <w:szCs w:val="24"/>
        </w:rPr>
      </w:pPr>
      <w:r>
        <w:rPr>
          <w:color w:val="000000"/>
          <w:sz w:val="24"/>
          <w:szCs w:val="24"/>
        </w:rPr>
        <w:t>1540m</w:t>
      </w:r>
      <w:r>
        <w:rPr>
          <w:rFonts w:hint="eastAsia"/>
          <w:color w:val="000000"/>
          <w:sz w:val="24"/>
          <w:szCs w:val="24"/>
        </w:rPr>
        <w:t>主运输巷：标高</w:t>
      </w:r>
      <w:r>
        <w:rPr>
          <w:color w:val="000000"/>
          <w:sz w:val="24"/>
          <w:szCs w:val="24"/>
        </w:rPr>
        <w:t>1540m</w:t>
      </w:r>
      <w:r>
        <w:rPr>
          <w:rFonts w:hint="eastAsia"/>
          <w:color w:val="000000"/>
          <w:sz w:val="24"/>
          <w:szCs w:val="24"/>
        </w:rPr>
        <w:t>，坑道断面为</w:t>
      </w:r>
      <w:r>
        <w:rPr>
          <w:color w:val="000000"/>
          <w:sz w:val="24"/>
          <w:szCs w:val="24"/>
        </w:rPr>
        <w:t>2.2m</w:t>
      </w:r>
      <w:r>
        <w:rPr>
          <w:rFonts w:hint="eastAsia"/>
          <w:color w:val="000000"/>
          <w:sz w:val="24"/>
          <w:szCs w:val="24"/>
        </w:rPr>
        <w:t>（宽）</w:t>
      </w:r>
      <w:r>
        <w:rPr>
          <w:color w:val="000000"/>
          <w:sz w:val="24"/>
          <w:szCs w:val="24"/>
        </w:rPr>
        <w:t>×2.5m</w:t>
      </w:r>
      <w:r>
        <w:rPr>
          <w:rFonts w:hint="eastAsia"/>
          <w:color w:val="000000"/>
          <w:sz w:val="24"/>
          <w:szCs w:val="24"/>
        </w:rPr>
        <w:t>（高），为矿山矿石的主要运输巷道，目前通过</w:t>
      </w:r>
      <w:r>
        <w:rPr>
          <w:color w:val="000000"/>
          <w:sz w:val="24"/>
          <w:szCs w:val="24"/>
        </w:rPr>
        <w:t>1540m-1560m</w:t>
      </w:r>
      <w:r>
        <w:rPr>
          <w:rFonts w:hint="eastAsia"/>
          <w:color w:val="000000"/>
          <w:sz w:val="24"/>
          <w:szCs w:val="24"/>
        </w:rPr>
        <w:t>人行材料通风井、</w:t>
      </w:r>
      <w:r>
        <w:rPr>
          <w:color w:val="000000"/>
          <w:sz w:val="24"/>
          <w:szCs w:val="24"/>
        </w:rPr>
        <w:t>1540m-1560m</w:t>
      </w:r>
      <w:r>
        <w:rPr>
          <w:rFonts w:hint="eastAsia"/>
          <w:color w:val="000000"/>
          <w:sz w:val="24"/>
          <w:szCs w:val="24"/>
        </w:rPr>
        <w:t>溜井、</w:t>
      </w:r>
      <w:r>
        <w:rPr>
          <w:color w:val="000000"/>
          <w:sz w:val="24"/>
          <w:szCs w:val="24"/>
        </w:rPr>
        <w:t>1540m-1575m</w:t>
      </w:r>
      <w:r>
        <w:rPr>
          <w:rFonts w:hint="eastAsia"/>
          <w:color w:val="000000"/>
          <w:sz w:val="24"/>
          <w:szCs w:val="24"/>
        </w:rPr>
        <w:t>人行材料井、</w:t>
      </w:r>
      <w:r>
        <w:rPr>
          <w:color w:val="000000"/>
          <w:sz w:val="24"/>
          <w:szCs w:val="24"/>
        </w:rPr>
        <w:t>1540m-1575m</w:t>
      </w:r>
      <w:r>
        <w:rPr>
          <w:rFonts w:hint="eastAsia"/>
          <w:color w:val="000000"/>
          <w:sz w:val="24"/>
          <w:szCs w:val="24"/>
        </w:rPr>
        <w:t>溜井与东部采场、中部采场联通，通过</w:t>
      </w:r>
      <w:r>
        <w:rPr>
          <w:color w:val="000000"/>
          <w:sz w:val="24"/>
          <w:szCs w:val="24"/>
        </w:rPr>
        <w:t>1540m-1490m</w:t>
      </w:r>
      <w:r>
        <w:rPr>
          <w:rFonts w:hint="eastAsia"/>
          <w:color w:val="000000"/>
          <w:sz w:val="24"/>
          <w:szCs w:val="24"/>
        </w:rPr>
        <w:t>废石溜井与</w:t>
      </w:r>
      <w:r>
        <w:rPr>
          <w:color w:val="000000"/>
          <w:sz w:val="24"/>
          <w:szCs w:val="24"/>
        </w:rPr>
        <w:t>1490m</w:t>
      </w:r>
      <w:r>
        <w:rPr>
          <w:rFonts w:hint="eastAsia"/>
          <w:color w:val="000000"/>
          <w:sz w:val="24"/>
          <w:szCs w:val="24"/>
        </w:rPr>
        <w:t>联通，通过</w:t>
      </w:r>
      <w:r>
        <w:rPr>
          <w:color w:val="000000"/>
          <w:sz w:val="24"/>
          <w:szCs w:val="24"/>
        </w:rPr>
        <w:t>1540m-1490m</w:t>
      </w:r>
      <w:r>
        <w:rPr>
          <w:rFonts w:hint="eastAsia"/>
          <w:color w:val="000000"/>
          <w:sz w:val="24"/>
          <w:szCs w:val="24"/>
        </w:rPr>
        <w:t>斜井与</w:t>
      </w:r>
      <w:r>
        <w:rPr>
          <w:color w:val="000000"/>
          <w:sz w:val="24"/>
          <w:szCs w:val="24"/>
        </w:rPr>
        <w:t>1490m</w:t>
      </w:r>
      <w:r>
        <w:rPr>
          <w:rFonts w:hint="eastAsia"/>
          <w:color w:val="000000"/>
          <w:sz w:val="24"/>
          <w:szCs w:val="24"/>
        </w:rPr>
        <w:t>联通，同时通过</w:t>
      </w:r>
      <w:r>
        <w:rPr>
          <w:color w:val="000000"/>
          <w:sz w:val="24"/>
          <w:szCs w:val="24"/>
        </w:rPr>
        <w:t>1540m-1600m</w:t>
      </w:r>
      <w:r>
        <w:rPr>
          <w:rFonts w:hint="eastAsia"/>
          <w:color w:val="000000"/>
          <w:sz w:val="24"/>
          <w:szCs w:val="24"/>
        </w:rPr>
        <w:t>斜井与地表联通。</w:t>
      </w:r>
    </w:p>
    <w:p>
      <w:pPr>
        <w:spacing w:line="360" w:lineRule="auto"/>
        <w:ind w:firstLine="480" w:firstLineChars="200"/>
        <w:rPr>
          <w:color w:val="000000"/>
          <w:sz w:val="24"/>
          <w:szCs w:val="24"/>
        </w:rPr>
      </w:pPr>
      <w:r>
        <w:rPr>
          <w:color w:val="000000"/>
          <w:sz w:val="24"/>
          <w:szCs w:val="24"/>
        </w:rPr>
        <w:t>1490m</w:t>
      </w:r>
      <w:r>
        <w:rPr>
          <w:rFonts w:hint="eastAsia"/>
          <w:color w:val="000000"/>
          <w:sz w:val="24"/>
          <w:szCs w:val="24"/>
        </w:rPr>
        <w:t>主运输巷：标高</w:t>
      </w:r>
      <w:r>
        <w:rPr>
          <w:color w:val="000000"/>
          <w:sz w:val="24"/>
          <w:szCs w:val="24"/>
        </w:rPr>
        <w:t>1540m</w:t>
      </w:r>
      <w:r>
        <w:rPr>
          <w:rFonts w:hint="eastAsia"/>
          <w:color w:val="000000"/>
          <w:sz w:val="24"/>
          <w:szCs w:val="24"/>
        </w:rPr>
        <w:t>，坑道断面为</w:t>
      </w:r>
      <w:r>
        <w:rPr>
          <w:color w:val="000000"/>
          <w:sz w:val="24"/>
          <w:szCs w:val="24"/>
        </w:rPr>
        <w:t>2.2m</w:t>
      </w:r>
      <w:r>
        <w:rPr>
          <w:rFonts w:hint="eastAsia"/>
          <w:color w:val="000000"/>
          <w:sz w:val="24"/>
          <w:szCs w:val="24"/>
        </w:rPr>
        <w:t>（宽）</w:t>
      </w:r>
      <w:r>
        <w:rPr>
          <w:color w:val="000000"/>
          <w:sz w:val="24"/>
          <w:szCs w:val="24"/>
        </w:rPr>
        <w:t>×2.5m</w:t>
      </w:r>
      <w:r>
        <w:rPr>
          <w:rFonts w:hint="eastAsia"/>
          <w:color w:val="000000"/>
          <w:sz w:val="24"/>
          <w:szCs w:val="24"/>
        </w:rPr>
        <w:t>（高），为矿山废石的主要运输巷道，其通过</w:t>
      </w:r>
      <w:r>
        <w:rPr>
          <w:color w:val="000000"/>
          <w:sz w:val="24"/>
          <w:szCs w:val="24"/>
        </w:rPr>
        <w:t>1540m-1490m</w:t>
      </w:r>
      <w:r>
        <w:rPr>
          <w:rFonts w:hint="eastAsia"/>
          <w:color w:val="000000"/>
          <w:sz w:val="24"/>
          <w:szCs w:val="24"/>
        </w:rPr>
        <w:t>斜井与</w:t>
      </w:r>
      <w:r>
        <w:rPr>
          <w:color w:val="000000"/>
          <w:sz w:val="24"/>
          <w:szCs w:val="24"/>
        </w:rPr>
        <w:t>1540m</w:t>
      </w:r>
      <w:r>
        <w:rPr>
          <w:rFonts w:hint="eastAsia"/>
          <w:color w:val="000000"/>
          <w:sz w:val="24"/>
          <w:szCs w:val="24"/>
        </w:rPr>
        <w:t>联通，通过</w:t>
      </w:r>
      <w:r>
        <w:rPr>
          <w:color w:val="000000"/>
          <w:sz w:val="24"/>
          <w:szCs w:val="24"/>
        </w:rPr>
        <w:t>1490m-1540m</w:t>
      </w:r>
      <w:r>
        <w:rPr>
          <w:rFonts w:hint="eastAsia"/>
          <w:color w:val="000000"/>
          <w:sz w:val="24"/>
          <w:szCs w:val="24"/>
        </w:rPr>
        <w:t>废石提升斜井与地表联通。</w:t>
      </w:r>
    </w:p>
    <w:p>
      <w:pPr>
        <w:spacing w:line="360" w:lineRule="auto"/>
        <w:ind w:firstLine="480" w:firstLineChars="200"/>
        <w:rPr>
          <w:color w:val="000000"/>
          <w:sz w:val="24"/>
          <w:szCs w:val="24"/>
        </w:rPr>
      </w:pPr>
      <w:r>
        <w:rPr>
          <w:rFonts w:hint="eastAsia"/>
          <w:color w:val="000000"/>
          <w:sz w:val="24"/>
          <w:szCs w:val="24"/>
        </w:rPr>
        <w:t>b)斜井</w:t>
      </w:r>
    </w:p>
    <w:p>
      <w:pPr>
        <w:spacing w:line="360" w:lineRule="auto"/>
        <w:ind w:firstLine="480" w:firstLineChars="200"/>
        <w:rPr>
          <w:color w:val="000000"/>
          <w:sz w:val="24"/>
          <w:szCs w:val="24"/>
        </w:rPr>
      </w:pPr>
      <w:r>
        <w:rPr>
          <w:rFonts w:hint="eastAsia"/>
          <w:color w:val="000000"/>
          <w:sz w:val="24"/>
          <w:szCs w:val="24"/>
        </w:rPr>
        <w:t>目前形成的斜井主要有</w:t>
      </w:r>
      <w:r>
        <w:rPr>
          <w:color w:val="000000"/>
          <w:sz w:val="24"/>
          <w:szCs w:val="24"/>
        </w:rPr>
        <w:t>1540m-1600m</w:t>
      </w:r>
      <w:r>
        <w:rPr>
          <w:rFonts w:hint="eastAsia"/>
          <w:color w:val="000000"/>
          <w:sz w:val="24"/>
          <w:szCs w:val="24"/>
        </w:rPr>
        <w:t>矿石主运输斜井、</w:t>
      </w:r>
      <w:r>
        <w:rPr>
          <w:color w:val="000000"/>
          <w:sz w:val="24"/>
          <w:szCs w:val="24"/>
        </w:rPr>
        <w:t>1490m-1540m</w:t>
      </w:r>
      <w:r>
        <w:rPr>
          <w:rFonts w:hint="eastAsia"/>
          <w:color w:val="000000"/>
          <w:sz w:val="24"/>
          <w:szCs w:val="24"/>
        </w:rPr>
        <w:t>联络斜井、</w:t>
      </w:r>
      <w:r>
        <w:rPr>
          <w:color w:val="000000"/>
          <w:sz w:val="24"/>
          <w:szCs w:val="24"/>
        </w:rPr>
        <w:t>1490m-1540m</w:t>
      </w:r>
      <w:r>
        <w:rPr>
          <w:rFonts w:hint="eastAsia"/>
          <w:color w:val="000000"/>
          <w:sz w:val="24"/>
          <w:szCs w:val="24"/>
        </w:rPr>
        <w:t>废石提升斜井以及地表的</w:t>
      </w:r>
      <w:r>
        <w:rPr>
          <w:color w:val="000000"/>
          <w:sz w:val="24"/>
          <w:szCs w:val="24"/>
        </w:rPr>
        <w:t>1540m-1675m</w:t>
      </w:r>
      <w:r>
        <w:rPr>
          <w:rFonts w:hint="eastAsia"/>
          <w:color w:val="000000"/>
          <w:sz w:val="24"/>
          <w:szCs w:val="24"/>
        </w:rPr>
        <w:t>明提升斜坡道。</w:t>
      </w:r>
    </w:p>
    <w:p>
      <w:pPr>
        <w:spacing w:line="360" w:lineRule="auto"/>
        <w:ind w:firstLine="480" w:firstLineChars="200"/>
        <w:rPr>
          <w:color w:val="000000"/>
          <w:sz w:val="24"/>
          <w:szCs w:val="24"/>
        </w:rPr>
      </w:pPr>
      <w:r>
        <w:rPr>
          <w:color w:val="000000"/>
          <w:sz w:val="24"/>
          <w:szCs w:val="24"/>
        </w:rPr>
        <w:t>1540m-1600m</w:t>
      </w:r>
      <w:r>
        <w:rPr>
          <w:rFonts w:hint="eastAsia"/>
          <w:color w:val="000000"/>
          <w:sz w:val="24"/>
          <w:szCs w:val="24"/>
        </w:rPr>
        <w:t>矿石主运输斜井：斜井上部井口标高</w:t>
      </w:r>
      <w:r>
        <w:rPr>
          <w:color w:val="000000"/>
          <w:sz w:val="24"/>
          <w:szCs w:val="24"/>
        </w:rPr>
        <w:t>1600m</w:t>
      </w:r>
      <w:r>
        <w:rPr>
          <w:rFonts w:hint="eastAsia"/>
          <w:color w:val="000000"/>
          <w:sz w:val="24"/>
          <w:szCs w:val="24"/>
        </w:rPr>
        <w:t>，斜井下部井底标高</w:t>
      </w:r>
      <w:r>
        <w:rPr>
          <w:color w:val="000000"/>
          <w:sz w:val="24"/>
          <w:szCs w:val="24"/>
        </w:rPr>
        <w:t>1540m</w:t>
      </w:r>
      <w:r>
        <w:rPr>
          <w:rFonts w:hint="eastAsia"/>
          <w:color w:val="000000"/>
          <w:sz w:val="24"/>
          <w:szCs w:val="24"/>
        </w:rPr>
        <w:t>，斜井倾角</w:t>
      </w:r>
      <w:r>
        <w:rPr>
          <w:color w:val="000000"/>
          <w:sz w:val="24"/>
          <w:szCs w:val="24"/>
        </w:rPr>
        <w:t>20º</w:t>
      </w:r>
      <w:r>
        <w:rPr>
          <w:rFonts w:hint="eastAsia"/>
          <w:color w:val="000000"/>
          <w:sz w:val="24"/>
          <w:szCs w:val="24"/>
        </w:rPr>
        <w:t>，斜井长度</w:t>
      </w:r>
      <w:r>
        <w:rPr>
          <w:color w:val="000000"/>
          <w:sz w:val="24"/>
          <w:szCs w:val="24"/>
        </w:rPr>
        <w:t>175m</w:t>
      </w:r>
      <w:r>
        <w:rPr>
          <w:rFonts w:hint="eastAsia"/>
          <w:color w:val="000000"/>
          <w:sz w:val="24"/>
          <w:szCs w:val="24"/>
        </w:rPr>
        <w:t>，斜井卷扬机房设置在标高</w:t>
      </w:r>
      <w:r>
        <w:rPr>
          <w:color w:val="000000"/>
          <w:sz w:val="24"/>
          <w:szCs w:val="24"/>
        </w:rPr>
        <w:t>1600m</w:t>
      </w:r>
      <w:r>
        <w:rPr>
          <w:rFonts w:hint="eastAsia"/>
          <w:color w:val="000000"/>
          <w:sz w:val="24"/>
          <w:szCs w:val="24"/>
        </w:rPr>
        <w:t>，提升垂高</w:t>
      </w:r>
      <w:r>
        <w:rPr>
          <w:color w:val="000000"/>
          <w:sz w:val="24"/>
          <w:szCs w:val="24"/>
        </w:rPr>
        <w:t>60m</w:t>
      </w:r>
      <w:r>
        <w:rPr>
          <w:rFonts w:hint="eastAsia"/>
          <w:color w:val="000000"/>
          <w:sz w:val="24"/>
          <w:szCs w:val="24"/>
        </w:rPr>
        <w:t>，断面尺寸为</w:t>
      </w:r>
      <w:r>
        <w:rPr>
          <w:color w:val="000000"/>
          <w:sz w:val="24"/>
          <w:szCs w:val="24"/>
        </w:rPr>
        <w:t>2.2m×2.5m</w:t>
      </w:r>
      <w:r>
        <w:rPr>
          <w:rFonts w:hint="eastAsia"/>
          <w:color w:val="000000"/>
          <w:sz w:val="24"/>
          <w:szCs w:val="24"/>
        </w:rPr>
        <w:t>，提升机型号为</w:t>
      </w:r>
      <w:r>
        <w:rPr>
          <w:color w:val="000000"/>
          <w:sz w:val="24"/>
          <w:szCs w:val="24"/>
        </w:rPr>
        <w:t>JK-1.2</w:t>
      </w:r>
      <w:r>
        <w:rPr>
          <w:rFonts w:hint="eastAsia"/>
          <w:color w:val="000000"/>
          <w:sz w:val="24"/>
          <w:szCs w:val="24"/>
        </w:rPr>
        <w:t>，电机额定功率为</w:t>
      </w:r>
      <w:r>
        <w:rPr>
          <w:color w:val="000000"/>
          <w:sz w:val="24"/>
          <w:szCs w:val="24"/>
        </w:rPr>
        <w:t>75kw</w:t>
      </w:r>
      <w:r>
        <w:rPr>
          <w:rFonts w:hint="eastAsia"/>
          <w:color w:val="000000"/>
          <w:sz w:val="24"/>
          <w:szCs w:val="24"/>
        </w:rPr>
        <w:t>，额定转速为</w:t>
      </w:r>
      <w:r>
        <w:rPr>
          <w:color w:val="000000"/>
          <w:sz w:val="24"/>
          <w:szCs w:val="24"/>
        </w:rPr>
        <w:t>730r/min</w:t>
      </w:r>
      <w:r>
        <w:rPr>
          <w:rFonts w:hint="eastAsia"/>
          <w:color w:val="000000"/>
          <w:sz w:val="24"/>
          <w:szCs w:val="24"/>
        </w:rPr>
        <w:t>，电压为</w:t>
      </w:r>
      <w:r>
        <w:rPr>
          <w:color w:val="000000"/>
          <w:sz w:val="24"/>
          <w:szCs w:val="24"/>
        </w:rPr>
        <w:t>380v</w:t>
      </w:r>
      <w:r>
        <w:rPr>
          <w:rFonts w:hint="eastAsia"/>
          <w:color w:val="000000"/>
          <w:sz w:val="24"/>
          <w:szCs w:val="24"/>
        </w:rPr>
        <w:t>。</w:t>
      </w:r>
    </w:p>
    <w:p>
      <w:pPr>
        <w:spacing w:line="360" w:lineRule="auto"/>
        <w:ind w:firstLine="480" w:firstLineChars="200"/>
        <w:rPr>
          <w:color w:val="000000"/>
          <w:sz w:val="24"/>
          <w:szCs w:val="24"/>
        </w:rPr>
      </w:pPr>
      <w:r>
        <w:rPr>
          <w:rFonts w:hint="eastAsia"/>
          <w:color w:val="000000"/>
          <w:sz w:val="24"/>
          <w:szCs w:val="24"/>
        </w:rPr>
        <w:t>斜井铺轨：</w:t>
      </w:r>
      <w:r>
        <w:rPr>
          <w:color w:val="000000"/>
          <w:sz w:val="24"/>
          <w:szCs w:val="24"/>
        </w:rPr>
        <w:t>15kg</w:t>
      </w:r>
      <w:r>
        <w:rPr>
          <w:rFonts w:hint="eastAsia"/>
          <w:color w:val="000000"/>
          <w:sz w:val="24"/>
          <w:szCs w:val="24"/>
        </w:rPr>
        <w:t>钢轨（木轨枕碎石道床），轨距</w:t>
      </w:r>
      <w:r>
        <w:rPr>
          <w:color w:val="000000"/>
          <w:sz w:val="24"/>
          <w:szCs w:val="24"/>
        </w:rPr>
        <w:t>600mm</w:t>
      </w:r>
      <w:r>
        <w:rPr>
          <w:rFonts w:hint="eastAsia"/>
          <w:color w:val="000000"/>
          <w:sz w:val="24"/>
          <w:szCs w:val="24"/>
        </w:rPr>
        <w:t>。</w:t>
      </w:r>
    </w:p>
    <w:p>
      <w:pPr>
        <w:spacing w:line="360" w:lineRule="auto"/>
        <w:ind w:firstLine="480" w:firstLineChars="200"/>
        <w:rPr>
          <w:color w:val="000000"/>
          <w:sz w:val="24"/>
          <w:szCs w:val="24"/>
        </w:rPr>
      </w:pPr>
      <w:r>
        <w:rPr>
          <w:color w:val="000000"/>
          <w:sz w:val="24"/>
          <w:szCs w:val="24"/>
        </w:rPr>
        <w:t>1490m-1540m</w:t>
      </w:r>
      <w:r>
        <w:rPr>
          <w:rFonts w:hint="eastAsia"/>
          <w:color w:val="000000"/>
          <w:sz w:val="24"/>
          <w:szCs w:val="24"/>
        </w:rPr>
        <w:t>联络斜井：为盲斜井，斜井上部井口标高</w:t>
      </w:r>
      <w:r>
        <w:rPr>
          <w:color w:val="000000"/>
          <w:sz w:val="24"/>
          <w:szCs w:val="24"/>
        </w:rPr>
        <w:t>1540m</w:t>
      </w:r>
      <w:r>
        <w:rPr>
          <w:rFonts w:hint="eastAsia"/>
          <w:color w:val="000000"/>
          <w:sz w:val="24"/>
          <w:szCs w:val="24"/>
        </w:rPr>
        <w:t>，斜井下部井底标高</w:t>
      </w:r>
      <w:r>
        <w:rPr>
          <w:color w:val="000000"/>
          <w:sz w:val="24"/>
          <w:szCs w:val="24"/>
        </w:rPr>
        <w:t>1490m</w:t>
      </w:r>
      <w:r>
        <w:rPr>
          <w:rFonts w:hint="eastAsia"/>
          <w:color w:val="000000"/>
          <w:sz w:val="24"/>
          <w:szCs w:val="24"/>
        </w:rPr>
        <w:t>，斜井倾角</w:t>
      </w:r>
      <w:r>
        <w:rPr>
          <w:color w:val="000000"/>
          <w:sz w:val="24"/>
          <w:szCs w:val="24"/>
        </w:rPr>
        <w:t>20º</w:t>
      </w:r>
      <w:r>
        <w:rPr>
          <w:rFonts w:hint="eastAsia"/>
          <w:color w:val="000000"/>
          <w:sz w:val="24"/>
          <w:szCs w:val="24"/>
        </w:rPr>
        <w:t>，斜井长度</w:t>
      </w:r>
      <w:r>
        <w:rPr>
          <w:color w:val="000000"/>
          <w:sz w:val="24"/>
          <w:szCs w:val="24"/>
        </w:rPr>
        <w:t>147m</w:t>
      </w:r>
      <w:r>
        <w:rPr>
          <w:rFonts w:hint="eastAsia"/>
          <w:color w:val="000000"/>
          <w:sz w:val="24"/>
          <w:szCs w:val="24"/>
        </w:rPr>
        <w:t>，斜井卷扬机房设置在标高</w:t>
      </w:r>
      <w:r>
        <w:rPr>
          <w:color w:val="000000"/>
          <w:sz w:val="24"/>
          <w:szCs w:val="24"/>
        </w:rPr>
        <w:t>1540m</w:t>
      </w:r>
      <w:r>
        <w:rPr>
          <w:rFonts w:hint="eastAsia"/>
          <w:color w:val="000000"/>
          <w:sz w:val="24"/>
          <w:szCs w:val="24"/>
        </w:rPr>
        <w:t>，提升垂高</w:t>
      </w:r>
      <w:r>
        <w:rPr>
          <w:color w:val="000000"/>
          <w:sz w:val="24"/>
          <w:szCs w:val="24"/>
        </w:rPr>
        <w:t>50m</w:t>
      </w:r>
      <w:r>
        <w:rPr>
          <w:rFonts w:hint="eastAsia"/>
          <w:color w:val="000000"/>
          <w:sz w:val="24"/>
          <w:szCs w:val="24"/>
        </w:rPr>
        <w:t>，断面尺寸为</w:t>
      </w:r>
      <w:r>
        <w:rPr>
          <w:color w:val="000000"/>
          <w:sz w:val="24"/>
          <w:szCs w:val="24"/>
        </w:rPr>
        <w:t>2.2m×2.5m</w:t>
      </w:r>
      <w:r>
        <w:rPr>
          <w:rFonts w:hint="eastAsia"/>
          <w:color w:val="000000"/>
          <w:sz w:val="24"/>
          <w:szCs w:val="24"/>
        </w:rPr>
        <w:t>，斜井铺轨：</w:t>
      </w:r>
      <w:r>
        <w:rPr>
          <w:color w:val="000000"/>
          <w:sz w:val="24"/>
          <w:szCs w:val="24"/>
        </w:rPr>
        <w:t>15kg</w:t>
      </w:r>
      <w:r>
        <w:rPr>
          <w:rFonts w:hint="eastAsia"/>
          <w:color w:val="000000"/>
          <w:sz w:val="24"/>
          <w:szCs w:val="24"/>
        </w:rPr>
        <w:t>钢轨（木轨枕碎石道床），轨距</w:t>
      </w:r>
      <w:r>
        <w:rPr>
          <w:color w:val="000000"/>
          <w:sz w:val="24"/>
          <w:szCs w:val="24"/>
        </w:rPr>
        <w:t>600mm</w:t>
      </w:r>
      <w:r>
        <w:rPr>
          <w:rFonts w:hint="eastAsia"/>
          <w:color w:val="000000"/>
          <w:sz w:val="24"/>
          <w:szCs w:val="24"/>
        </w:rPr>
        <w:t>，目前作为</w:t>
      </w:r>
      <w:r>
        <w:rPr>
          <w:color w:val="000000"/>
          <w:sz w:val="24"/>
          <w:szCs w:val="24"/>
        </w:rPr>
        <w:t>1490m</w:t>
      </w:r>
      <w:r>
        <w:rPr>
          <w:rFonts w:hint="eastAsia"/>
          <w:color w:val="000000"/>
          <w:sz w:val="24"/>
          <w:szCs w:val="24"/>
        </w:rPr>
        <w:t>中段与</w:t>
      </w:r>
      <w:r>
        <w:rPr>
          <w:color w:val="000000"/>
          <w:sz w:val="24"/>
          <w:szCs w:val="24"/>
        </w:rPr>
        <w:t>1540m</w:t>
      </w:r>
      <w:r>
        <w:rPr>
          <w:rFonts w:hint="eastAsia"/>
          <w:color w:val="000000"/>
          <w:sz w:val="24"/>
          <w:szCs w:val="24"/>
        </w:rPr>
        <w:t>中段通风联络使用，不再进行矿石及废石的提升运输。</w:t>
      </w:r>
    </w:p>
    <w:p>
      <w:pPr>
        <w:spacing w:line="360" w:lineRule="auto"/>
        <w:ind w:firstLine="480" w:firstLineChars="200"/>
        <w:rPr>
          <w:color w:val="000000"/>
          <w:sz w:val="24"/>
          <w:szCs w:val="24"/>
        </w:rPr>
      </w:pPr>
      <w:r>
        <w:rPr>
          <w:color w:val="000000"/>
          <w:sz w:val="24"/>
          <w:szCs w:val="24"/>
        </w:rPr>
        <w:t>1490m-1540m</w:t>
      </w:r>
      <w:r>
        <w:rPr>
          <w:rFonts w:hint="eastAsia"/>
          <w:color w:val="000000"/>
          <w:sz w:val="24"/>
          <w:szCs w:val="24"/>
        </w:rPr>
        <w:t>废石提升斜井：斜井上部井口标高</w:t>
      </w:r>
      <w:r>
        <w:rPr>
          <w:color w:val="000000"/>
          <w:sz w:val="24"/>
          <w:szCs w:val="24"/>
        </w:rPr>
        <w:t>1540m</w:t>
      </w:r>
      <w:r>
        <w:rPr>
          <w:rFonts w:hint="eastAsia"/>
          <w:color w:val="000000"/>
          <w:sz w:val="24"/>
          <w:szCs w:val="24"/>
        </w:rPr>
        <w:t>，斜井下部井底标高</w:t>
      </w:r>
      <w:r>
        <w:rPr>
          <w:color w:val="000000"/>
          <w:sz w:val="24"/>
          <w:szCs w:val="24"/>
        </w:rPr>
        <w:t>1490m</w:t>
      </w:r>
      <w:r>
        <w:rPr>
          <w:rFonts w:hint="eastAsia"/>
          <w:color w:val="000000"/>
          <w:sz w:val="24"/>
          <w:szCs w:val="24"/>
        </w:rPr>
        <w:t>，斜井倾角</w:t>
      </w:r>
      <w:r>
        <w:rPr>
          <w:color w:val="000000"/>
          <w:sz w:val="24"/>
          <w:szCs w:val="24"/>
        </w:rPr>
        <w:t>20º</w:t>
      </w:r>
      <w:r>
        <w:rPr>
          <w:rFonts w:hint="eastAsia"/>
          <w:color w:val="000000"/>
          <w:sz w:val="24"/>
          <w:szCs w:val="24"/>
        </w:rPr>
        <w:t>，斜井长度</w:t>
      </w:r>
      <w:r>
        <w:rPr>
          <w:color w:val="000000"/>
          <w:sz w:val="24"/>
          <w:szCs w:val="24"/>
        </w:rPr>
        <w:t>147m</w:t>
      </w:r>
      <w:r>
        <w:rPr>
          <w:rFonts w:hint="eastAsia"/>
          <w:color w:val="000000"/>
          <w:sz w:val="24"/>
          <w:szCs w:val="24"/>
        </w:rPr>
        <w:t>，斜井卷扬机房设置在标高</w:t>
      </w:r>
      <w:r>
        <w:rPr>
          <w:color w:val="000000"/>
          <w:sz w:val="24"/>
          <w:szCs w:val="24"/>
        </w:rPr>
        <w:t>1540m</w:t>
      </w:r>
      <w:r>
        <w:rPr>
          <w:rFonts w:hint="eastAsia"/>
          <w:color w:val="000000"/>
          <w:sz w:val="24"/>
          <w:szCs w:val="24"/>
        </w:rPr>
        <w:t>地表，提升垂高</w:t>
      </w:r>
      <w:r>
        <w:rPr>
          <w:color w:val="000000"/>
          <w:sz w:val="24"/>
          <w:szCs w:val="24"/>
        </w:rPr>
        <w:t>50m</w:t>
      </w:r>
      <w:r>
        <w:rPr>
          <w:rFonts w:hint="eastAsia"/>
          <w:color w:val="000000"/>
          <w:sz w:val="24"/>
          <w:szCs w:val="24"/>
        </w:rPr>
        <w:t>，断面尺寸为</w:t>
      </w:r>
      <w:r>
        <w:rPr>
          <w:color w:val="000000"/>
          <w:sz w:val="24"/>
          <w:szCs w:val="24"/>
        </w:rPr>
        <w:t>2.2m×2.5m</w:t>
      </w:r>
      <w:r>
        <w:rPr>
          <w:rFonts w:hint="eastAsia"/>
          <w:color w:val="000000"/>
          <w:sz w:val="24"/>
          <w:szCs w:val="24"/>
        </w:rPr>
        <w:t>，提升机型号为</w:t>
      </w:r>
      <w:r>
        <w:rPr>
          <w:color w:val="000000"/>
          <w:sz w:val="24"/>
          <w:szCs w:val="24"/>
        </w:rPr>
        <w:t>JK-1.2</w:t>
      </w:r>
      <w:r>
        <w:rPr>
          <w:rFonts w:hint="eastAsia"/>
          <w:color w:val="000000"/>
          <w:sz w:val="24"/>
          <w:szCs w:val="24"/>
        </w:rPr>
        <w:t>，电机额定功率为</w:t>
      </w:r>
      <w:r>
        <w:rPr>
          <w:color w:val="000000"/>
          <w:sz w:val="24"/>
          <w:szCs w:val="24"/>
        </w:rPr>
        <w:t>75kw</w:t>
      </w:r>
      <w:r>
        <w:rPr>
          <w:rFonts w:hint="eastAsia"/>
          <w:color w:val="000000"/>
          <w:sz w:val="24"/>
          <w:szCs w:val="24"/>
        </w:rPr>
        <w:t>，额定转速为</w:t>
      </w:r>
      <w:r>
        <w:rPr>
          <w:color w:val="000000"/>
          <w:sz w:val="24"/>
          <w:szCs w:val="24"/>
        </w:rPr>
        <w:t>730r/min</w:t>
      </w:r>
      <w:r>
        <w:rPr>
          <w:rFonts w:hint="eastAsia"/>
          <w:color w:val="000000"/>
          <w:sz w:val="24"/>
          <w:szCs w:val="24"/>
        </w:rPr>
        <w:t>，电压为</w:t>
      </w:r>
      <w:r>
        <w:rPr>
          <w:color w:val="000000"/>
          <w:sz w:val="24"/>
          <w:szCs w:val="24"/>
        </w:rPr>
        <w:t>380v</w:t>
      </w:r>
      <w:r>
        <w:rPr>
          <w:rFonts w:hint="eastAsia"/>
          <w:color w:val="000000"/>
          <w:sz w:val="24"/>
          <w:szCs w:val="24"/>
        </w:rPr>
        <w:t>。</w:t>
      </w:r>
    </w:p>
    <w:p>
      <w:pPr>
        <w:spacing w:line="360" w:lineRule="auto"/>
        <w:ind w:firstLine="480" w:firstLineChars="200"/>
        <w:rPr>
          <w:color w:val="000000"/>
          <w:sz w:val="24"/>
          <w:szCs w:val="24"/>
        </w:rPr>
      </w:pPr>
      <w:r>
        <w:rPr>
          <w:rFonts w:hint="eastAsia"/>
          <w:color w:val="000000"/>
          <w:sz w:val="24"/>
          <w:szCs w:val="24"/>
        </w:rPr>
        <w:t>斜井铺轨：</w:t>
      </w:r>
      <w:r>
        <w:rPr>
          <w:color w:val="000000"/>
          <w:sz w:val="24"/>
          <w:szCs w:val="24"/>
        </w:rPr>
        <w:t>15kg</w:t>
      </w:r>
      <w:r>
        <w:rPr>
          <w:rFonts w:hint="eastAsia"/>
          <w:color w:val="000000"/>
          <w:sz w:val="24"/>
          <w:szCs w:val="24"/>
        </w:rPr>
        <w:t>钢轨（木轨枕碎石道床），轨距</w:t>
      </w:r>
      <w:r>
        <w:rPr>
          <w:color w:val="000000"/>
          <w:sz w:val="24"/>
          <w:szCs w:val="24"/>
        </w:rPr>
        <w:t>600mm</w:t>
      </w:r>
      <w:r>
        <w:rPr>
          <w:rFonts w:hint="eastAsia"/>
          <w:color w:val="000000"/>
          <w:sz w:val="24"/>
          <w:szCs w:val="24"/>
        </w:rPr>
        <w:t>。</w:t>
      </w:r>
    </w:p>
    <w:p>
      <w:pPr>
        <w:spacing w:line="360" w:lineRule="auto"/>
        <w:ind w:firstLine="480" w:firstLineChars="200"/>
        <w:rPr>
          <w:color w:val="000000"/>
          <w:sz w:val="24"/>
          <w:szCs w:val="24"/>
        </w:rPr>
      </w:pPr>
      <w:r>
        <w:rPr>
          <w:color w:val="000000"/>
          <w:sz w:val="24"/>
          <w:szCs w:val="24"/>
        </w:rPr>
        <w:t>1540m-1675m</w:t>
      </w:r>
      <w:r>
        <w:rPr>
          <w:rFonts w:hint="eastAsia"/>
          <w:color w:val="000000"/>
          <w:sz w:val="24"/>
          <w:szCs w:val="24"/>
        </w:rPr>
        <w:t>明提升斜坡道：斜井铺轨：</w:t>
      </w:r>
      <w:r>
        <w:rPr>
          <w:color w:val="000000"/>
          <w:sz w:val="24"/>
          <w:szCs w:val="24"/>
        </w:rPr>
        <w:t>15kg</w:t>
      </w:r>
      <w:r>
        <w:rPr>
          <w:rFonts w:hint="eastAsia"/>
          <w:color w:val="000000"/>
          <w:sz w:val="24"/>
          <w:szCs w:val="24"/>
        </w:rPr>
        <w:t>钢轨（木轨枕碎石道床），轨距</w:t>
      </w:r>
      <w:r>
        <w:rPr>
          <w:color w:val="000000"/>
          <w:sz w:val="24"/>
          <w:szCs w:val="24"/>
        </w:rPr>
        <w:t>600mm</w:t>
      </w:r>
      <w:r>
        <w:rPr>
          <w:rFonts w:hint="eastAsia"/>
          <w:color w:val="000000"/>
          <w:sz w:val="24"/>
          <w:szCs w:val="24"/>
        </w:rPr>
        <w:t>，斜井倾角</w:t>
      </w:r>
      <w:r>
        <w:rPr>
          <w:color w:val="000000"/>
          <w:sz w:val="24"/>
          <w:szCs w:val="24"/>
        </w:rPr>
        <w:t>28º</w:t>
      </w:r>
      <w:r>
        <w:rPr>
          <w:rFonts w:hint="eastAsia"/>
          <w:color w:val="000000"/>
          <w:sz w:val="24"/>
          <w:szCs w:val="24"/>
        </w:rPr>
        <w:t>，斜井长度</w:t>
      </w:r>
      <w:r>
        <w:rPr>
          <w:color w:val="000000"/>
          <w:sz w:val="24"/>
          <w:szCs w:val="24"/>
        </w:rPr>
        <w:t>288m</w:t>
      </w:r>
      <w:r>
        <w:rPr>
          <w:rFonts w:hint="eastAsia"/>
          <w:color w:val="000000"/>
          <w:sz w:val="24"/>
          <w:szCs w:val="24"/>
        </w:rPr>
        <w:t>，斜井卷扬机房设置在标高</w:t>
      </w:r>
      <w:r>
        <w:rPr>
          <w:color w:val="000000"/>
          <w:sz w:val="24"/>
          <w:szCs w:val="24"/>
        </w:rPr>
        <w:t>1675m</w:t>
      </w:r>
      <w:r>
        <w:rPr>
          <w:rFonts w:hint="eastAsia"/>
          <w:color w:val="000000"/>
          <w:sz w:val="24"/>
          <w:szCs w:val="24"/>
        </w:rPr>
        <w:t>，提升垂高</w:t>
      </w:r>
      <w:r>
        <w:rPr>
          <w:color w:val="000000"/>
          <w:sz w:val="24"/>
          <w:szCs w:val="24"/>
        </w:rPr>
        <w:t>135m</w:t>
      </w:r>
      <w:r>
        <w:rPr>
          <w:rFonts w:hint="eastAsia"/>
          <w:color w:val="000000"/>
          <w:sz w:val="24"/>
          <w:szCs w:val="24"/>
        </w:rPr>
        <w:t>，主要时地表矿石的提升运输。</w:t>
      </w:r>
    </w:p>
    <w:p>
      <w:pPr>
        <w:spacing w:line="360" w:lineRule="auto"/>
        <w:ind w:firstLine="480" w:firstLineChars="200"/>
        <w:rPr>
          <w:color w:val="000000"/>
          <w:sz w:val="24"/>
          <w:szCs w:val="24"/>
        </w:rPr>
      </w:pPr>
      <w:r>
        <w:rPr>
          <w:rFonts w:hint="eastAsia"/>
          <w:color w:val="000000"/>
          <w:sz w:val="24"/>
          <w:szCs w:val="24"/>
        </w:rPr>
        <w:t>c)无轨斜坡道</w:t>
      </w:r>
    </w:p>
    <w:p>
      <w:pPr>
        <w:spacing w:line="360" w:lineRule="auto"/>
        <w:ind w:firstLine="480" w:firstLineChars="200"/>
        <w:rPr>
          <w:color w:val="000000"/>
          <w:sz w:val="24"/>
          <w:szCs w:val="24"/>
        </w:rPr>
      </w:pPr>
      <w:r>
        <w:rPr>
          <w:rFonts w:hint="eastAsia"/>
          <w:color w:val="000000"/>
          <w:sz w:val="24"/>
          <w:szCs w:val="24"/>
        </w:rPr>
        <w:t>目前主要在东部采场形成了</w:t>
      </w:r>
      <w:r>
        <w:rPr>
          <w:color w:val="000000"/>
          <w:sz w:val="24"/>
          <w:szCs w:val="24"/>
        </w:rPr>
        <w:t>1560m-1590m</w:t>
      </w:r>
      <w:r>
        <w:rPr>
          <w:rFonts w:hint="eastAsia"/>
          <w:color w:val="000000"/>
          <w:sz w:val="24"/>
          <w:szCs w:val="24"/>
        </w:rPr>
        <w:t>无轨斜坡道、在中部采场形成了</w:t>
      </w:r>
      <w:r>
        <w:rPr>
          <w:color w:val="000000"/>
          <w:sz w:val="24"/>
          <w:szCs w:val="24"/>
        </w:rPr>
        <w:t>1575m-1590m</w:t>
      </w:r>
      <w:r>
        <w:rPr>
          <w:rFonts w:hint="eastAsia"/>
          <w:color w:val="000000"/>
          <w:sz w:val="24"/>
          <w:szCs w:val="24"/>
        </w:rPr>
        <w:t>无轨斜坡道，两斜坡道通过位于中部采场的</w:t>
      </w:r>
      <w:r>
        <w:rPr>
          <w:color w:val="000000"/>
          <w:sz w:val="24"/>
          <w:szCs w:val="24"/>
        </w:rPr>
        <w:t>1590m</w:t>
      </w:r>
      <w:r>
        <w:rPr>
          <w:rFonts w:hint="eastAsia"/>
          <w:color w:val="000000"/>
          <w:sz w:val="24"/>
          <w:szCs w:val="24"/>
        </w:rPr>
        <w:t>回风平巷联通。</w:t>
      </w:r>
    </w:p>
    <w:p>
      <w:pPr>
        <w:spacing w:line="360" w:lineRule="auto"/>
        <w:ind w:firstLine="480" w:firstLineChars="200"/>
        <w:rPr>
          <w:color w:val="000000"/>
          <w:sz w:val="24"/>
          <w:szCs w:val="24"/>
        </w:rPr>
      </w:pPr>
      <w:r>
        <w:rPr>
          <w:color w:val="000000"/>
          <w:sz w:val="24"/>
          <w:szCs w:val="24"/>
        </w:rPr>
        <w:t>1560m-1590m</w:t>
      </w:r>
      <w:r>
        <w:rPr>
          <w:rFonts w:hint="eastAsia"/>
          <w:color w:val="000000"/>
          <w:sz w:val="24"/>
          <w:szCs w:val="24"/>
        </w:rPr>
        <w:t>无轨斜坡道：斜坡道倾角</w:t>
      </w:r>
      <w:r>
        <w:rPr>
          <w:color w:val="000000"/>
          <w:sz w:val="24"/>
          <w:szCs w:val="24"/>
        </w:rPr>
        <w:t>6-7º</w:t>
      </w:r>
      <w:r>
        <w:rPr>
          <w:rFonts w:hint="eastAsia"/>
          <w:color w:val="000000"/>
          <w:sz w:val="24"/>
          <w:szCs w:val="24"/>
        </w:rPr>
        <w:t>，斜坡长度</w:t>
      </w:r>
      <w:r>
        <w:rPr>
          <w:color w:val="000000"/>
          <w:sz w:val="24"/>
          <w:szCs w:val="24"/>
        </w:rPr>
        <w:t>364m</w:t>
      </w:r>
      <w:r>
        <w:rPr>
          <w:rFonts w:hint="eastAsia"/>
          <w:color w:val="000000"/>
          <w:sz w:val="24"/>
          <w:szCs w:val="24"/>
        </w:rPr>
        <w:t>，断面尺寸为</w:t>
      </w:r>
      <w:r>
        <w:rPr>
          <w:color w:val="000000"/>
          <w:sz w:val="24"/>
          <w:szCs w:val="24"/>
        </w:rPr>
        <w:t>2.2m×2.5m</w:t>
      </w:r>
      <w:r>
        <w:rPr>
          <w:rFonts w:hint="eastAsia"/>
          <w:color w:val="000000"/>
          <w:sz w:val="24"/>
          <w:szCs w:val="24"/>
        </w:rPr>
        <w:t>，坑内运输设备选用时力</w:t>
      </w:r>
      <w:r>
        <w:rPr>
          <w:color w:val="000000"/>
          <w:sz w:val="24"/>
          <w:szCs w:val="24"/>
        </w:rPr>
        <w:t>UQ-8</w:t>
      </w:r>
      <w:r>
        <w:rPr>
          <w:rFonts w:hint="eastAsia"/>
          <w:color w:val="000000"/>
          <w:sz w:val="24"/>
          <w:szCs w:val="24"/>
        </w:rPr>
        <w:t>四驱矿用车运输矿石、废石以及材料和设备。</w:t>
      </w:r>
    </w:p>
    <w:p>
      <w:pPr>
        <w:spacing w:line="360" w:lineRule="auto"/>
        <w:ind w:firstLine="480" w:firstLineChars="200"/>
        <w:rPr>
          <w:color w:val="000000"/>
          <w:sz w:val="24"/>
          <w:szCs w:val="24"/>
        </w:rPr>
      </w:pPr>
      <w:r>
        <w:rPr>
          <w:color w:val="000000"/>
          <w:sz w:val="24"/>
          <w:szCs w:val="24"/>
        </w:rPr>
        <w:t>1575m-1590m</w:t>
      </w:r>
      <w:r>
        <w:rPr>
          <w:rFonts w:hint="eastAsia"/>
          <w:color w:val="000000"/>
          <w:sz w:val="24"/>
          <w:szCs w:val="24"/>
        </w:rPr>
        <w:t>无轨斜坡道：斜坡道倾角</w:t>
      </w:r>
      <w:r>
        <w:rPr>
          <w:color w:val="000000"/>
          <w:sz w:val="24"/>
          <w:szCs w:val="24"/>
        </w:rPr>
        <w:t>6-7º</w:t>
      </w:r>
      <w:r>
        <w:rPr>
          <w:rFonts w:hint="eastAsia"/>
          <w:color w:val="000000"/>
          <w:sz w:val="24"/>
          <w:szCs w:val="24"/>
        </w:rPr>
        <w:t>，斜坡长度</w:t>
      </w:r>
      <w:r>
        <w:rPr>
          <w:color w:val="000000"/>
          <w:sz w:val="24"/>
          <w:szCs w:val="24"/>
        </w:rPr>
        <w:t>196m</w:t>
      </w:r>
      <w:r>
        <w:rPr>
          <w:rFonts w:hint="eastAsia"/>
          <w:color w:val="000000"/>
          <w:sz w:val="24"/>
          <w:szCs w:val="24"/>
        </w:rPr>
        <w:t>，断面尺寸为</w:t>
      </w:r>
      <w:r>
        <w:rPr>
          <w:color w:val="000000"/>
          <w:sz w:val="24"/>
          <w:szCs w:val="24"/>
        </w:rPr>
        <w:t>2.2m×2.5m</w:t>
      </w:r>
      <w:r>
        <w:rPr>
          <w:rFonts w:hint="eastAsia"/>
          <w:color w:val="000000"/>
          <w:sz w:val="24"/>
          <w:szCs w:val="24"/>
        </w:rPr>
        <w:t>，坑内运输设备选用时力</w:t>
      </w:r>
      <w:r>
        <w:rPr>
          <w:color w:val="000000"/>
          <w:sz w:val="24"/>
          <w:szCs w:val="24"/>
        </w:rPr>
        <w:t>UQ-8</w:t>
      </w:r>
      <w:r>
        <w:rPr>
          <w:rFonts w:hint="eastAsia"/>
          <w:color w:val="000000"/>
          <w:sz w:val="24"/>
          <w:szCs w:val="24"/>
        </w:rPr>
        <w:t>四驱矿用车运输矿石、废石以及材料和设备。</w:t>
      </w:r>
    </w:p>
    <w:p>
      <w:pPr>
        <w:spacing w:line="360" w:lineRule="auto"/>
        <w:ind w:firstLine="480" w:firstLineChars="200"/>
        <w:rPr>
          <w:color w:val="000000"/>
          <w:sz w:val="24"/>
          <w:szCs w:val="24"/>
        </w:rPr>
      </w:pPr>
      <w:r>
        <w:rPr>
          <w:rFonts w:hint="eastAsia"/>
          <w:color w:val="000000"/>
          <w:sz w:val="24"/>
          <w:szCs w:val="24"/>
        </w:rPr>
        <w:t>d)溜井</w:t>
      </w:r>
    </w:p>
    <w:p>
      <w:pPr>
        <w:spacing w:line="360" w:lineRule="auto"/>
        <w:ind w:firstLine="480" w:firstLineChars="200"/>
        <w:rPr>
          <w:color w:val="000000"/>
          <w:sz w:val="24"/>
          <w:szCs w:val="24"/>
        </w:rPr>
      </w:pPr>
      <w:r>
        <w:rPr>
          <w:rFonts w:hint="eastAsia"/>
          <w:color w:val="000000"/>
          <w:sz w:val="24"/>
          <w:szCs w:val="24"/>
        </w:rPr>
        <w:t>目前形成的溜井主要有：东部采场的</w:t>
      </w:r>
      <w:r>
        <w:rPr>
          <w:color w:val="000000"/>
          <w:sz w:val="24"/>
          <w:szCs w:val="24"/>
        </w:rPr>
        <w:t>1560m-1540m</w:t>
      </w:r>
      <w:r>
        <w:rPr>
          <w:rFonts w:hint="eastAsia"/>
          <w:color w:val="000000"/>
          <w:sz w:val="24"/>
          <w:szCs w:val="24"/>
        </w:rPr>
        <w:t>矿石、废石溜井；中部采场的</w:t>
      </w:r>
      <w:r>
        <w:rPr>
          <w:color w:val="000000"/>
          <w:sz w:val="24"/>
          <w:szCs w:val="24"/>
        </w:rPr>
        <w:t>1575m-1540m</w:t>
      </w:r>
      <w:r>
        <w:rPr>
          <w:rFonts w:hint="eastAsia"/>
          <w:color w:val="000000"/>
          <w:sz w:val="24"/>
          <w:szCs w:val="24"/>
        </w:rPr>
        <w:t>矿石、废石溜井以及</w:t>
      </w:r>
      <w:r>
        <w:rPr>
          <w:color w:val="000000"/>
          <w:sz w:val="24"/>
          <w:szCs w:val="24"/>
        </w:rPr>
        <w:t>1540m-1490m</w:t>
      </w:r>
      <w:r>
        <w:rPr>
          <w:rFonts w:hint="eastAsia"/>
          <w:color w:val="000000"/>
          <w:sz w:val="24"/>
          <w:szCs w:val="24"/>
        </w:rPr>
        <w:t>废石溜井，溜井的断面尺寸为：直径</w:t>
      </w:r>
      <w:r>
        <w:rPr>
          <w:color w:val="000000"/>
          <w:sz w:val="24"/>
          <w:szCs w:val="24"/>
        </w:rPr>
        <w:t>2.0m</w:t>
      </w:r>
      <w:r>
        <w:rPr>
          <w:rFonts w:hint="eastAsia"/>
          <w:color w:val="000000"/>
          <w:sz w:val="24"/>
          <w:szCs w:val="24"/>
        </w:rPr>
        <w:t>。</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④运输系统</w:t>
      </w:r>
    </w:p>
    <w:p>
      <w:pPr>
        <w:spacing w:line="360" w:lineRule="auto"/>
        <w:ind w:firstLine="480" w:firstLineChars="200"/>
        <w:rPr>
          <w:color w:val="000000"/>
          <w:sz w:val="24"/>
          <w:szCs w:val="24"/>
        </w:rPr>
      </w:pPr>
      <w:r>
        <w:rPr>
          <w:rFonts w:hint="eastAsia"/>
          <w:color w:val="000000"/>
          <w:sz w:val="24"/>
          <w:szCs w:val="24"/>
        </w:rPr>
        <w:t>根据矿山目前开拓运输现状，矿山目前</w:t>
      </w:r>
      <w:r>
        <w:rPr>
          <w:color w:val="000000"/>
          <w:sz w:val="24"/>
          <w:szCs w:val="24"/>
        </w:rPr>
        <w:t>1540m</w:t>
      </w:r>
      <w:r>
        <w:rPr>
          <w:rFonts w:hint="eastAsia"/>
          <w:color w:val="000000"/>
          <w:sz w:val="24"/>
          <w:szCs w:val="24"/>
        </w:rPr>
        <w:t>、</w:t>
      </w:r>
      <w:r>
        <w:rPr>
          <w:color w:val="000000"/>
          <w:sz w:val="24"/>
          <w:szCs w:val="24"/>
        </w:rPr>
        <w:t>1490m</w:t>
      </w:r>
      <w:r>
        <w:rPr>
          <w:rFonts w:hint="eastAsia"/>
          <w:color w:val="000000"/>
          <w:sz w:val="24"/>
          <w:szCs w:val="24"/>
        </w:rPr>
        <w:t>主运输主巷均采用</w:t>
      </w:r>
      <w:r>
        <w:rPr>
          <w:color w:val="000000"/>
          <w:sz w:val="24"/>
          <w:szCs w:val="24"/>
        </w:rPr>
        <w:t>3t</w:t>
      </w:r>
      <w:r>
        <w:rPr>
          <w:rFonts w:hint="eastAsia"/>
          <w:color w:val="000000"/>
          <w:sz w:val="24"/>
          <w:szCs w:val="24"/>
        </w:rPr>
        <w:t>电机车牵引</w:t>
      </w:r>
      <w:r>
        <w:rPr>
          <w:color w:val="000000"/>
          <w:sz w:val="24"/>
          <w:szCs w:val="24"/>
        </w:rPr>
        <w:t>0.7m</w:t>
      </w:r>
      <w:r>
        <w:rPr>
          <w:color w:val="000000"/>
          <w:sz w:val="24"/>
          <w:szCs w:val="24"/>
          <w:vertAlign w:val="superscript"/>
        </w:rPr>
        <w:t>3</w:t>
      </w:r>
      <w:r>
        <w:rPr>
          <w:rFonts w:hint="eastAsia"/>
          <w:color w:val="000000"/>
          <w:sz w:val="24"/>
          <w:szCs w:val="24"/>
        </w:rPr>
        <w:t>矿车进行运输，东部采场及中部采场采用时力</w:t>
      </w:r>
      <w:r>
        <w:rPr>
          <w:color w:val="000000"/>
          <w:sz w:val="24"/>
          <w:szCs w:val="24"/>
        </w:rPr>
        <w:t>UQ-8</w:t>
      </w:r>
      <w:r>
        <w:rPr>
          <w:rFonts w:hint="eastAsia"/>
          <w:color w:val="000000"/>
          <w:sz w:val="24"/>
          <w:szCs w:val="24"/>
        </w:rPr>
        <w:t>四驱矿用车运输矿石、废石以及材料和设备。</w:t>
      </w:r>
    </w:p>
    <w:p>
      <w:pPr>
        <w:spacing w:line="360" w:lineRule="auto"/>
        <w:ind w:firstLine="480" w:firstLineChars="200"/>
        <w:rPr>
          <w:color w:val="000000"/>
          <w:sz w:val="24"/>
          <w:szCs w:val="24"/>
        </w:rPr>
      </w:pPr>
      <w:r>
        <w:rPr>
          <w:rFonts w:hint="eastAsia"/>
          <w:color w:val="000000"/>
          <w:sz w:val="24"/>
          <w:szCs w:val="24"/>
        </w:rPr>
        <w:t>a)矿石运输</w:t>
      </w:r>
    </w:p>
    <w:p>
      <w:pPr>
        <w:spacing w:line="360" w:lineRule="auto"/>
        <w:ind w:firstLine="480" w:firstLineChars="200"/>
        <w:rPr>
          <w:color w:val="000000"/>
          <w:sz w:val="24"/>
          <w:szCs w:val="24"/>
        </w:rPr>
      </w:pPr>
      <w:r>
        <w:rPr>
          <w:rFonts w:hint="eastAsia"/>
          <w:color w:val="000000"/>
          <w:sz w:val="24"/>
          <w:szCs w:val="24"/>
        </w:rPr>
        <w:t>各矿块采下的矿石经通过时力</w:t>
      </w:r>
      <w:r>
        <w:rPr>
          <w:color w:val="000000"/>
          <w:sz w:val="24"/>
          <w:szCs w:val="24"/>
        </w:rPr>
        <w:t>UQ-8</w:t>
      </w:r>
      <w:r>
        <w:rPr>
          <w:rFonts w:hint="eastAsia"/>
          <w:color w:val="000000"/>
          <w:sz w:val="24"/>
          <w:szCs w:val="24"/>
        </w:rPr>
        <w:t>四驱矿用车运输至溜井，之后采用</w:t>
      </w:r>
      <w:r>
        <w:rPr>
          <w:color w:val="000000"/>
          <w:sz w:val="24"/>
          <w:szCs w:val="24"/>
        </w:rPr>
        <w:t>3t</w:t>
      </w:r>
      <w:r>
        <w:rPr>
          <w:rFonts w:hint="eastAsia"/>
          <w:color w:val="000000"/>
          <w:sz w:val="24"/>
          <w:szCs w:val="24"/>
        </w:rPr>
        <w:t>电机车牵引</w:t>
      </w:r>
      <w:r>
        <w:rPr>
          <w:color w:val="000000"/>
          <w:sz w:val="24"/>
          <w:szCs w:val="24"/>
        </w:rPr>
        <w:t>0.7m</w:t>
      </w:r>
      <w:r>
        <w:rPr>
          <w:color w:val="000000"/>
          <w:sz w:val="24"/>
          <w:szCs w:val="24"/>
          <w:vertAlign w:val="superscript"/>
        </w:rPr>
        <w:t>3</w:t>
      </w:r>
      <w:r>
        <w:rPr>
          <w:rFonts w:hint="eastAsia"/>
          <w:color w:val="000000"/>
          <w:sz w:val="24"/>
          <w:szCs w:val="24"/>
        </w:rPr>
        <w:t>侧翻式矿车沿</w:t>
      </w:r>
      <w:r>
        <w:rPr>
          <w:color w:val="000000"/>
          <w:sz w:val="24"/>
          <w:szCs w:val="24"/>
        </w:rPr>
        <w:t>1540m</w:t>
      </w:r>
      <w:r>
        <w:rPr>
          <w:rFonts w:hint="eastAsia"/>
          <w:color w:val="000000"/>
          <w:sz w:val="24"/>
          <w:szCs w:val="24"/>
        </w:rPr>
        <w:t>运输主巷运输至</w:t>
      </w:r>
      <w:r>
        <w:rPr>
          <w:color w:val="000000"/>
          <w:sz w:val="24"/>
          <w:szCs w:val="24"/>
        </w:rPr>
        <w:t>1540-1600m</w:t>
      </w:r>
      <w:r>
        <w:rPr>
          <w:rFonts w:hint="eastAsia"/>
          <w:color w:val="000000"/>
          <w:sz w:val="24"/>
          <w:szCs w:val="24"/>
        </w:rPr>
        <w:t>斜井井底车场，之后采用提升机提升出地表，地表至选厂由汽车进行运输。</w:t>
      </w:r>
    </w:p>
    <w:p>
      <w:pPr>
        <w:spacing w:line="360" w:lineRule="auto"/>
        <w:ind w:firstLine="480" w:firstLineChars="200"/>
        <w:rPr>
          <w:color w:val="000000"/>
          <w:sz w:val="24"/>
          <w:szCs w:val="24"/>
        </w:rPr>
      </w:pPr>
      <w:r>
        <w:rPr>
          <w:rFonts w:hint="eastAsia"/>
          <w:color w:val="000000"/>
          <w:sz w:val="24"/>
          <w:szCs w:val="24"/>
        </w:rPr>
        <w:t>b)废石运输</w:t>
      </w:r>
    </w:p>
    <w:p>
      <w:pPr>
        <w:spacing w:line="360" w:lineRule="auto"/>
        <w:ind w:firstLine="480" w:firstLineChars="200"/>
        <w:rPr>
          <w:color w:val="000000"/>
          <w:sz w:val="24"/>
          <w:szCs w:val="24"/>
        </w:rPr>
      </w:pPr>
      <w:r>
        <w:rPr>
          <w:rFonts w:hint="eastAsia"/>
          <w:color w:val="000000"/>
          <w:sz w:val="24"/>
          <w:szCs w:val="24"/>
        </w:rPr>
        <w:t>各矿房产生部分废石留在空区内，部分通过时力</w:t>
      </w:r>
      <w:r>
        <w:rPr>
          <w:color w:val="000000"/>
          <w:sz w:val="24"/>
          <w:szCs w:val="24"/>
        </w:rPr>
        <w:t>UQ-8</w:t>
      </w:r>
      <w:r>
        <w:rPr>
          <w:rFonts w:hint="eastAsia"/>
          <w:color w:val="000000"/>
          <w:sz w:val="24"/>
          <w:szCs w:val="24"/>
        </w:rPr>
        <w:t>四驱矿用车运输至溜井下放至</w:t>
      </w:r>
      <w:r>
        <w:rPr>
          <w:color w:val="000000"/>
          <w:sz w:val="24"/>
          <w:szCs w:val="24"/>
        </w:rPr>
        <w:t>1540m</w:t>
      </w:r>
      <w:r>
        <w:rPr>
          <w:rFonts w:hint="eastAsia"/>
          <w:color w:val="000000"/>
          <w:sz w:val="24"/>
          <w:szCs w:val="24"/>
        </w:rPr>
        <w:t>主运输巷，之后由</w:t>
      </w:r>
      <w:r>
        <w:rPr>
          <w:color w:val="000000"/>
          <w:sz w:val="24"/>
          <w:szCs w:val="24"/>
        </w:rPr>
        <w:t>3t</w:t>
      </w:r>
      <w:r>
        <w:rPr>
          <w:rFonts w:hint="eastAsia"/>
          <w:color w:val="000000"/>
          <w:sz w:val="24"/>
          <w:szCs w:val="24"/>
        </w:rPr>
        <w:t>电机车牵引运输至</w:t>
      </w:r>
      <w:r>
        <w:rPr>
          <w:color w:val="000000"/>
          <w:sz w:val="24"/>
          <w:szCs w:val="24"/>
        </w:rPr>
        <w:t>1540-1490m</w:t>
      </w:r>
      <w:r>
        <w:rPr>
          <w:rFonts w:hint="eastAsia"/>
          <w:color w:val="000000"/>
          <w:sz w:val="24"/>
          <w:szCs w:val="24"/>
        </w:rPr>
        <w:t>废石溜井，下放至</w:t>
      </w:r>
      <w:r>
        <w:rPr>
          <w:color w:val="000000"/>
          <w:sz w:val="24"/>
          <w:szCs w:val="24"/>
        </w:rPr>
        <w:t>1490m</w:t>
      </w:r>
      <w:r>
        <w:rPr>
          <w:rFonts w:hint="eastAsia"/>
          <w:color w:val="000000"/>
          <w:sz w:val="24"/>
          <w:szCs w:val="24"/>
        </w:rPr>
        <w:t>运输巷后，由</w:t>
      </w:r>
      <w:r>
        <w:rPr>
          <w:color w:val="000000"/>
          <w:sz w:val="24"/>
          <w:szCs w:val="24"/>
        </w:rPr>
        <w:t>3t</w:t>
      </w:r>
      <w:r>
        <w:rPr>
          <w:rFonts w:hint="eastAsia"/>
          <w:color w:val="000000"/>
          <w:sz w:val="24"/>
          <w:szCs w:val="24"/>
        </w:rPr>
        <w:t>电机车牵引运输至</w:t>
      </w:r>
      <w:r>
        <w:rPr>
          <w:color w:val="000000"/>
          <w:sz w:val="24"/>
          <w:szCs w:val="24"/>
        </w:rPr>
        <w:t>1540-1490m</w:t>
      </w:r>
      <w:r>
        <w:rPr>
          <w:rFonts w:hint="eastAsia"/>
          <w:color w:val="000000"/>
          <w:sz w:val="24"/>
          <w:szCs w:val="24"/>
        </w:rPr>
        <w:t>斜井井底车场后，由斜井提升出地表。</w:t>
      </w:r>
    </w:p>
    <w:p>
      <w:pPr>
        <w:spacing w:line="360" w:lineRule="auto"/>
        <w:ind w:firstLine="480" w:firstLineChars="200"/>
        <w:rPr>
          <w:color w:val="000000"/>
          <w:sz w:val="24"/>
          <w:szCs w:val="24"/>
        </w:rPr>
      </w:pPr>
      <w:r>
        <w:rPr>
          <w:rFonts w:hint="eastAsia"/>
          <w:color w:val="000000"/>
          <w:sz w:val="24"/>
          <w:szCs w:val="24"/>
        </w:rPr>
        <w:t>c)设备材料运输</w:t>
      </w:r>
    </w:p>
    <w:p>
      <w:pPr>
        <w:spacing w:line="360" w:lineRule="auto"/>
        <w:ind w:firstLine="480" w:firstLineChars="200"/>
        <w:rPr>
          <w:color w:val="000000"/>
          <w:sz w:val="24"/>
          <w:szCs w:val="24"/>
        </w:rPr>
      </w:pPr>
      <w:r>
        <w:rPr>
          <w:rFonts w:hint="eastAsia"/>
          <w:color w:val="000000"/>
          <w:sz w:val="24"/>
          <w:szCs w:val="24"/>
        </w:rPr>
        <w:t>人员步行至</w:t>
      </w:r>
      <w:r>
        <w:rPr>
          <w:color w:val="000000"/>
          <w:sz w:val="24"/>
          <w:szCs w:val="24"/>
        </w:rPr>
        <w:t>1540-1600m</w:t>
      </w:r>
      <w:r>
        <w:rPr>
          <w:rFonts w:hint="eastAsia"/>
          <w:color w:val="000000"/>
          <w:sz w:val="24"/>
          <w:szCs w:val="24"/>
        </w:rPr>
        <w:t>斜井井口后，部分至各工作面；材料设备由选矿厂堆场通过台车下放至</w:t>
      </w:r>
      <w:r>
        <w:rPr>
          <w:color w:val="000000"/>
          <w:sz w:val="24"/>
          <w:szCs w:val="24"/>
        </w:rPr>
        <w:t>1540-1600m</w:t>
      </w:r>
      <w:r>
        <w:rPr>
          <w:rFonts w:hint="eastAsia"/>
          <w:color w:val="000000"/>
          <w:sz w:val="24"/>
          <w:szCs w:val="24"/>
        </w:rPr>
        <w:t>斜井井口，经</w:t>
      </w:r>
      <w:r>
        <w:rPr>
          <w:color w:val="000000"/>
          <w:sz w:val="24"/>
          <w:szCs w:val="24"/>
        </w:rPr>
        <w:t>1540-1600m</w:t>
      </w:r>
      <w:r>
        <w:rPr>
          <w:rFonts w:hint="eastAsia"/>
          <w:color w:val="000000"/>
          <w:sz w:val="24"/>
          <w:szCs w:val="24"/>
        </w:rPr>
        <w:t>斜井下放，再由</w:t>
      </w:r>
      <w:r>
        <w:rPr>
          <w:color w:val="000000"/>
          <w:sz w:val="24"/>
          <w:szCs w:val="24"/>
        </w:rPr>
        <w:t>3t</w:t>
      </w:r>
      <w:r>
        <w:rPr>
          <w:rFonts w:hint="eastAsia"/>
          <w:color w:val="000000"/>
          <w:sz w:val="24"/>
          <w:szCs w:val="24"/>
        </w:rPr>
        <w:t>电机车运输至工作面附近。</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⑤通风系统</w:t>
      </w:r>
    </w:p>
    <w:p>
      <w:pPr>
        <w:spacing w:line="360" w:lineRule="auto"/>
        <w:ind w:firstLine="480" w:firstLineChars="200"/>
        <w:rPr>
          <w:color w:val="000000"/>
          <w:sz w:val="24"/>
          <w:szCs w:val="24"/>
        </w:rPr>
      </w:pPr>
      <w:r>
        <w:rPr>
          <w:rFonts w:hint="eastAsia"/>
          <w:color w:val="000000"/>
          <w:sz w:val="24"/>
          <w:szCs w:val="24"/>
        </w:rPr>
        <w:t>矿山开采用机械抽出通风方式，风机型号为</w:t>
      </w:r>
      <w:r>
        <w:rPr>
          <w:color w:val="000000"/>
          <w:sz w:val="24"/>
          <w:szCs w:val="24"/>
        </w:rPr>
        <w:t>K40-4-NO10</w:t>
      </w:r>
      <w:r>
        <w:rPr>
          <w:rFonts w:hint="eastAsia"/>
          <w:color w:val="000000"/>
          <w:sz w:val="24"/>
          <w:szCs w:val="24"/>
        </w:rPr>
        <w:t>型风机，目前一台风机安设在位于北部的</w:t>
      </w:r>
      <w:r>
        <w:rPr>
          <w:color w:val="000000"/>
          <w:sz w:val="24"/>
          <w:szCs w:val="24"/>
        </w:rPr>
        <w:t>1590m</w:t>
      </w:r>
      <w:r>
        <w:rPr>
          <w:rFonts w:hint="eastAsia"/>
          <w:color w:val="000000"/>
          <w:sz w:val="24"/>
          <w:szCs w:val="24"/>
        </w:rPr>
        <w:t>回风巷口，一台风机安设在位于南部的</w:t>
      </w:r>
      <w:r>
        <w:rPr>
          <w:color w:val="000000"/>
          <w:sz w:val="24"/>
          <w:szCs w:val="24"/>
        </w:rPr>
        <w:t>1540m</w:t>
      </w:r>
      <w:r>
        <w:rPr>
          <w:rFonts w:hint="eastAsia"/>
          <w:color w:val="000000"/>
          <w:sz w:val="24"/>
          <w:szCs w:val="24"/>
        </w:rPr>
        <w:t>回风巷口。</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⑥给排水</w:t>
      </w:r>
    </w:p>
    <w:p>
      <w:pPr>
        <w:spacing w:line="360" w:lineRule="auto"/>
        <w:ind w:firstLine="480" w:firstLineChars="200"/>
        <w:rPr>
          <w:color w:val="000000"/>
          <w:sz w:val="24"/>
          <w:szCs w:val="24"/>
        </w:rPr>
      </w:pPr>
      <w:r>
        <w:rPr>
          <w:rFonts w:hint="eastAsia"/>
          <w:color w:val="000000"/>
          <w:sz w:val="24"/>
          <w:szCs w:val="24"/>
        </w:rPr>
        <w:t>地下涌水由</w:t>
      </w:r>
      <w:r>
        <w:rPr>
          <w:color w:val="000000"/>
          <w:sz w:val="24"/>
          <w:szCs w:val="24"/>
        </w:rPr>
        <w:t>1540m</w:t>
      </w:r>
      <w:r>
        <w:rPr>
          <w:rFonts w:hint="eastAsia"/>
          <w:color w:val="000000"/>
          <w:sz w:val="24"/>
          <w:szCs w:val="24"/>
        </w:rPr>
        <w:t>运输巷及</w:t>
      </w:r>
      <w:r>
        <w:rPr>
          <w:color w:val="000000"/>
          <w:sz w:val="24"/>
          <w:szCs w:val="24"/>
        </w:rPr>
        <w:t>1490m</w:t>
      </w:r>
      <w:r>
        <w:rPr>
          <w:rFonts w:hint="eastAsia"/>
          <w:color w:val="000000"/>
          <w:sz w:val="24"/>
          <w:szCs w:val="24"/>
        </w:rPr>
        <w:t>运输巷排出地表，部分回用于生产及外排。</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⑦供气</w:t>
      </w:r>
    </w:p>
    <w:p>
      <w:pPr>
        <w:spacing w:line="360" w:lineRule="auto"/>
        <w:ind w:firstLine="480" w:firstLineChars="200"/>
        <w:rPr>
          <w:color w:val="000000"/>
          <w:sz w:val="24"/>
          <w:szCs w:val="24"/>
        </w:rPr>
      </w:pPr>
      <w:r>
        <w:rPr>
          <w:rFonts w:hint="eastAsia"/>
          <w:color w:val="000000"/>
          <w:sz w:val="24"/>
          <w:szCs w:val="24"/>
        </w:rPr>
        <w:t>矿山供送压缩空气采用固定式空压机站供气方案，矿山现有</w:t>
      </w:r>
      <w:r>
        <w:rPr>
          <w:color w:val="000000"/>
          <w:sz w:val="24"/>
          <w:szCs w:val="24"/>
        </w:rPr>
        <w:t>2</w:t>
      </w:r>
      <w:r>
        <w:rPr>
          <w:rFonts w:hint="eastAsia"/>
          <w:color w:val="000000"/>
          <w:sz w:val="24"/>
          <w:szCs w:val="24"/>
        </w:rPr>
        <w:t>台</w:t>
      </w:r>
      <w:r>
        <w:rPr>
          <w:color w:val="000000"/>
          <w:sz w:val="24"/>
          <w:szCs w:val="24"/>
        </w:rPr>
        <w:t>LGH-21/7G </w:t>
      </w:r>
      <w:r>
        <w:rPr>
          <w:rFonts w:hint="eastAsia"/>
          <w:color w:val="000000"/>
          <w:sz w:val="24"/>
          <w:szCs w:val="24"/>
        </w:rPr>
        <w:t>型空压机，位于</w:t>
      </w:r>
      <w:r>
        <w:rPr>
          <w:color w:val="000000"/>
          <w:sz w:val="24"/>
          <w:szCs w:val="24"/>
        </w:rPr>
        <w:t>1540m</w:t>
      </w:r>
      <w:r>
        <w:rPr>
          <w:rFonts w:hint="eastAsia"/>
          <w:color w:val="000000"/>
          <w:sz w:val="24"/>
          <w:szCs w:val="24"/>
        </w:rPr>
        <w:t>出矿坑口附近，通过供风管向采场供气。</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⑧供电</w:t>
      </w:r>
    </w:p>
    <w:p>
      <w:pPr>
        <w:spacing w:line="360" w:lineRule="auto"/>
        <w:ind w:firstLine="480" w:firstLineChars="200"/>
        <w:rPr>
          <w:color w:val="000000"/>
          <w:sz w:val="24"/>
          <w:szCs w:val="24"/>
        </w:rPr>
      </w:pPr>
      <w:r>
        <w:rPr>
          <w:rFonts w:hint="eastAsia"/>
          <w:color w:val="000000"/>
          <w:sz w:val="24"/>
          <w:szCs w:val="24"/>
        </w:rPr>
        <w:t>外部供电由富乐</w:t>
      </w:r>
      <w:r>
        <w:rPr>
          <w:color w:val="000000"/>
          <w:sz w:val="24"/>
          <w:szCs w:val="24"/>
        </w:rPr>
        <w:t>10Kv</w:t>
      </w:r>
      <w:r>
        <w:rPr>
          <w:rFonts w:hint="eastAsia"/>
          <w:color w:val="000000"/>
          <w:sz w:val="24"/>
          <w:szCs w:val="24"/>
        </w:rPr>
        <w:t>变压器引来，能满足生产生活的需要。</w:t>
      </w:r>
    </w:p>
    <w:p>
      <w:pPr>
        <w:spacing w:line="360" w:lineRule="auto"/>
        <w:ind w:firstLine="480" w:firstLineChars="200"/>
        <w:rPr>
          <w:rFonts w:ascii="宋体" w:hAnsi="宋体"/>
          <w:color w:val="000000"/>
          <w:kern w:val="0"/>
          <w:sz w:val="24"/>
          <w:szCs w:val="24"/>
        </w:rPr>
      </w:pPr>
      <w:r>
        <w:rPr>
          <w:rFonts w:hint="eastAsia" w:ascii="宋体" w:hAnsi="宋体"/>
          <w:color w:val="000000"/>
          <w:kern w:val="0"/>
          <w:sz w:val="24"/>
          <w:szCs w:val="24"/>
        </w:rPr>
        <w:t>⑨废石场</w:t>
      </w:r>
    </w:p>
    <w:p>
      <w:pPr>
        <w:shd w:val="clear" w:color="auto" w:fill="FFFFFF"/>
        <w:spacing w:line="360" w:lineRule="auto"/>
        <w:ind w:firstLine="480" w:firstLineChars="200"/>
        <w:rPr>
          <w:rFonts w:hint="eastAsia" w:ascii="宋体" w:hAnsi="宋体" w:cs="仿宋"/>
          <w:color w:val="000000"/>
          <w:kern w:val="0"/>
          <w:sz w:val="24"/>
        </w:rPr>
      </w:pPr>
      <w:r>
        <w:rPr>
          <w:rFonts w:hint="eastAsia"/>
          <w:color w:val="000000"/>
          <w:sz w:val="24"/>
          <w:szCs w:val="24"/>
        </w:rPr>
        <w:t>矿山废石场位于</w:t>
      </w:r>
      <w:r>
        <w:rPr>
          <w:color w:val="000000"/>
          <w:sz w:val="24"/>
          <w:szCs w:val="24"/>
        </w:rPr>
        <w:t>1490-1540m</w:t>
      </w:r>
      <w:r>
        <w:rPr>
          <w:rFonts w:hint="eastAsia"/>
          <w:color w:val="000000"/>
          <w:sz w:val="24"/>
          <w:szCs w:val="24"/>
        </w:rPr>
        <w:t>提升斜井井口附近，容积约为</w:t>
      </w:r>
      <w:r>
        <w:rPr>
          <w:color w:val="000000"/>
          <w:sz w:val="24"/>
          <w:szCs w:val="24"/>
        </w:rPr>
        <w:t>10.8</w:t>
      </w:r>
      <w:r>
        <w:rPr>
          <w:rFonts w:hint="eastAsia"/>
          <w:color w:val="000000"/>
          <w:sz w:val="24"/>
          <w:szCs w:val="24"/>
        </w:rPr>
        <w:t>万</w:t>
      </w:r>
      <w:r>
        <w:rPr>
          <w:color w:val="000000"/>
          <w:sz w:val="24"/>
          <w:szCs w:val="24"/>
        </w:rPr>
        <w:t>m</w:t>
      </w:r>
      <w:r>
        <w:rPr>
          <w:color w:val="000000"/>
          <w:sz w:val="24"/>
          <w:szCs w:val="24"/>
          <w:vertAlign w:val="superscript"/>
        </w:rPr>
        <w:t>3</w:t>
      </w:r>
      <w:r>
        <w:rPr>
          <w:rFonts w:hint="eastAsia"/>
          <w:color w:val="000000"/>
          <w:sz w:val="24"/>
          <w:szCs w:val="24"/>
        </w:rPr>
        <w:t>，目前堆存废石</w:t>
      </w:r>
      <w:r>
        <w:rPr>
          <w:rFonts w:hint="eastAsia" w:ascii="宋体" w:hAnsi="宋体" w:cs="仿宋"/>
          <w:color w:val="000000"/>
          <w:kern w:val="0"/>
          <w:sz w:val="24"/>
        </w:rPr>
        <w:t>主要由</w:t>
      </w:r>
      <w:r>
        <w:rPr>
          <w:rFonts w:ascii="宋体" w:hAnsi="宋体" w:cs="仿宋"/>
          <w:color w:val="000000"/>
          <w:kern w:val="0"/>
          <w:sz w:val="24"/>
        </w:rPr>
        <w:t>1490m</w:t>
      </w:r>
      <w:r>
        <w:rPr>
          <w:rFonts w:hint="eastAsia" w:ascii="宋体" w:hAnsi="宋体" w:cs="仿宋"/>
          <w:color w:val="000000"/>
          <w:kern w:val="0"/>
          <w:sz w:val="24"/>
        </w:rPr>
        <w:t>运输水平产生的废石，废石场内设有排水涵洞，并在下部设有混凝土拦石坝；废石场周边设有截洪沟。</w:t>
      </w:r>
    </w:p>
    <w:p>
      <w:pPr>
        <w:shd w:val="clear" w:color="auto" w:fill="FFFFFF"/>
        <w:spacing w:line="360" w:lineRule="auto"/>
        <w:ind w:firstLine="482" w:firstLineChars="200"/>
        <w:rPr>
          <w:rFonts w:hint="eastAsia" w:ascii="宋体" w:hAnsi="宋体" w:cs="仿宋"/>
          <w:b/>
          <w:color w:val="000000"/>
          <w:kern w:val="0"/>
          <w:sz w:val="24"/>
        </w:rPr>
      </w:pPr>
      <w:r>
        <w:rPr>
          <w:rFonts w:hint="eastAsia" w:ascii="宋体" w:hAnsi="宋体" w:cs="仿宋"/>
          <w:b/>
          <w:color w:val="000000"/>
          <w:kern w:val="0"/>
          <w:sz w:val="24"/>
        </w:rPr>
        <w:t>2.2.1.2选矿厂生产工艺流程</w:t>
      </w:r>
    </w:p>
    <w:p>
      <w:pPr>
        <w:shd w:val="clear" w:color="auto" w:fill="FFFFFF"/>
        <w:spacing w:line="360" w:lineRule="auto"/>
        <w:ind w:firstLine="480" w:firstLineChars="200"/>
        <w:rPr>
          <w:rFonts w:hint="eastAsia" w:ascii="宋体" w:hAnsi="宋体" w:cs="仿宋"/>
          <w:color w:val="000000"/>
          <w:kern w:val="0"/>
          <w:sz w:val="24"/>
        </w:rPr>
      </w:pPr>
      <w:bookmarkStart w:id="134" w:name="_Toc89585055"/>
      <w:r>
        <w:rPr>
          <w:rFonts w:hint="eastAsia" w:ascii="宋体" w:hAnsi="宋体" w:cs="仿宋"/>
          <w:color w:val="000000"/>
          <w:kern w:val="0"/>
          <w:sz w:val="24"/>
        </w:rPr>
        <w:t>选矿厂共有2个生产系统，分别为：日处理100吨铅、锌硫化矿矿石、日处理200吨铅、锌硫化矿矿石生产系统，矿石主要来源于云南罗平锌电股份有限公司采矿厂开采的硫化铅锌矿石，采用传统的浮选+重选工艺，主要工艺过程有碎矿、磨浮、浓密脱水、尾矿重选、尾矿脱水和水处理工序，主要产品有为锌精矿和铅精矿，</w:t>
      </w:r>
      <w:r>
        <w:rPr>
          <w:rFonts w:hint="eastAsia" w:ascii="宋体" w:hAnsi="宋体" w:cs="仿宋"/>
          <w:color w:val="000000"/>
          <w:sz w:val="24"/>
        </w:rPr>
        <w:t>产量为</w:t>
      </w:r>
      <w:r>
        <w:rPr>
          <w:rFonts w:hint="eastAsia" w:ascii="宋体" w:hAnsi="宋体" w:cs="宋体"/>
          <w:color w:val="000000"/>
          <w:kern w:val="0"/>
          <w:sz w:val="24"/>
        </w:rPr>
        <w:t>1万t/a</w:t>
      </w:r>
      <w:r>
        <w:rPr>
          <w:rFonts w:hint="eastAsia" w:ascii="宋体" w:hAnsi="宋体" w:cs="仿宋"/>
          <w:color w:val="000000"/>
          <w:kern w:val="0"/>
          <w:sz w:val="24"/>
        </w:rPr>
        <w:t>。</w:t>
      </w:r>
    </w:p>
    <w:bookmarkEnd w:id="134"/>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 xml:space="preserve">碎矿作业是选矿工艺第一道作业环节，目的是将进入选矿厂的原矿石破碎，达到一定的粒度，供下道工序（磨矿）使用，提高磨矿效率。通过粗碎和细碎两道工序，粗碎将原矿破碎至直径小于3cm的碎块，经皮带机传送到振动筛进行筛选，粒度小于1.2cm的进入球磨机，粒度大于1.2cm的进入圆磨机进行二次破碎，之后又进入振动筛进行筛选。破碎工段生产为间歇性生产，主要生产设备为破碎机。 </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进入球磨机的碎矿块磨至粒度75-80目，粗粒经螺旋分级机返回到球磨机中，通过球磨机将一定粒度的矿石磨成符合浮选要求的细度和浓度的矿浆，搅拌后的矿浆进入浮选槽浮选，整个浮选过程是一个串联流程，通过添加不同的药剂先选出铅精矿，再选锌精矿，然后进行浓密脱水。浮选流程：加入药剂、硫酸锌（抑制剂），经过二段粗选、三段精选和一段扫选，选得铅精矿进入铅精矿浓密机。再加入不同的药剂、硫酸铜（抑制剂），经过二段粗选、三段精选和一段扫选，选得锌精矿进入锌精矿浓密机。尾矿和废水进入小浮选工序回收有价金属，之后尾矿和废水经汇集池汇集后进入摇床重选工序，重选后的尾矿通过尾矿泵送到1号浓密池或二号浓密池，再通过陶瓷过滤机进行尾矿脱水处理，过滤后的尾矿暂存于尾矿仓，后送往鸡西尾矿库；重选后的尾水用水泵输送到水处理车间进行处理，处理达标后的尾水直接用于生产循环使用，做到尾水“零外排”。</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磨浮工段生产为连续稳定运行。主要生产设备为球磨机、浮选设备等。</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浮选采用的捕收剂（药剂）为丁基黄药，是黄药的一种。</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"http://wenwen.soso.com/z/Search.e?sp=S%E9%BB%84%E8%8D%AF&amp;ch=w.search.yjjlink&amp;cid=w.search.yjjlink"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黄药</w:t>
      </w:r>
      <w:r>
        <w:rPr>
          <w:rFonts w:hint="eastAsia" w:ascii="宋体" w:hAnsi="宋体" w:cs="仿宋"/>
          <w:color w:val="000000"/>
          <w:kern w:val="0"/>
          <w:sz w:val="24"/>
        </w:rPr>
        <w:fldChar w:fldCharType="end"/>
      </w:r>
      <w:r>
        <w:rPr>
          <w:rFonts w:hint="eastAsia" w:ascii="宋体" w:hAnsi="宋体" w:cs="仿宋"/>
          <w:color w:val="000000"/>
          <w:kern w:val="0"/>
          <w:sz w:val="24"/>
        </w:rPr>
        <w:t>是浮选硫化矿物（</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"http://wenwen.soso.com/z/Search.e?sp=S%E6%96%B9%E9%93%85%E7%9F%BF&amp;ch=w.search.yjjlink&amp;cid=w.search.yjjlink"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方铅矿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"http://wenwen.soso.com/z/Search.e?sp=S%E9%BB%84%E9%93%9C%E7%9F%BF&amp;ch=w.search.yjjlink&amp;cid=w.search.yjjlink"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黄铜矿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"http://wenwen.soso.com/z/Search.e?sp=S%E9%97%AA%E9%94%8C%E7%9F%BF&amp;ch=w.search.yjjlink&amp;cid=w.search.yjjlink"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闪锌矿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"http://wenwen.soso.com/z/Search.e?sp=S%E9%BB%84%E9%93%81%E7%9F%BF&amp;ch=w.search.yjjlink&amp;cid=w.search.yjjlink"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黄铁矿</w:t>
      </w:r>
      <w:r>
        <w:rPr>
          <w:rFonts w:hint="eastAsia" w:ascii="宋体" w:hAnsi="宋体" w:cs="仿宋"/>
          <w:color w:val="000000"/>
          <w:kern w:val="0"/>
          <w:sz w:val="24"/>
        </w:rPr>
        <w:fldChar w:fldCharType="end"/>
      </w:r>
      <w:r>
        <w:rPr>
          <w:rFonts w:hint="eastAsia" w:ascii="宋体" w:hAnsi="宋体" w:cs="仿宋"/>
          <w:color w:val="000000"/>
          <w:kern w:val="0"/>
          <w:sz w:val="24"/>
        </w:rPr>
        <w:t>等）最常用的捕收剂。黄药由醇、苛性钠、</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"http://wenwen.soso.com/z/Search.e?sp=S%E4%BA%8C%E7%A1%AB%E5%8C%96%E7%A2%B3&amp;ch=w.search.yjjlink&amp;cid=w.search.yjjlink"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二硫化碳</w:t>
      </w:r>
      <w:r>
        <w:rPr>
          <w:rFonts w:hint="eastAsia" w:ascii="宋体" w:hAnsi="宋体" w:cs="仿宋"/>
          <w:color w:val="000000"/>
          <w:kern w:val="0"/>
          <w:sz w:val="24"/>
        </w:rPr>
        <w:fldChar w:fldCharType="end"/>
      </w:r>
      <w:r>
        <w:rPr>
          <w:rFonts w:hint="eastAsia" w:ascii="宋体" w:hAnsi="宋体" w:cs="仿宋"/>
          <w:color w:val="000000"/>
          <w:kern w:val="0"/>
          <w:sz w:val="24"/>
        </w:rPr>
        <w:t>三种原料在一定温度（以15～35℃为宜）条件下作用而成。根据制备黄药时所用的醇的不同（乙醇、丁醇、</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"http://wenwen.soso.com/z/Search.e?sp=S%E6%88%8A%E9%86%87&amp;ch=w.search.yjjlink&amp;cid=w.search.yjjlink"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戊醇</w:t>
      </w:r>
      <w:r>
        <w:rPr>
          <w:rFonts w:hint="eastAsia" w:ascii="宋体" w:hAnsi="宋体" w:cs="仿宋"/>
          <w:color w:val="000000"/>
          <w:kern w:val="0"/>
          <w:sz w:val="24"/>
        </w:rPr>
        <w:fldChar w:fldCharType="end"/>
      </w:r>
      <w:r>
        <w:rPr>
          <w:rFonts w:hint="eastAsia" w:ascii="宋体" w:hAnsi="宋体" w:cs="仿宋"/>
          <w:color w:val="000000"/>
          <w:kern w:val="0"/>
          <w:sz w:val="24"/>
        </w:rPr>
        <w:t>等），所制得的黄药又分别为乙基黄药，丁基黄药，戊基黄药。黄药在常温下是固体的黄色粉末，带有刺激性臭味，有毒，但不是剧毒。它的化学成分是烃基二硫代碳酸盐，分子式为ROCSSMe，其中R为CnH2n+1类烃基，Me为金属钠或钾。黄药易溶于水，在溶解水中解离成黄原</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"http://wenwen.soso.com/z/Search.e?sp=S%E9%85%B8%E6%A0%B9&amp;ch=w.search.yjjlink&amp;cid=w.search.yjjlink"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酸根</w:t>
      </w:r>
      <w:r>
        <w:rPr>
          <w:rFonts w:hint="eastAsia" w:ascii="宋体" w:hAnsi="宋体" w:cs="仿宋"/>
          <w:color w:val="000000"/>
          <w:kern w:val="0"/>
          <w:sz w:val="24"/>
        </w:rPr>
        <w:fldChar w:fldCharType="end"/>
      </w:r>
      <w:r>
        <w:rPr>
          <w:rFonts w:hint="eastAsia" w:ascii="宋体" w:hAnsi="宋体" w:cs="仿宋"/>
          <w:color w:val="000000"/>
          <w:kern w:val="0"/>
          <w:sz w:val="24"/>
        </w:rPr>
        <w:t>阴离子和</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"http://wenwen.soso.com/z/Search.e?sp=S%E8%BD%BB%E9%87%91%E5%B1%9E&amp;ch=w.search.yjjlink&amp;cid=w.search.yjjlink"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轻金属</w:t>
      </w:r>
      <w:r>
        <w:rPr>
          <w:rFonts w:hint="eastAsia" w:ascii="宋体" w:hAnsi="宋体" w:cs="仿宋"/>
          <w:color w:val="000000"/>
          <w:kern w:val="0"/>
          <w:sz w:val="24"/>
        </w:rPr>
        <w:fldChar w:fldCharType="end"/>
      </w:r>
      <w:r>
        <w:rPr>
          <w:rFonts w:hint="eastAsia" w:ascii="宋体" w:hAnsi="宋体" w:cs="仿宋"/>
          <w:color w:val="000000"/>
          <w:kern w:val="0"/>
          <w:sz w:val="24"/>
        </w:rPr>
        <w:t>阳离子；黄原酸根阴离子在水溶液中遇金属阳离子生成对应的重金属黄原酸盐沉淀，为此具有捕收力。黄原酸盐在溶液中不稳定，首先离解为黄原酸离子，黄原酸离子与水发生水解又生成黄原酸，黄原酸为弱酸，不稳定，分解成不起捕收作用的二硫化碳和醇。</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浮选出的锌精矿和铅精矿分别进入浓密机浓密脱水，然后进入过滤机进一步脱水，制得铅精矿和锌精矿产品。硫化矿选矿系统共有三台浓密机，硫化矿选矿系统浮选出的硫化锌精矿使用一台浓密机，最终获得产品为硫化锌精矿和铅精矿2种。</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通过浮选工段出来的尾矿和浓密机溢流水进入摇床（6台）（硫化矿系统）进行重选进一步回收铅、锌精矿，产生的尾矿通过尾矿泵送到浓密池，再通过陶瓷过滤机进行尾矿脱水处理，过滤后的尾矿暂存于尾矿仓，后送往鸡西尾矿库。工艺流程图见图2-2。</w:t>
      </w: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r>
        <w:rPr>
          <w:rFonts w:hint="eastAsia"/>
          <w:color w:val="000000"/>
          <w:sz w:val="24"/>
          <w:lang/>
        </w:rPr>
        <mc:AlternateContent>
          <mc:Choice Requires="wpg">
            <w:drawing>
              <wp:anchor distT="0" distB="0" distL="114300" distR="114300" simplePos="0" relativeHeight="251662336" behindDoc="0" locked="0" layoutInCell="1" allowOverlap="1">
                <wp:simplePos x="0" y="0"/>
                <wp:positionH relativeFrom="column">
                  <wp:posOffset>342900</wp:posOffset>
                </wp:positionH>
                <wp:positionV relativeFrom="paragraph">
                  <wp:posOffset>0</wp:posOffset>
                </wp:positionV>
                <wp:extent cx="5143500" cy="5250180"/>
                <wp:effectExtent l="5080" t="4445" r="13970" b="22225"/>
                <wp:wrapNone/>
                <wp:docPr id="6" name="组合 6592"/>
                <wp:cNvGraphicFramePr/>
                <a:graphic xmlns:a="http://schemas.openxmlformats.org/drawingml/2006/main">
                  <a:graphicData uri="http://schemas.microsoft.com/office/word/2010/wordprocessingGroup">
                    <wpg:wgp>
                      <wpg:cNvGrpSpPr/>
                      <wpg:grpSpPr>
                        <a:xfrm>
                          <a:off x="0" y="0"/>
                          <a:ext cx="5143500" cy="5250180"/>
                          <a:chOff x="1440" y="1440"/>
                          <a:chExt cx="9540" cy="11232"/>
                        </a:xfrm>
                      </wpg:grpSpPr>
                      <wps:wsp>
                        <wps:cNvPr id="4" name="矩形 6593"/>
                        <wps:cNvSpPr/>
                        <wps:spPr>
                          <a:xfrm>
                            <a:off x="1440" y="1440"/>
                            <a:ext cx="9540" cy="11232"/>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4799330" cy="4906010"/>
                                    <wp:effectExtent l="0" t="0" r="1270" b="8890"/>
                                    <wp:docPr id="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pic:cNvPicPr>
                                              <a:picLocks noChangeAspect="1"/>
                                            </pic:cNvPicPr>
                                          </pic:nvPicPr>
                                          <pic:blipFill>
                                            <a:blip r:embed="rId14"/>
                                            <a:stretch>
                                              <a:fillRect/>
                                            </a:stretch>
                                          </pic:blipFill>
                                          <pic:spPr>
                                            <a:xfrm>
                                              <a:off x="0" y="0"/>
                                              <a:ext cx="4799330" cy="4906010"/>
                                            </a:xfrm>
                                            <a:prstGeom prst="rect">
                                              <a:avLst/>
                                            </a:prstGeom>
                                            <a:noFill/>
                                            <a:ln>
                                              <a:noFill/>
                                            </a:ln>
                                          </pic:spPr>
                                        </pic:pic>
                                      </a:graphicData>
                                    </a:graphic>
                                  </wp:inline>
                                </w:drawing>
                              </w:r>
                            </w:p>
                          </w:txbxContent>
                        </wps:txbx>
                        <wps:bodyPr wrap="square" upright="1"/>
                      </wps:wsp>
                      <wps:wsp>
                        <wps:cNvPr id="5" name="矩形 6594"/>
                        <wps:cNvSpPr/>
                        <wps:spPr>
                          <a:xfrm flipV="1">
                            <a:off x="1800" y="12360"/>
                            <a:ext cx="9000" cy="156"/>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wrap="square" upright="1"/>
                      </wps:wsp>
                    </wpg:wgp>
                  </a:graphicData>
                </a:graphic>
              </wp:anchor>
            </w:drawing>
          </mc:Choice>
          <mc:Fallback>
            <w:pict>
              <v:group id="组合 6592" o:spid="_x0000_s1026" o:spt="203" style="position:absolute;left:0pt;margin-left:27pt;margin-top:0pt;height:413.4pt;width:405pt;z-index:251662336;mso-width-relative:page;mso-height-relative:page;" coordorigin="1440,1440" coordsize="9540,11232" o:gfxdata="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G3xsrrXAAAABwEAAA8AAAAAAAAA&#10;AQAgAAAAIgAAAGRycy9kb3ducmV2LnhtbFBLAQIUABQAAAAIAIdO4kDCUWLXvQIAANgHAAAOAAAA&#10;AAAAAAEAIAAAACYBAABkcnMvZTJvRG9jLnhtbFBLBQYAAAAABgAGAFkBAABVBgAAAAA=&#10;">
                <o:lock v:ext="edit" aspectratio="f"/>
                <v:rect id="矩形 6593" o:spid="_x0000_s1026" o:spt="1" style="position:absolute;left:1440;top:1440;height:11232;width:9540;" fillcolor="#FFFFFF" filled="t" stroked="t" coordsize="21600,21600" o:gfxdata="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Fz/RvQAA&#10;ANo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drawing>
                            <wp:inline distT="0" distB="0" distL="114300" distR="114300">
                              <wp:extent cx="4799330" cy="4906010"/>
                              <wp:effectExtent l="0" t="0" r="1270" b="8890"/>
                              <wp:docPr id="1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2"/>
                                      <pic:cNvPicPr>
                                        <a:picLocks noChangeAspect="1"/>
                                      </pic:cNvPicPr>
                                    </pic:nvPicPr>
                                    <pic:blipFill>
                                      <a:blip r:embed="rId14"/>
                                      <a:stretch>
                                        <a:fillRect/>
                                      </a:stretch>
                                    </pic:blipFill>
                                    <pic:spPr>
                                      <a:xfrm>
                                        <a:off x="0" y="0"/>
                                        <a:ext cx="4799330" cy="4906010"/>
                                      </a:xfrm>
                                      <a:prstGeom prst="rect">
                                        <a:avLst/>
                                      </a:prstGeom>
                                      <a:noFill/>
                                      <a:ln>
                                        <a:noFill/>
                                      </a:ln>
                                    </pic:spPr>
                                  </pic:pic>
                                </a:graphicData>
                              </a:graphic>
                            </wp:inline>
                          </w:drawing>
                        </w:r>
                      </w:p>
                    </w:txbxContent>
                  </v:textbox>
                </v:rect>
                <v:rect id="矩形 6594" o:spid="_x0000_s1026" o:spt="1" style="position:absolute;left:1800;top:12360;flip:y;height:156;width:9000;" fillcolor="#FFFFFF" filled="t" stroked="t" coordsize="21600,21600" o:gfxdata="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NQXS8AAAA&#10;2gAAAA8AAAAAAAAAAQAgAAAAIgAAAGRycy9kb3ducmV2LnhtbFBLAQIUABQAAAAIAIdO4kAzLwWe&#10;OwAAADkAAAAQAAAAAAAAAAEAIAAAAAsBAABkcnMvc2hhcGV4bWwueG1sUEsFBgAAAAAGAAYAWwEA&#10;ALUDAAAAAA==&#10;">
                  <v:fill on="t" focussize="0,0"/>
                  <v:stroke color="#FFFFFF" joinstyle="miter"/>
                  <v:imagedata o:title=""/>
                  <o:lock v:ext="edit" aspectratio="f"/>
                  <v:textbox>
                    <w:txbxContent>
                      <w:p/>
                    </w:txbxContent>
                  </v:textbox>
                </v:rect>
              </v:group>
            </w:pict>
          </mc:Fallback>
        </mc:AlternateContent>
      </w: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r>
        <w:rPr>
          <w:rFonts w:hint="eastAsia"/>
          <w:color w:val="000000"/>
          <w:sz w:val="24"/>
          <w:lang/>
        </w:rPr>
        <mc:AlternateContent>
          <mc:Choice Requires="wpg">
            <w:drawing>
              <wp:anchor distT="0" distB="0" distL="114300" distR="114300" simplePos="0" relativeHeight="251663360" behindDoc="0" locked="0" layoutInCell="1" allowOverlap="1">
                <wp:simplePos x="0" y="0"/>
                <wp:positionH relativeFrom="column">
                  <wp:posOffset>4229100</wp:posOffset>
                </wp:positionH>
                <wp:positionV relativeFrom="paragraph">
                  <wp:posOffset>237490</wp:posOffset>
                </wp:positionV>
                <wp:extent cx="1085850" cy="1233805"/>
                <wp:effectExtent l="0" t="0" r="0" b="0"/>
                <wp:wrapNone/>
                <wp:docPr id="16" name="组合 6596"/>
                <wp:cNvGraphicFramePr/>
                <a:graphic xmlns:a="http://schemas.openxmlformats.org/drawingml/2006/main">
                  <a:graphicData uri="http://schemas.microsoft.com/office/word/2010/wordprocessingGroup">
                    <wpg:wgp>
                      <wpg:cNvGrpSpPr/>
                      <wpg:grpSpPr>
                        <a:xfrm>
                          <a:off x="0" y="0"/>
                          <a:ext cx="1085850" cy="1233805"/>
                          <a:chOff x="1958" y="12494"/>
                          <a:chExt cx="1710" cy="1943"/>
                        </a:xfrm>
                      </wpg:grpSpPr>
                      <wps:wsp>
                        <wps:cNvPr id="7" name="Rectangle 983"/>
                        <wps:cNvSpPr/>
                        <wps:spPr>
                          <a:xfrm>
                            <a:off x="1958" y="12962"/>
                            <a:ext cx="566" cy="538"/>
                          </a:xfrm>
                          <a:prstGeom prst="rect">
                            <a:avLst/>
                          </a:prstGeom>
                          <a:solidFill>
                            <a:srgbClr val="FFFFFF">
                              <a:alpha val="0"/>
                            </a:srgbClr>
                          </a:solidFill>
                          <a:ln w="12700">
                            <a:noFill/>
                          </a:ln>
                        </wps:spPr>
                        <wps:txbx>
                          <w:txbxContent>
                            <w:p>
                              <w:pPr>
                                <w:rPr>
                                  <w:rFonts w:hint="eastAsia"/>
                                </w:rPr>
                              </w:pPr>
                              <w:r>
                                <w:rPr>
                                  <w:rFonts w:hint="eastAsia"/>
                                </w:rPr>
                                <w:t>G</w:t>
                              </w:r>
                            </w:p>
                          </w:txbxContent>
                        </wps:txbx>
                        <wps:bodyPr wrap="square" upright="1"/>
                      </wps:wsp>
                      <wps:wsp>
                        <wps:cNvPr id="8" name="Rectangle 984"/>
                        <wps:cNvSpPr/>
                        <wps:spPr>
                          <a:xfrm>
                            <a:off x="1958" y="13586"/>
                            <a:ext cx="552" cy="538"/>
                          </a:xfrm>
                          <a:prstGeom prst="rect">
                            <a:avLst/>
                          </a:prstGeom>
                          <a:solidFill>
                            <a:srgbClr val="FFFFFF">
                              <a:alpha val="0"/>
                            </a:srgbClr>
                          </a:solidFill>
                          <a:ln w="12700">
                            <a:noFill/>
                          </a:ln>
                        </wps:spPr>
                        <wps:txbx>
                          <w:txbxContent>
                            <w:p>
                              <w:pPr>
                                <w:rPr>
                                  <w:rFonts w:hint="eastAsia"/>
                                </w:rPr>
                              </w:pPr>
                              <w:r>
                                <w:rPr>
                                  <w:rFonts w:hint="eastAsia"/>
                                </w:rPr>
                                <w:t>S</w:t>
                              </w:r>
                            </w:p>
                          </w:txbxContent>
                        </wps:txbx>
                        <wps:bodyPr wrap="square" upright="1"/>
                      </wps:wsp>
                      <wps:wsp>
                        <wps:cNvPr id="9" name="Rectangle 985"/>
                        <wps:cNvSpPr/>
                        <wps:spPr>
                          <a:xfrm>
                            <a:off x="2318" y="13586"/>
                            <a:ext cx="1349" cy="494"/>
                          </a:xfrm>
                          <a:prstGeom prst="rect">
                            <a:avLst/>
                          </a:prstGeom>
                          <a:solidFill>
                            <a:srgbClr val="FFFFFF">
                              <a:alpha val="0"/>
                            </a:srgbClr>
                          </a:solidFill>
                          <a:ln w="12700">
                            <a:noFill/>
                          </a:ln>
                        </wps:spPr>
                        <wps:txbx>
                          <w:txbxContent>
                            <w:p>
                              <w:pPr>
                                <w:rPr>
                                  <w:rFonts w:hint="eastAsia"/>
                                  <w:sz w:val="18"/>
                                  <w:szCs w:val="18"/>
                                </w:rPr>
                              </w:pPr>
                              <w:r>
                                <w:rPr>
                                  <w:rFonts w:hint="eastAsia"/>
                                  <w:sz w:val="18"/>
                                  <w:szCs w:val="18"/>
                                </w:rPr>
                                <w:t>固废污染源</w:t>
                              </w:r>
                            </w:p>
                          </w:txbxContent>
                        </wps:txbx>
                        <wps:bodyPr wrap="square" upright="1"/>
                      </wps:wsp>
                      <wps:wsp>
                        <wps:cNvPr id="10" name="Rectangle 986"/>
                        <wps:cNvSpPr/>
                        <wps:spPr>
                          <a:xfrm>
                            <a:off x="1977" y="13274"/>
                            <a:ext cx="552" cy="539"/>
                          </a:xfrm>
                          <a:prstGeom prst="rect">
                            <a:avLst/>
                          </a:prstGeom>
                          <a:solidFill>
                            <a:srgbClr val="FFFFFF">
                              <a:alpha val="0"/>
                            </a:srgbClr>
                          </a:solidFill>
                          <a:ln w="12700">
                            <a:noFill/>
                          </a:ln>
                        </wps:spPr>
                        <wps:txbx>
                          <w:txbxContent>
                            <w:p>
                              <w:pPr>
                                <w:rPr>
                                  <w:rFonts w:hint="eastAsia"/>
                                </w:rPr>
                              </w:pPr>
                              <w:r>
                                <w:rPr>
                                  <w:rFonts w:hint="eastAsia"/>
                                </w:rPr>
                                <w:t>W</w:t>
                              </w:r>
                            </w:p>
                          </w:txbxContent>
                        </wps:txbx>
                        <wps:bodyPr wrap="square" upright="1"/>
                      </wps:wsp>
                      <wps:wsp>
                        <wps:cNvPr id="11" name="Rectangle 987"/>
                        <wps:cNvSpPr/>
                        <wps:spPr>
                          <a:xfrm>
                            <a:off x="2247" y="13274"/>
                            <a:ext cx="1350" cy="496"/>
                          </a:xfrm>
                          <a:prstGeom prst="rect">
                            <a:avLst/>
                          </a:prstGeom>
                          <a:solidFill>
                            <a:srgbClr val="FFFFFF">
                              <a:alpha val="0"/>
                            </a:srgbClr>
                          </a:solidFill>
                          <a:ln w="12700">
                            <a:noFill/>
                          </a:ln>
                        </wps:spPr>
                        <wps:txbx>
                          <w:txbxContent>
                            <w:p>
                              <w:pPr>
                                <w:rPr>
                                  <w:rFonts w:hint="eastAsia"/>
                                  <w:sz w:val="18"/>
                                  <w:szCs w:val="18"/>
                                </w:rPr>
                              </w:pPr>
                              <w:r>
                                <w:rPr>
                                  <w:rFonts w:hint="eastAsia"/>
                                  <w:sz w:val="18"/>
                                  <w:szCs w:val="18"/>
                                </w:rPr>
                                <w:t>废水污染源</w:t>
                              </w:r>
                            </w:p>
                          </w:txbxContent>
                        </wps:txbx>
                        <wps:bodyPr wrap="square" upright="1"/>
                      </wps:wsp>
                      <wps:wsp>
                        <wps:cNvPr id="12" name="Rectangle 988"/>
                        <wps:cNvSpPr/>
                        <wps:spPr>
                          <a:xfrm>
                            <a:off x="2318" y="12962"/>
                            <a:ext cx="1350" cy="494"/>
                          </a:xfrm>
                          <a:prstGeom prst="rect">
                            <a:avLst/>
                          </a:prstGeom>
                          <a:solidFill>
                            <a:srgbClr val="FFFFFF">
                              <a:alpha val="0"/>
                            </a:srgbClr>
                          </a:solidFill>
                          <a:ln w="12700">
                            <a:noFill/>
                          </a:ln>
                        </wps:spPr>
                        <wps:txbx>
                          <w:txbxContent>
                            <w:p>
                              <w:pPr>
                                <w:rPr>
                                  <w:rFonts w:hint="eastAsia"/>
                                  <w:sz w:val="18"/>
                                  <w:szCs w:val="18"/>
                                </w:rPr>
                              </w:pPr>
                              <w:r>
                                <w:rPr>
                                  <w:rFonts w:hint="eastAsia"/>
                                  <w:sz w:val="18"/>
                                  <w:szCs w:val="18"/>
                                </w:rPr>
                                <w:t>废气污染源</w:t>
                              </w:r>
                            </w:p>
                          </w:txbxContent>
                        </wps:txbx>
                        <wps:bodyPr wrap="square" upright="1"/>
                      </wps:wsp>
                      <wps:wsp>
                        <wps:cNvPr id="13" name="Rectangle 989"/>
                        <wps:cNvSpPr/>
                        <wps:spPr>
                          <a:xfrm>
                            <a:off x="1958" y="13898"/>
                            <a:ext cx="565" cy="539"/>
                          </a:xfrm>
                          <a:prstGeom prst="rect">
                            <a:avLst/>
                          </a:prstGeom>
                          <a:solidFill>
                            <a:srgbClr val="FFFFFF">
                              <a:alpha val="0"/>
                            </a:srgbClr>
                          </a:solidFill>
                          <a:ln w="12700">
                            <a:noFill/>
                          </a:ln>
                        </wps:spPr>
                        <wps:txbx>
                          <w:txbxContent>
                            <w:p>
                              <w:pPr>
                                <w:rPr>
                                  <w:rFonts w:hint="eastAsia"/>
                                </w:rPr>
                              </w:pPr>
                              <w:r>
                                <w:rPr>
                                  <w:rFonts w:hint="eastAsia"/>
                                </w:rPr>
                                <w:t>N</w:t>
                              </w:r>
                            </w:p>
                          </w:txbxContent>
                        </wps:txbx>
                        <wps:bodyPr wrap="square" upright="1"/>
                      </wps:wsp>
                      <wps:wsp>
                        <wps:cNvPr id="14" name="Rectangle 990"/>
                        <wps:cNvSpPr/>
                        <wps:spPr>
                          <a:xfrm>
                            <a:off x="2318" y="13898"/>
                            <a:ext cx="1350" cy="494"/>
                          </a:xfrm>
                          <a:prstGeom prst="rect">
                            <a:avLst/>
                          </a:prstGeom>
                          <a:solidFill>
                            <a:srgbClr val="FFFFFF">
                              <a:alpha val="0"/>
                            </a:srgbClr>
                          </a:solidFill>
                          <a:ln w="12700">
                            <a:noFill/>
                          </a:ln>
                        </wps:spPr>
                        <wps:txbx>
                          <w:txbxContent>
                            <w:p>
                              <w:pPr>
                                <w:rPr>
                                  <w:rFonts w:hint="eastAsia"/>
                                  <w:sz w:val="18"/>
                                  <w:szCs w:val="18"/>
                                </w:rPr>
                              </w:pPr>
                              <w:r>
                                <w:rPr>
                                  <w:rFonts w:hint="eastAsia"/>
                                  <w:sz w:val="18"/>
                                  <w:szCs w:val="18"/>
                                </w:rPr>
                                <w:t>噪声污染源</w:t>
                              </w:r>
                            </w:p>
                          </w:txbxContent>
                        </wps:txbx>
                        <wps:bodyPr wrap="square" upright="1"/>
                      </wps:wsp>
                      <wps:wsp>
                        <wps:cNvPr id="15" name="Rectangle 991"/>
                        <wps:cNvSpPr/>
                        <wps:spPr>
                          <a:xfrm>
                            <a:off x="1958" y="12494"/>
                            <a:ext cx="899" cy="495"/>
                          </a:xfrm>
                          <a:prstGeom prst="rect">
                            <a:avLst/>
                          </a:prstGeom>
                          <a:solidFill>
                            <a:srgbClr val="FFFFFF">
                              <a:alpha val="0"/>
                            </a:srgbClr>
                          </a:solidFill>
                          <a:ln w="12700">
                            <a:noFill/>
                          </a:ln>
                        </wps:spPr>
                        <wps:txbx>
                          <w:txbxContent>
                            <w:p>
                              <w:pPr>
                                <w:ind w:left="-1" w:leftChars="-50" w:right="-88" w:rightChars="-42" w:hanging="104" w:hangingChars="58"/>
                                <w:jc w:val="center"/>
                                <w:rPr>
                                  <w:rFonts w:hint="eastAsia"/>
                                  <w:sz w:val="18"/>
                                  <w:szCs w:val="18"/>
                                </w:rPr>
                              </w:pPr>
                              <w:r>
                                <w:rPr>
                                  <w:rFonts w:hint="eastAsia"/>
                                  <w:sz w:val="18"/>
                                  <w:szCs w:val="18"/>
                                </w:rPr>
                                <w:t>图例：</w:t>
                              </w:r>
                            </w:p>
                          </w:txbxContent>
                        </wps:txbx>
                        <wps:bodyPr wrap="square" upright="1"/>
                      </wps:wsp>
                    </wpg:wgp>
                  </a:graphicData>
                </a:graphic>
              </wp:anchor>
            </w:drawing>
          </mc:Choice>
          <mc:Fallback>
            <w:pict>
              <v:group id="组合 6596" o:spid="_x0000_s1026" o:spt="203" style="position:absolute;left:0pt;margin-left:333pt;margin-top:18.7pt;height:97.15pt;width:85.5pt;z-index:251663360;mso-width-relative:page;mso-height-relative:page;" coordorigin="1958,12494" coordsize="1710,1943" o:gfxdata="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">
                <o:lock v:ext="edit" aspectratio="f"/>
                <v:rect id="Rectangle 983" o:spid="_x0000_s1026" o:spt="1" style="position:absolute;left:1958;top:12962;height:538;width:566;" fillcolor="#FFFFFF" filled="t" stroked="f" coordsize="21600,21600" o:gfxdata="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vx/Yy8AAAA&#10;2gAAAA8AAAAAAAAAAQAgAAAAIgAAAGRycy9kb3ducmV2LnhtbFBLAQIUABQAAAAIAIdO4kAzLwWe&#10;OwAAADkAAAAQAAAAAAAAAAEAIAAAAAsBAABkcnMvc2hhcGV4bWwueG1sUEsFBgAAAAAGAAYAWwEA&#10;ALUDAAAAAA==&#10;">
                  <v:fill on="t" opacity="0f" focussize="0,0"/>
                  <v:stroke on="f" weight="1pt"/>
                  <v:imagedata o:title=""/>
                  <o:lock v:ext="edit" aspectratio="f"/>
                  <v:textbox>
                    <w:txbxContent>
                      <w:p>
                        <w:pPr>
                          <w:rPr>
                            <w:rFonts w:hint="eastAsia"/>
                          </w:rPr>
                        </w:pPr>
                        <w:r>
                          <w:rPr>
                            <w:rFonts w:hint="eastAsia"/>
                          </w:rPr>
                          <w:t>G</w:t>
                        </w:r>
                      </w:p>
                    </w:txbxContent>
                  </v:textbox>
                </v:rect>
                <v:rect id="Rectangle 984" o:spid="_x0000_s1026" o:spt="1" style="position:absolute;left:1958;top:13586;height:538;width:552;" fillcolor="#FFFFFF" filled="t" stroked="f" coordsize="21600,21600" o:gfxdata="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puaf65AAAA2gAA&#10;AA8AAAAAAAAAAQAgAAAAIgAAAGRycy9kb3ducmV2LnhtbFBLAQIUABQAAAAIAIdO4kAzLwWeOwAA&#10;ADkAAAAQAAAAAAAAAAEAIAAAAAgBAABkcnMvc2hhcGV4bWwueG1sUEsFBgAAAAAGAAYAWwEAALID&#10;AAAAAA==&#10;">
                  <v:fill on="t" opacity="0f" focussize="0,0"/>
                  <v:stroke on="f" weight="1pt"/>
                  <v:imagedata o:title=""/>
                  <o:lock v:ext="edit" aspectratio="f"/>
                  <v:textbox>
                    <w:txbxContent>
                      <w:p>
                        <w:pPr>
                          <w:rPr>
                            <w:rFonts w:hint="eastAsia"/>
                          </w:rPr>
                        </w:pPr>
                        <w:r>
                          <w:rPr>
                            <w:rFonts w:hint="eastAsia"/>
                          </w:rPr>
                          <w:t>S</w:t>
                        </w:r>
                      </w:p>
                    </w:txbxContent>
                  </v:textbox>
                </v:rect>
                <v:rect id="Rectangle 985" o:spid="_x0000_s1026" o:spt="1" style="position:absolute;left:2318;top:13586;height:494;width:1349;" fillcolor="#FFFFFF" filled="t" stroked="f" coordsize="21600,21600" o:gfxdata="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IsxlvQAA&#10;ANoAAAAPAAAAAAAAAAEAIAAAACIAAABkcnMvZG93bnJldi54bWxQSwECFAAUAAAACACHTuJAMy8F&#10;njsAAAA5AAAAEAAAAAAAAAABACAAAAAMAQAAZHJzL3NoYXBleG1sLnhtbFBLBQYAAAAABgAGAFsB&#10;AAC2AwAAAAA=&#10;">
                  <v:fill on="t" opacity="0f" focussize="0,0"/>
                  <v:stroke on="f" weight="1pt"/>
                  <v:imagedata o:title=""/>
                  <o:lock v:ext="edit" aspectratio="f"/>
                  <v:textbox>
                    <w:txbxContent>
                      <w:p>
                        <w:pPr>
                          <w:rPr>
                            <w:rFonts w:hint="eastAsia"/>
                            <w:sz w:val="18"/>
                            <w:szCs w:val="18"/>
                          </w:rPr>
                        </w:pPr>
                        <w:r>
                          <w:rPr>
                            <w:rFonts w:hint="eastAsia"/>
                            <w:sz w:val="18"/>
                            <w:szCs w:val="18"/>
                          </w:rPr>
                          <w:t>固废污染源</w:t>
                        </w:r>
                      </w:p>
                    </w:txbxContent>
                  </v:textbox>
                </v:rect>
                <v:rect id="Rectangle 986" o:spid="_x0000_s1026" o:spt="1" style="position:absolute;left:1977;top:13274;height:539;width:552;" fillcolor="#FFFFFF" filled="t" stroked="f" coordsize="21600,21600" o:gfxdata="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CPRb4A&#10;AADbAAAADwAAAAAAAAABACAAAAAiAAAAZHJzL2Rvd25yZXYueG1sUEsBAhQAFAAAAAgAh07iQDMv&#10;BZ47AAAAOQAAABAAAAAAAAAAAQAgAAAADQEAAGRycy9zaGFwZXhtbC54bWxQSwUGAAAAAAYABgBb&#10;AQAAtwMAAAAA&#10;">
                  <v:fill on="t" opacity="0f" focussize="0,0"/>
                  <v:stroke on="f" weight="1pt"/>
                  <v:imagedata o:title=""/>
                  <o:lock v:ext="edit" aspectratio="f"/>
                  <v:textbox>
                    <w:txbxContent>
                      <w:p>
                        <w:pPr>
                          <w:rPr>
                            <w:rFonts w:hint="eastAsia"/>
                          </w:rPr>
                        </w:pPr>
                        <w:r>
                          <w:rPr>
                            <w:rFonts w:hint="eastAsia"/>
                          </w:rPr>
                          <w:t>W</w:t>
                        </w:r>
                      </w:p>
                    </w:txbxContent>
                  </v:textbox>
                </v:rect>
                <v:rect id="Rectangle 987" o:spid="_x0000_s1026" o:spt="1" style="position:absolute;left:2247;top:13274;height:496;width:1350;" fillcolor="#FFFFFF" filled="t" stroked="f" coordsize="21600,21600" o:gfxdata="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y8Kt68AAAA&#10;2wAAAA8AAAAAAAAAAQAgAAAAIgAAAGRycy9kb3ducmV2LnhtbFBLAQIUABQAAAAIAIdO4kAzLwWe&#10;OwAAADkAAAAQAAAAAAAAAAEAIAAAAAsBAABkcnMvc2hhcGV4bWwueG1sUEsFBgAAAAAGAAYAWwEA&#10;ALUDAAAAAA==&#10;">
                  <v:fill on="t" opacity="0f" focussize="0,0"/>
                  <v:stroke on="f" weight="1pt"/>
                  <v:imagedata o:title=""/>
                  <o:lock v:ext="edit" aspectratio="f"/>
                  <v:textbox>
                    <w:txbxContent>
                      <w:p>
                        <w:pPr>
                          <w:rPr>
                            <w:rFonts w:hint="eastAsia"/>
                            <w:sz w:val="18"/>
                            <w:szCs w:val="18"/>
                          </w:rPr>
                        </w:pPr>
                        <w:r>
                          <w:rPr>
                            <w:rFonts w:hint="eastAsia"/>
                            <w:sz w:val="18"/>
                            <w:szCs w:val="18"/>
                          </w:rPr>
                          <w:t>废水污染源</w:t>
                        </w:r>
                      </w:p>
                    </w:txbxContent>
                  </v:textbox>
                </v:rect>
                <v:rect id="Rectangle 988" o:spid="_x0000_s1026" o:spt="1" style="position:absolute;left:2318;top:12962;height:494;width:1350;" fillcolor="#FFFFFF" filled="t" stroked="f" coordsize="21600,21600" o:gfxdata="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G60qbsAAADb&#10;AAAADwAAAAAAAAABACAAAAAiAAAAZHJzL2Rvd25yZXYueG1sUEsBAhQAFAAAAAgAh07iQDMvBZ47&#10;AAAAOQAAABAAAAAAAAAAAQAgAAAACgEAAGRycy9zaGFwZXhtbC54bWxQSwUGAAAAAAYABgBbAQAA&#10;tAMAAAAA&#10;">
                  <v:fill on="t" opacity="0f" focussize="0,0"/>
                  <v:stroke on="f" weight="1pt"/>
                  <v:imagedata o:title=""/>
                  <o:lock v:ext="edit" aspectratio="f"/>
                  <v:textbox>
                    <w:txbxContent>
                      <w:p>
                        <w:pPr>
                          <w:rPr>
                            <w:rFonts w:hint="eastAsia"/>
                            <w:sz w:val="18"/>
                            <w:szCs w:val="18"/>
                          </w:rPr>
                        </w:pPr>
                        <w:r>
                          <w:rPr>
                            <w:rFonts w:hint="eastAsia"/>
                            <w:sz w:val="18"/>
                            <w:szCs w:val="18"/>
                          </w:rPr>
                          <w:t>废气污染源</w:t>
                        </w:r>
                      </w:p>
                    </w:txbxContent>
                  </v:textbox>
                </v:rect>
                <v:rect id="Rectangle 989" o:spid="_x0000_s1026" o:spt="1" style="position:absolute;left:1958;top:13898;height:539;width:565;" fillcolor="#FFFFFF" filled="t" stroked="f" coordsize="21600,21600" o:gfxdata="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IRMrsAAADb&#10;AAAADwAAAAAAAAABACAAAAAiAAAAZHJzL2Rvd25yZXYueG1sUEsBAhQAFAAAAAgAh07iQDMvBZ47&#10;AAAAOQAAABAAAAAAAAAAAQAgAAAACgEAAGRycy9zaGFwZXhtbC54bWxQSwUGAAAAAAYABgBbAQAA&#10;tAMAAAAA&#10;">
                  <v:fill on="t" opacity="0f" focussize="0,0"/>
                  <v:stroke on="f" weight="1pt"/>
                  <v:imagedata o:title=""/>
                  <o:lock v:ext="edit" aspectratio="f"/>
                  <v:textbox>
                    <w:txbxContent>
                      <w:p>
                        <w:pPr>
                          <w:rPr>
                            <w:rFonts w:hint="eastAsia"/>
                          </w:rPr>
                        </w:pPr>
                        <w:r>
                          <w:rPr>
                            <w:rFonts w:hint="eastAsia"/>
                          </w:rPr>
                          <w:t>N</w:t>
                        </w:r>
                      </w:p>
                    </w:txbxContent>
                  </v:textbox>
                </v:rect>
                <v:rect id="Rectangle 990" o:spid="_x0000_s1026" o:spt="1" style="position:absolute;left:2318;top:13898;height:494;width:1350;" fillcolor="#FFFFFF" filled="t" stroked="f" coordsize="21600,21600" o:gfxdata="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MuJRrsAAADb&#10;AAAADwAAAAAAAAABACAAAAAiAAAAZHJzL2Rvd25yZXYueG1sUEsBAhQAFAAAAAgAh07iQDMvBZ47&#10;AAAAOQAAABAAAAAAAAAAAQAgAAAACgEAAGRycy9zaGFwZXhtbC54bWxQSwUGAAAAAAYABgBbAQAA&#10;tAMAAAAA&#10;">
                  <v:fill on="t" opacity="0f" focussize="0,0"/>
                  <v:stroke on="f" weight="1pt"/>
                  <v:imagedata o:title=""/>
                  <o:lock v:ext="edit" aspectratio="f"/>
                  <v:textbox>
                    <w:txbxContent>
                      <w:p>
                        <w:pPr>
                          <w:rPr>
                            <w:rFonts w:hint="eastAsia"/>
                            <w:sz w:val="18"/>
                            <w:szCs w:val="18"/>
                          </w:rPr>
                        </w:pPr>
                        <w:r>
                          <w:rPr>
                            <w:rFonts w:hint="eastAsia"/>
                            <w:sz w:val="18"/>
                            <w:szCs w:val="18"/>
                          </w:rPr>
                          <w:t>噪声污染源</w:t>
                        </w:r>
                      </w:p>
                    </w:txbxContent>
                  </v:textbox>
                </v:rect>
                <v:rect id="Rectangle 991" o:spid="_x0000_s1026" o:spt="1" style="position:absolute;left:1958;top:12494;height:495;width:899;" fillcolor="#FFFFFF" filled="t" stroked="f" coordsize="21600,21600" o:gfxdata="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OHLN28AAAA&#10;2wAAAA8AAAAAAAAAAQAgAAAAIgAAAGRycy9kb3ducmV2LnhtbFBLAQIUABQAAAAIAIdO4kAzLwWe&#10;OwAAADkAAAAQAAAAAAAAAAEAIAAAAAsBAABkcnMvc2hhcGV4bWwueG1sUEsFBgAAAAAGAAYAWwEA&#10;ALUDAAAAAA==&#10;">
                  <v:fill on="t" opacity="0f" focussize="0,0"/>
                  <v:stroke on="f" weight="1pt"/>
                  <v:imagedata o:title=""/>
                  <o:lock v:ext="edit" aspectratio="f"/>
                  <v:textbox>
                    <w:txbxContent>
                      <w:p>
                        <w:pPr>
                          <w:ind w:left="-1" w:leftChars="-50" w:right="-88" w:rightChars="-42" w:hanging="104" w:hangingChars="58"/>
                          <w:jc w:val="center"/>
                          <w:rPr>
                            <w:rFonts w:hint="eastAsia"/>
                            <w:sz w:val="18"/>
                            <w:szCs w:val="18"/>
                          </w:rPr>
                        </w:pPr>
                        <w:r>
                          <w:rPr>
                            <w:rFonts w:hint="eastAsia"/>
                            <w:sz w:val="18"/>
                            <w:szCs w:val="18"/>
                          </w:rPr>
                          <w:t>图例：</w:t>
                        </w:r>
                      </w:p>
                    </w:txbxContent>
                  </v:textbox>
                </v:rect>
              </v:group>
            </w:pict>
          </mc:Fallback>
        </mc:AlternateContent>
      </w: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2" w:firstLineChars="200"/>
        <w:jc w:val="center"/>
        <w:rPr>
          <w:rFonts w:hint="eastAsia"/>
          <w:b/>
          <w:color w:val="000000"/>
          <w:sz w:val="24"/>
        </w:rPr>
      </w:pPr>
      <w:r>
        <w:rPr>
          <w:rFonts w:hint="eastAsia"/>
          <w:b/>
          <w:color w:val="000000"/>
          <w:sz w:val="24"/>
        </w:rPr>
        <w:t>图2-2  选矿厂工艺流程和排污节点示意图</w:t>
      </w: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选矿厂主要包括破碎工段、球磨工段、浮选工段和浓缩过滤工段。</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（1）破碎段</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碎矿作业是选矿工艺第一道作业环节，目的是将进入选矿厂的原矿石破碎，达到一定的粒度，供下道工序（磨矿）使用，提高磨矿效率。通过粗碎和细碎两道工序，粗碎将原矿破碎至直径小于3cm的碎块，经皮带机传送到振动筛进行筛选，粒度小于1.2cm的进入球磨机，粒度大于1.2cm的进入圆磨机进行二次破碎，之后又进入振动筛进行筛选。</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破碎工段生产为间歇性生产，主要生产设备为破碎机。详见图2-3。</w:t>
      </w: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r>
        <w:rPr>
          <w:rFonts w:hint="eastAsia"/>
          <w:color w:val="000000"/>
          <w:sz w:val="24"/>
          <w:lang/>
        </w:rPr>
        <mc:AlternateContent>
          <mc:Choice Requires="wps">
            <w:drawing>
              <wp:anchor distT="0" distB="0" distL="114300" distR="114300" simplePos="0" relativeHeight="251664384" behindDoc="0" locked="0" layoutInCell="1" allowOverlap="1">
                <wp:simplePos x="0" y="0"/>
                <wp:positionH relativeFrom="column">
                  <wp:posOffset>1371600</wp:posOffset>
                </wp:positionH>
                <wp:positionV relativeFrom="paragraph">
                  <wp:posOffset>99060</wp:posOffset>
                </wp:positionV>
                <wp:extent cx="3185160" cy="2971800"/>
                <wp:effectExtent l="4445" t="4445" r="10795" b="14605"/>
                <wp:wrapNone/>
                <wp:docPr id="17" name="矩形 6606"/>
                <wp:cNvGraphicFramePr/>
                <a:graphic xmlns:a="http://schemas.openxmlformats.org/drawingml/2006/main">
                  <a:graphicData uri="http://schemas.microsoft.com/office/word/2010/wordprocessingShape">
                    <wps:wsp>
                      <wps:cNvSpPr/>
                      <wps:spPr>
                        <a:xfrm>
                          <a:off x="0" y="0"/>
                          <a:ext cx="3185160" cy="297180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2992120" cy="2824480"/>
                                  <wp:effectExtent l="0" t="0" r="0" b="13970"/>
                                  <wp:docPr id="1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
                                          <pic:cNvPicPr>
                                            <a:picLocks noChangeAspect="1"/>
                                          </pic:cNvPicPr>
                                        </pic:nvPicPr>
                                        <pic:blipFill>
                                          <a:blip r:embed="rId15"/>
                                          <a:stretch>
                                            <a:fillRect/>
                                          </a:stretch>
                                        </pic:blipFill>
                                        <pic:spPr>
                                          <a:xfrm>
                                            <a:off x="0" y="0"/>
                                            <a:ext cx="2992120" cy="2824480"/>
                                          </a:xfrm>
                                          <a:prstGeom prst="rect">
                                            <a:avLst/>
                                          </a:prstGeom>
                                          <a:noFill/>
                                          <a:ln>
                                            <a:noFill/>
                                          </a:ln>
                                        </pic:spPr>
                                      </pic:pic>
                                    </a:graphicData>
                                  </a:graphic>
                                </wp:inline>
                              </w:drawing>
                            </w:r>
                          </w:p>
                        </w:txbxContent>
                      </wps:txbx>
                      <wps:bodyPr wrap="none" upright="1"/>
                    </wps:wsp>
                  </a:graphicData>
                </a:graphic>
              </wp:anchor>
            </w:drawing>
          </mc:Choice>
          <mc:Fallback>
            <w:pict>
              <v:rect id="矩形 6606" o:spid="_x0000_s1026" o:spt="1" style="position:absolute;left:0pt;margin-left:108pt;margin-top:7.8pt;height:234pt;width:250.8pt;mso-wrap-style:none;z-index:251664384;mso-width-relative:page;mso-height-relative:page;" fillcolor="#FFFFFF" filled="t" stroked="t" coordsize="21600,21600" o:gfxdata="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78DhF2gAAAAoBAAAPAAAAAAAAAAEA&#10;IAAAACIAAABkcnMvZG93bnJldi54bWxQSwECFAAUAAAACACHTuJAtWMGQQ0CAAA6BAAADgAAAAAA&#10;AAABACAAAAApAQAAZHJzL2Uyb0RvYy54bWxQSwUGAAAAAAYABgBZAQAAqAUAAAAA&#10;">
                <v:fill on="t" focussize="0,0"/>
                <v:stroke color="#000000" joinstyle="miter"/>
                <v:imagedata o:title=""/>
                <o:lock v:ext="edit" aspectratio="f"/>
                <v:textbox>
                  <w:txbxContent>
                    <w:p>
                      <w:r>
                        <w:drawing>
                          <wp:inline distT="0" distB="0" distL="114300" distR="114300">
                            <wp:extent cx="2992120" cy="2824480"/>
                            <wp:effectExtent l="0" t="0" r="0" b="13970"/>
                            <wp:docPr id="1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3"/>
                                    <pic:cNvPicPr>
                                      <a:picLocks noChangeAspect="1"/>
                                    </pic:cNvPicPr>
                                  </pic:nvPicPr>
                                  <pic:blipFill>
                                    <a:blip r:embed="rId15"/>
                                    <a:stretch>
                                      <a:fillRect/>
                                    </a:stretch>
                                  </pic:blipFill>
                                  <pic:spPr>
                                    <a:xfrm>
                                      <a:off x="0" y="0"/>
                                      <a:ext cx="2992120" cy="2824480"/>
                                    </a:xfrm>
                                    <a:prstGeom prst="rect">
                                      <a:avLst/>
                                    </a:prstGeom>
                                    <a:noFill/>
                                    <a:ln>
                                      <a:noFill/>
                                    </a:ln>
                                  </pic:spPr>
                                </pic:pic>
                              </a:graphicData>
                            </a:graphic>
                          </wp:inline>
                        </w:drawing>
                      </w:r>
                    </w:p>
                  </w:txbxContent>
                </v:textbox>
              </v:rect>
            </w:pict>
          </mc:Fallback>
        </mc:AlternateContent>
      </w: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ascii="宋体" w:hAnsi="宋体" w:cs="仿宋"/>
          <w:color w:val="000000"/>
          <w:kern w:val="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2" w:firstLineChars="200"/>
        <w:jc w:val="center"/>
        <w:rPr>
          <w:rFonts w:hint="eastAsia"/>
          <w:b/>
          <w:color w:val="000000"/>
          <w:sz w:val="24"/>
        </w:rPr>
      </w:pPr>
      <w:r>
        <w:rPr>
          <w:rFonts w:hint="eastAsia"/>
          <w:b/>
          <w:color w:val="000000"/>
          <w:sz w:val="24"/>
        </w:rPr>
        <w:t>图2-3  破碎工段工艺流程和排污节点示意图</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（2）磨浮工段</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进入球磨机的碎矿块磨至粒度75-80目，粗粒经螺旋分级机返回到球磨机中，通过球磨机将一定粒度的矿石磨成符合浮选要求的细度和浓度的矿浆，搅拌后的矿浆进入浮选槽浮选，整个浮选过程是一个串联流程，通过添加不同的药剂先选出铅精矿，再选锌精矿，然后进行浓密脱水。浮选流程：加入药剂、硫酸锌（抑制剂），经过二段粗选、三段精选和一段扫选，选得铅精矿进入铅精矿浓密机。再加入不同的药剂、硫酸铜（抑制剂），经过二段粗选、三段精选和一段扫选，选得锌精矿进入锌精矿浓密机。尾矿和废水进入小浮选工序回收有价金属，之后尾矿和废水经汇集池汇集后进入摇床重选工序，重选后的尾矿通过尾矿泵送到1号浓密池或二号浓密池，再通过陶瓷过滤机进行尾矿脱水处理，过滤后的尾矿暂存于尾矿仓，后送往鸡西尾矿库；重选后的尾水用水泵输送到水处理车间进行处理，处理达标后的尾水直接用于生产循环使用，做到尾水“零外排”。</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磨浮工段生产为连续稳定运行。主要生产设备为球磨机、浮选设备等。</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浮选采用的捕收剂（药剂）为丁基黄药，是黄药的一种。</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"http://wenwen.soso.com/z/Search.e?sp=S%E9%BB%84%E8%8D%AF&amp;ch=w.search.yjjlink&amp;cid=w.search.yjjlink"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黄药</w:t>
      </w:r>
      <w:r>
        <w:rPr>
          <w:rFonts w:hint="eastAsia" w:ascii="宋体" w:hAnsi="宋体" w:cs="仿宋"/>
          <w:color w:val="000000"/>
          <w:kern w:val="0"/>
          <w:sz w:val="24"/>
        </w:rPr>
        <w:fldChar w:fldCharType="end"/>
      </w:r>
      <w:r>
        <w:rPr>
          <w:rFonts w:hint="eastAsia" w:ascii="宋体" w:hAnsi="宋体" w:cs="仿宋"/>
          <w:color w:val="000000"/>
          <w:kern w:val="0"/>
          <w:sz w:val="24"/>
        </w:rPr>
        <w:t>是浮选硫化矿物（</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"http://wenwen.soso.com/z/Search.e?sp=S%E6%96%B9%E9%93%85%E7%9F%BF&amp;ch=w.search.yjjlink&amp;cid=w.search.yjjlink"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方铅矿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"http://wenwen.soso.com/z/Search.e?sp=S%E9%BB%84%E9%93%9C%E7%9F%BF&amp;ch=w.search.yjjlink&amp;cid=w.search.yjjlink"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黄铜矿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"http://wenwen.soso.com/z/Search.e?sp=S%E9%97%AA%E9%94%8C%E7%9F%BF&amp;ch=w.search.yjjlink&amp;cid=w.search.yjjlink"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闪锌矿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"http://wenwen.soso.com/z/Search.e?sp=S%E9%BB%84%E9%93%81%E7%9F%BF&amp;ch=w.search.yjjlink&amp;cid=w.search.yjjlink"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黄铁矿</w:t>
      </w:r>
      <w:r>
        <w:rPr>
          <w:rFonts w:hint="eastAsia" w:ascii="宋体" w:hAnsi="宋体" w:cs="仿宋"/>
          <w:color w:val="000000"/>
          <w:kern w:val="0"/>
          <w:sz w:val="24"/>
        </w:rPr>
        <w:fldChar w:fldCharType="end"/>
      </w:r>
      <w:r>
        <w:rPr>
          <w:rFonts w:hint="eastAsia" w:ascii="宋体" w:hAnsi="宋体" w:cs="仿宋"/>
          <w:color w:val="000000"/>
          <w:kern w:val="0"/>
          <w:sz w:val="24"/>
        </w:rPr>
        <w:t>等）最常用的捕收剂。黄药由醇、苛性钠、</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"http://wenwen.soso.com/z/Search.e?sp=S%E4%BA%8C%E7%A1%AB%E5%8C%96%E7%A2%B3&amp;ch=w.search.yjjlink&amp;cid=w.search.yjjlink"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二硫化碳</w:t>
      </w:r>
      <w:r>
        <w:rPr>
          <w:rFonts w:hint="eastAsia" w:ascii="宋体" w:hAnsi="宋体" w:cs="仿宋"/>
          <w:color w:val="000000"/>
          <w:kern w:val="0"/>
          <w:sz w:val="24"/>
        </w:rPr>
        <w:fldChar w:fldCharType="end"/>
      </w:r>
      <w:r>
        <w:rPr>
          <w:rFonts w:hint="eastAsia" w:ascii="宋体" w:hAnsi="宋体" w:cs="仿宋"/>
          <w:color w:val="000000"/>
          <w:kern w:val="0"/>
          <w:sz w:val="24"/>
        </w:rPr>
        <w:t>三种原料在一定温度（以15～35℃为宜）条件下作用而成。根据制备黄药时所用的醇的不同（乙醇、丁醇、</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"http://wenwen.soso.com/z/Search.e?sp=S%E6%88%8A%E9%86%87&amp;ch=w.search.yjjlink&amp;cid=w.search.yjjlink"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戊醇</w:t>
      </w:r>
      <w:r>
        <w:rPr>
          <w:rFonts w:hint="eastAsia" w:ascii="宋体" w:hAnsi="宋体" w:cs="仿宋"/>
          <w:color w:val="000000"/>
          <w:kern w:val="0"/>
          <w:sz w:val="24"/>
        </w:rPr>
        <w:fldChar w:fldCharType="end"/>
      </w:r>
      <w:r>
        <w:rPr>
          <w:rFonts w:hint="eastAsia" w:ascii="宋体" w:hAnsi="宋体" w:cs="仿宋"/>
          <w:color w:val="000000"/>
          <w:kern w:val="0"/>
          <w:sz w:val="24"/>
        </w:rPr>
        <w:t>等），所制得的黄药又分别为乙基黄药，丁基黄药，戊基黄药。黄药在常温下是固体的黄色粉末，带有刺激性臭味，有毒，但不是剧毒。它的化学成分是烃基二硫代碳酸盐，分子式为ROCSSMe，其中R为CnH2n+1类烃基，Me为金属钠或钾。黄药易溶于水，在溶解水中解离成黄原</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"http://wenwen.soso.com/z/Search.e?sp=S%E9%85%B8%E6%A0%B9&amp;ch=w.search.yjjlink&amp;cid=w.search.yjjlink"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酸根</w:t>
      </w:r>
      <w:r>
        <w:rPr>
          <w:rFonts w:hint="eastAsia" w:ascii="宋体" w:hAnsi="宋体" w:cs="仿宋"/>
          <w:color w:val="000000"/>
          <w:kern w:val="0"/>
          <w:sz w:val="24"/>
        </w:rPr>
        <w:fldChar w:fldCharType="end"/>
      </w:r>
      <w:r>
        <w:rPr>
          <w:rFonts w:hint="eastAsia" w:ascii="宋体" w:hAnsi="宋体" w:cs="仿宋"/>
          <w:color w:val="000000"/>
          <w:kern w:val="0"/>
          <w:sz w:val="24"/>
        </w:rPr>
        <w:t>阴离子和</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"http://wenwen.soso.com/z/Search.e?sp=S%E8%BD%BB%E9%87%91%E5%B1%9E&amp;ch=w.search.yjjlink&amp;cid=w.search.yjjlink"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轻金属</w:t>
      </w:r>
      <w:r>
        <w:rPr>
          <w:rFonts w:hint="eastAsia" w:ascii="宋体" w:hAnsi="宋体" w:cs="仿宋"/>
          <w:color w:val="000000"/>
          <w:kern w:val="0"/>
          <w:sz w:val="24"/>
        </w:rPr>
        <w:fldChar w:fldCharType="end"/>
      </w:r>
      <w:r>
        <w:rPr>
          <w:rFonts w:hint="eastAsia" w:ascii="宋体" w:hAnsi="宋体" w:cs="仿宋"/>
          <w:color w:val="000000"/>
          <w:kern w:val="0"/>
          <w:sz w:val="24"/>
        </w:rPr>
        <w:t>阳离子；黄原酸根阴离子在水溶液中遇金属阳离子生成对应的重金属黄原酸盐沉淀，为此具有捕收力。黄原酸盐在溶液中不稳定，首先离解为黄原酸离子，黄原酸离子与水发生水解又生成黄原酸，黄原酸为弱酸，不稳定，分解成不起捕收作用的二硫化碳和醇。详见图2-4</w:t>
      </w:r>
    </w:p>
    <w:p>
      <w:pPr>
        <w:spacing w:line="360" w:lineRule="auto"/>
        <w:ind w:firstLine="480" w:firstLineChars="200"/>
        <w:rPr>
          <w:rFonts w:hint="eastAsia" w:ascii="宋体" w:hAnsi="宋体" w:cs="仿宋"/>
          <w:color w:val="000000"/>
          <w:kern w:val="0"/>
          <w:sz w:val="24"/>
        </w:rPr>
      </w:pPr>
      <w:r>
        <w:rPr>
          <w:rFonts w:hint="eastAsia"/>
          <w:color w:val="000000"/>
          <w:sz w:val="24"/>
          <w:lang/>
        </w:rPr>
        <mc:AlternateContent>
          <mc:Choice Requires="wpg">
            <w:drawing>
              <wp:anchor distT="0" distB="0" distL="114300" distR="114300" simplePos="0" relativeHeight="251665408" behindDoc="0" locked="0" layoutInCell="1" allowOverlap="1">
                <wp:simplePos x="0" y="0"/>
                <wp:positionH relativeFrom="column">
                  <wp:posOffset>342900</wp:posOffset>
                </wp:positionH>
                <wp:positionV relativeFrom="paragraph">
                  <wp:posOffset>201295</wp:posOffset>
                </wp:positionV>
                <wp:extent cx="4800600" cy="4754880"/>
                <wp:effectExtent l="5080" t="4445" r="13970" b="22225"/>
                <wp:wrapNone/>
                <wp:docPr id="20" name="组合 6607"/>
                <wp:cNvGraphicFramePr/>
                <a:graphic xmlns:a="http://schemas.openxmlformats.org/drawingml/2006/main">
                  <a:graphicData uri="http://schemas.microsoft.com/office/word/2010/wordprocessingGroup">
                    <wpg:wgp>
                      <wpg:cNvGrpSpPr/>
                      <wpg:grpSpPr>
                        <a:xfrm>
                          <a:off x="0" y="0"/>
                          <a:ext cx="4800600" cy="4754880"/>
                          <a:chOff x="2340" y="1752"/>
                          <a:chExt cx="7560" cy="7644"/>
                        </a:xfrm>
                      </wpg:grpSpPr>
                      <wps:wsp>
                        <wps:cNvPr id="18" name="矩形 6608"/>
                        <wps:cNvSpPr/>
                        <wps:spPr>
                          <a:xfrm>
                            <a:off x="2340" y="1752"/>
                            <a:ext cx="7532" cy="7023"/>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4589780" cy="4309745"/>
                                    <wp:effectExtent l="0" t="0" r="1270" b="0"/>
                                    <wp:docPr id="1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
                                            <pic:cNvPicPr>
                                              <a:picLocks noChangeAspect="1"/>
                                            </pic:cNvPicPr>
                                          </pic:nvPicPr>
                                          <pic:blipFill>
                                            <a:blip r:embed="rId16"/>
                                            <a:stretch>
                                              <a:fillRect/>
                                            </a:stretch>
                                          </pic:blipFill>
                                          <pic:spPr>
                                            <a:xfrm>
                                              <a:off x="0" y="0"/>
                                              <a:ext cx="4589780" cy="4309745"/>
                                            </a:xfrm>
                                            <a:prstGeom prst="rect">
                                              <a:avLst/>
                                            </a:prstGeom>
                                            <a:noFill/>
                                            <a:ln>
                                              <a:noFill/>
                                            </a:ln>
                                          </pic:spPr>
                                        </pic:pic>
                                      </a:graphicData>
                                    </a:graphic>
                                  </wp:inline>
                                </w:drawing>
                              </w:r>
                            </w:p>
                          </w:txbxContent>
                        </wps:txbx>
                        <wps:bodyPr wrap="none" upright="1"/>
                      </wps:wsp>
                      <wps:wsp>
                        <wps:cNvPr id="19" name="矩形 6609"/>
                        <wps:cNvSpPr/>
                        <wps:spPr>
                          <a:xfrm>
                            <a:off x="2340" y="8850"/>
                            <a:ext cx="7560" cy="546"/>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ind w:firstLine="482" w:firstLineChars="200"/>
                                <w:jc w:val="center"/>
                                <w:rPr>
                                  <w:rFonts w:hint="eastAsia"/>
                                  <w:b/>
                                  <w:color w:val="000000"/>
                                  <w:sz w:val="24"/>
                                </w:rPr>
                              </w:pPr>
                              <w:r>
                                <w:rPr>
                                  <w:rFonts w:hint="eastAsia"/>
                                  <w:b/>
                                  <w:color w:val="000000"/>
                                  <w:sz w:val="24"/>
                                </w:rPr>
                                <w:t>图2-4  磨浮工段工艺流程和排污节点示意图</w:t>
                              </w:r>
                            </w:p>
                            <w:p>
                              <w:pPr>
                                <w:rPr>
                                  <w:rFonts w:hint="eastAsia"/>
                                </w:rPr>
                              </w:pPr>
                            </w:p>
                          </w:txbxContent>
                        </wps:txbx>
                        <wps:bodyPr wrap="square" upright="1"/>
                      </wps:wsp>
                    </wpg:wgp>
                  </a:graphicData>
                </a:graphic>
              </wp:anchor>
            </w:drawing>
          </mc:Choice>
          <mc:Fallback>
            <w:pict>
              <v:group id="组合 6607" o:spid="_x0000_s1026" o:spt="203" style="position:absolute;left:0pt;margin-left:27pt;margin-top:15.85pt;height:374.4pt;width:378pt;z-index:251665408;mso-width-relative:page;mso-height-relative:page;" coordorigin="2340,1752" coordsize="7560,7644" o:gfxdata="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">
                <o:lock v:ext="edit" aspectratio="f"/>
                <v:rect id="矩形 6608" o:spid="_x0000_s1026" o:spt="1" style="position:absolute;left:2340;top:1752;height:7023;width:7532;mso-wrap-style:none;" fillcolor="#FFFFFF" filled="t" stroked="t" coordsize="21600,21600" o:gfxdata="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Xi5fG/&#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drawing>
                            <wp:inline distT="0" distB="0" distL="114300" distR="114300">
                              <wp:extent cx="4589780" cy="4309745"/>
                              <wp:effectExtent l="0" t="0" r="1270" b="0"/>
                              <wp:docPr id="17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图片 4"/>
                                      <pic:cNvPicPr>
                                        <a:picLocks noChangeAspect="1"/>
                                      </pic:cNvPicPr>
                                    </pic:nvPicPr>
                                    <pic:blipFill>
                                      <a:blip r:embed="rId16"/>
                                      <a:stretch>
                                        <a:fillRect/>
                                      </a:stretch>
                                    </pic:blipFill>
                                    <pic:spPr>
                                      <a:xfrm>
                                        <a:off x="0" y="0"/>
                                        <a:ext cx="4589780" cy="4309745"/>
                                      </a:xfrm>
                                      <a:prstGeom prst="rect">
                                        <a:avLst/>
                                      </a:prstGeom>
                                      <a:noFill/>
                                      <a:ln>
                                        <a:noFill/>
                                      </a:ln>
                                    </pic:spPr>
                                  </pic:pic>
                                </a:graphicData>
                              </a:graphic>
                            </wp:inline>
                          </w:drawing>
                        </w:r>
                      </w:p>
                    </w:txbxContent>
                  </v:textbox>
                </v:rect>
                <v:rect id="矩形 6609" o:spid="_x0000_s1026" o:spt="1" style="position:absolute;left:2340;top:8850;height:546;width:7560;" fillcolor="#FFFFFF" filled="t" stroked="t" coordsize="21600,21600" o:gfxdata="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jV75LgAAADbAAAA&#10;DwAAAAAAAAABACAAAAAiAAAAZHJzL2Rvd25yZXYueG1sUEsBAhQAFAAAAAgAh07iQDMvBZ47AAAA&#10;OQAAABAAAAAAAAAAAQAgAAAABwEAAGRycy9zaGFwZXhtbC54bWxQSwUGAAAAAAYABgBbAQAAsQMA&#10;AAAA&#10;">
                  <v:fill on="t" focussize="0,0"/>
                  <v:stroke color="#FFFFFF" joinstyle="miter"/>
                  <v:imagedata o:title=""/>
                  <o:lock v:ext="edit" aspectratio="f"/>
                  <v:textbox>
                    <w:txbxContent>
                      <w:p>
                        <w:pPr>
                          <w:spacing w:line="360" w:lineRule="auto"/>
                          <w:ind w:firstLine="482" w:firstLineChars="200"/>
                          <w:jc w:val="center"/>
                          <w:rPr>
                            <w:rFonts w:hint="eastAsia"/>
                            <w:b/>
                            <w:color w:val="000000"/>
                            <w:sz w:val="24"/>
                          </w:rPr>
                        </w:pPr>
                        <w:r>
                          <w:rPr>
                            <w:rFonts w:hint="eastAsia"/>
                            <w:b/>
                            <w:color w:val="000000"/>
                            <w:sz w:val="24"/>
                          </w:rPr>
                          <w:t>图2-4  磨浮工段工艺流程和排污节点示意图</w:t>
                        </w:r>
                      </w:p>
                      <w:p>
                        <w:pPr>
                          <w:rPr>
                            <w:rFonts w:hint="eastAsia"/>
                          </w:rPr>
                        </w:pPr>
                      </w:p>
                    </w:txbxContent>
                  </v:textbox>
                </v:rect>
              </v:group>
            </w:pict>
          </mc:Fallback>
        </mc:AlternateContent>
      </w: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ascii="宋体" w:hAnsi="宋体" w:cs="仿宋"/>
          <w:bCs/>
          <w:color w:val="000000"/>
          <w:kern w:val="0"/>
          <w:sz w:val="24"/>
          <w:szCs w:val="24"/>
        </w:rPr>
      </w:pPr>
      <w:r>
        <w:rPr>
          <w:rFonts w:hint="eastAsia" w:ascii="宋体" w:hAnsi="宋体" w:cs="仿宋"/>
          <w:bCs/>
          <w:color w:val="000000"/>
          <w:kern w:val="0"/>
          <w:sz w:val="24"/>
          <w:szCs w:val="24"/>
        </w:rPr>
        <w:t>（3）浓密脱水工段</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浮选出的锌精矿和铅精矿分别进入浓密机浓密脱水，然后进入过滤机进一步脱水，制得铅精矿和锌精矿产品。硫化矿选矿系统共有三台浓密机，硫化矿选矿系统浮选出的硫化锌精矿使用一台浓密机，最终获得产品为硫化锌精矿和铅精矿2种。详见图2-5。</w:t>
      </w: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r>
        <w:rPr>
          <w:rFonts w:hint="eastAsia"/>
          <w:color w:val="000000"/>
          <w:sz w:val="24"/>
          <w:lang/>
        </w:rPr>
        <mc:AlternateContent>
          <mc:Choice Requires="wpg">
            <w:drawing>
              <wp:anchor distT="0" distB="0" distL="114300" distR="114300" simplePos="0" relativeHeight="251666432" behindDoc="0" locked="0" layoutInCell="1" allowOverlap="1">
                <wp:simplePos x="0" y="0"/>
                <wp:positionH relativeFrom="column">
                  <wp:posOffset>114300</wp:posOffset>
                </wp:positionH>
                <wp:positionV relativeFrom="paragraph">
                  <wp:posOffset>99060</wp:posOffset>
                </wp:positionV>
                <wp:extent cx="5600700" cy="3714750"/>
                <wp:effectExtent l="4445" t="4445" r="14605" b="14605"/>
                <wp:wrapNone/>
                <wp:docPr id="23" name="组合 6610"/>
                <wp:cNvGraphicFramePr/>
                <a:graphic xmlns:a="http://schemas.openxmlformats.org/drawingml/2006/main">
                  <a:graphicData uri="http://schemas.microsoft.com/office/word/2010/wordprocessingGroup">
                    <wpg:wgp>
                      <wpg:cNvGrpSpPr/>
                      <wpg:grpSpPr>
                        <a:xfrm>
                          <a:off x="0" y="0"/>
                          <a:ext cx="5600700" cy="3714750"/>
                          <a:chOff x="1620" y="8070"/>
                          <a:chExt cx="8820" cy="5850"/>
                        </a:xfrm>
                      </wpg:grpSpPr>
                      <wps:wsp>
                        <wps:cNvPr id="21" name="矩形 6611"/>
                        <wps:cNvSpPr/>
                        <wps:spPr>
                          <a:xfrm>
                            <a:off x="1620" y="8070"/>
                            <a:ext cx="8820" cy="507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5408295" cy="3451860"/>
                                    <wp:effectExtent l="0" t="0" r="1905" b="15240"/>
                                    <wp:docPr id="1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
                                            <pic:cNvPicPr>
                                              <a:picLocks noChangeAspect="1"/>
                                            </pic:cNvPicPr>
                                          </pic:nvPicPr>
                                          <pic:blipFill>
                                            <a:blip r:embed="rId17"/>
                                            <a:stretch>
                                              <a:fillRect/>
                                            </a:stretch>
                                          </pic:blipFill>
                                          <pic:spPr>
                                            <a:xfrm>
                                              <a:off x="0" y="0"/>
                                              <a:ext cx="5408295" cy="3451860"/>
                                            </a:xfrm>
                                            <a:prstGeom prst="rect">
                                              <a:avLst/>
                                            </a:prstGeom>
                                            <a:noFill/>
                                            <a:ln>
                                              <a:noFill/>
                                            </a:ln>
                                          </pic:spPr>
                                        </pic:pic>
                                      </a:graphicData>
                                    </a:graphic>
                                  </wp:inline>
                                </w:drawing>
                              </w:r>
                            </w:p>
                          </w:txbxContent>
                        </wps:txbx>
                        <wps:bodyPr wrap="square" upright="1"/>
                      </wps:wsp>
                      <wps:wsp>
                        <wps:cNvPr id="22" name="矩形 6612"/>
                        <wps:cNvSpPr/>
                        <wps:spPr>
                          <a:xfrm>
                            <a:off x="1620" y="13296"/>
                            <a:ext cx="882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ind w:firstLine="482" w:firstLineChars="200"/>
                                <w:jc w:val="center"/>
                                <w:rPr>
                                  <w:rFonts w:hint="eastAsia"/>
                                  <w:b/>
                                  <w:color w:val="000000"/>
                                  <w:sz w:val="24"/>
                                </w:rPr>
                              </w:pPr>
                              <w:r>
                                <w:rPr>
                                  <w:rFonts w:hint="eastAsia"/>
                                  <w:b/>
                                  <w:color w:val="000000"/>
                                  <w:sz w:val="24"/>
                                </w:rPr>
                                <w:t>图2-5    磨浮工段工艺流程和排污节点示意图</w:t>
                              </w:r>
                            </w:p>
                            <w:p>
                              <w:pPr>
                                <w:rPr>
                                  <w:rFonts w:hint="eastAsia"/>
                                  <w:sz w:val="24"/>
                                </w:rPr>
                              </w:pPr>
                            </w:p>
                          </w:txbxContent>
                        </wps:txbx>
                        <wps:bodyPr wrap="square" upright="1"/>
                      </wps:wsp>
                    </wpg:wgp>
                  </a:graphicData>
                </a:graphic>
              </wp:anchor>
            </w:drawing>
          </mc:Choice>
          <mc:Fallback>
            <w:pict>
              <v:group id="组合 6610" o:spid="_x0000_s1026" o:spt="203" style="position:absolute;left:0pt;margin-left:9pt;margin-top:7.8pt;height:292.5pt;width:441pt;z-index:251666432;mso-width-relative:page;mso-height-relative:page;" coordorigin="1620,8070" coordsize="8820,5850" o:gfxdata="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">
                <o:lock v:ext="edit" aspectratio="f"/>
                <v:rect id="矩形 6611" o:spid="_x0000_s1026" o:spt="1" style="position:absolute;left:1620;top:8070;height:5070;width:8820;" fillcolor="#FFFFFF" filled="t" stroked="t" coordsize="21600,21600" o:gfxdata="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kvHG3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r>
                          <w:drawing>
                            <wp:inline distT="0" distB="0" distL="114300" distR="114300">
                              <wp:extent cx="5408295" cy="3451860"/>
                              <wp:effectExtent l="0" t="0" r="1905" b="15240"/>
                              <wp:docPr id="17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图片 5"/>
                                      <pic:cNvPicPr>
                                        <a:picLocks noChangeAspect="1"/>
                                      </pic:cNvPicPr>
                                    </pic:nvPicPr>
                                    <pic:blipFill>
                                      <a:blip r:embed="rId17"/>
                                      <a:stretch>
                                        <a:fillRect/>
                                      </a:stretch>
                                    </pic:blipFill>
                                    <pic:spPr>
                                      <a:xfrm>
                                        <a:off x="0" y="0"/>
                                        <a:ext cx="5408295" cy="3451860"/>
                                      </a:xfrm>
                                      <a:prstGeom prst="rect">
                                        <a:avLst/>
                                      </a:prstGeom>
                                      <a:noFill/>
                                      <a:ln>
                                        <a:noFill/>
                                      </a:ln>
                                    </pic:spPr>
                                  </pic:pic>
                                </a:graphicData>
                              </a:graphic>
                            </wp:inline>
                          </w:drawing>
                        </w:r>
                      </w:p>
                    </w:txbxContent>
                  </v:textbox>
                </v:rect>
                <v:rect id="矩形 6612" o:spid="_x0000_s1026" o:spt="1" style="position:absolute;left:1620;top:13296;height:624;width:8820;" fillcolor="#FFFFFF" filled="t" stroked="t" coordsize="21600,21600" o:gfxdata="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O/SMo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spacing w:line="360" w:lineRule="auto"/>
                          <w:ind w:firstLine="482" w:firstLineChars="200"/>
                          <w:jc w:val="center"/>
                          <w:rPr>
                            <w:rFonts w:hint="eastAsia"/>
                            <w:b/>
                            <w:color w:val="000000"/>
                            <w:sz w:val="24"/>
                          </w:rPr>
                        </w:pPr>
                        <w:r>
                          <w:rPr>
                            <w:rFonts w:hint="eastAsia"/>
                            <w:b/>
                            <w:color w:val="000000"/>
                            <w:sz w:val="24"/>
                          </w:rPr>
                          <w:t>图2-5    磨浮工段工艺流程和排污节点示意图</w:t>
                        </w:r>
                      </w:p>
                      <w:p>
                        <w:pPr>
                          <w:rPr>
                            <w:rFonts w:hint="eastAsia"/>
                            <w:sz w:val="24"/>
                          </w:rPr>
                        </w:pPr>
                      </w:p>
                    </w:txbxContent>
                  </v:textbox>
                </v:rect>
              </v:group>
            </w:pict>
          </mc:Fallback>
        </mc:AlternateContent>
      </w: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（4）尾矿重选工段</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通过浮选工段出来的尾矿和浓密机溢流水进入摇床（6台）（硫化矿系统）进行重选进一步回收铅、锌精矿，产生的尾矿通过尾矿泵送到浓密池，再通过陶瓷过滤机进行尾矿脱水处理，过滤后的尾矿暂存于尾矿仓，后送往鸡西尾矿库。工艺流程图见图2-6。</w:t>
      </w:r>
    </w:p>
    <w:p>
      <w:pPr>
        <w:spacing w:line="360" w:lineRule="auto"/>
        <w:ind w:firstLine="480" w:firstLineChars="200"/>
        <w:rPr>
          <w:rFonts w:hint="eastAsia"/>
          <w:color w:val="000000"/>
          <w:sz w:val="24"/>
        </w:rPr>
      </w:pPr>
      <w:r>
        <w:rPr>
          <w:rFonts w:hint="eastAsia"/>
          <w:color w:val="000000"/>
          <w:sz w:val="24"/>
          <w:lang/>
        </w:rPr>
        <mc:AlternateContent>
          <mc:Choice Requires="wpg">
            <w:drawing>
              <wp:anchor distT="0" distB="0" distL="114300" distR="114300" simplePos="0" relativeHeight="251667456" behindDoc="0" locked="0" layoutInCell="1" allowOverlap="1">
                <wp:simplePos x="0" y="0"/>
                <wp:positionH relativeFrom="column">
                  <wp:posOffset>571500</wp:posOffset>
                </wp:positionH>
                <wp:positionV relativeFrom="paragraph">
                  <wp:posOffset>22225</wp:posOffset>
                </wp:positionV>
                <wp:extent cx="5257800" cy="2674620"/>
                <wp:effectExtent l="5080" t="4445" r="13970" b="6985"/>
                <wp:wrapNone/>
                <wp:docPr id="26" name="组合 6613"/>
                <wp:cNvGraphicFramePr/>
                <a:graphic xmlns:a="http://schemas.openxmlformats.org/drawingml/2006/main">
                  <a:graphicData uri="http://schemas.microsoft.com/office/word/2010/wordprocessingGroup">
                    <wpg:wgp>
                      <wpg:cNvGrpSpPr/>
                      <wpg:grpSpPr>
                        <a:xfrm>
                          <a:off x="0" y="0"/>
                          <a:ext cx="5257800" cy="2674620"/>
                          <a:chOff x="1980" y="1752"/>
                          <a:chExt cx="8280" cy="4680"/>
                        </a:xfrm>
                      </wpg:grpSpPr>
                      <wps:wsp>
                        <wps:cNvPr id="24" name="矩形 6614"/>
                        <wps:cNvSpPr/>
                        <wps:spPr>
                          <a:xfrm>
                            <a:off x="1980" y="1752"/>
                            <a:ext cx="8249" cy="3900"/>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5045710" cy="2250440"/>
                                    <wp:effectExtent l="0" t="0" r="2540" b="16510"/>
                                    <wp:docPr id="1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
                                            <pic:cNvPicPr>
                                              <a:picLocks noChangeAspect="1"/>
                                            </pic:cNvPicPr>
                                          </pic:nvPicPr>
                                          <pic:blipFill>
                                            <a:blip r:embed="rId18"/>
                                            <a:stretch>
                                              <a:fillRect/>
                                            </a:stretch>
                                          </pic:blipFill>
                                          <pic:spPr>
                                            <a:xfrm>
                                              <a:off x="0" y="0"/>
                                              <a:ext cx="5045710" cy="2250440"/>
                                            </a:xfrm>
                                            <a:prstGeom prst="rect">
                                              <a:avLst/>
                                            </a:prstGeom>
                                            <a:noFill/>
                                            <a:ln>
                                              <a:noFill/>
                                            </a:ln>
                                          </pic:spPr>
                                        </pic:pic>
                                      </a:graphicData>
                                    </a:graphic>
                                  </wp:inline>
                                </w:drawing>
                              </w:r>
                            </w:p>
                          </w:txbxContent>
                        </wps:txbx>
                        <wps:bodyPr wrap="none" upright="1"/>
                      </wps:wsp>
                      <wps:wsp>
                        <wps:cNvPr id="25" name="矩形 6615"/>
                        <wps:cNvSpPr/>
                        <wps:spPr>
                          <a:xfrm>
                            <a:off x="1980" y="5808"/>
                            <a:ext cx="8280" cy="624"/>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360" w:lineRule="auto"/>
                                <w:ind w:firstLine="482" w:firstLineChars="200"/>
                                <w:jc w:val="center"/>
                                <w:rPr>
                                  <w:rFonts w:hint="eastAsia"/>
                                  <w:b/>
                                  <w:color w:val="000000"/>
                                  <w:sz w:val="24"/>
                                </w:rPr>
                              </w:pPr>
                              <w:r>
                                <w:rPr>
                                  <w:rFonts w:hint="eastAsia"/>
                                  <w:b/>
                                  <w:color w:val="000000"/>
                                  <w:sz w:val="24"/>
                                </w:rPr>
                                <w:t>图2-6    磨浮工段工艺流程和排污节点示意图</w:t>
                              </w:r>
                            </w:p>
                            <w:p>
                              <w:pPr>
                                <w:rPr>
                                  <w:rFonts w:hint="eastAsia"/>
                                  <w:sz w:val="24"/>
                                </w:rPr>
                              </w:pPr>
                            </w:p>
                          </w:txbxContent>
                        </wps:txbx>
                        <wps:bodyPr wrap="square" upright="1"/>
                      </wps:wsp>
                    </wpg:wgp>
                  </a:graphicData>
                </a:graphic>
              </wp:anchor>
            </w:drawing>
          </mc:Choice>
          <mc:Fallback>
            <w:pict>
              <v:group id="组合 6613" o:spid="_x0000_s1026" o:spt="203" style="position:absolute;left:0pt;margin-left:45pt;margin-top:1.75pt;height:210.6pt;width:414pt;z-index:251667456;mso-width-relative:page;mso-height-relative:page;" coordorigin="1980,1752" coordsize="8280,4680" o:gfxdata="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B7yYtk2QAAAAgBAAAPAAAAAAAAAAEA&#10;IAAAACIAAABkcnMvZG93bnJldi54bWxQSwECFAAUAAAACACHTuJA3MDCErkCAADMBwAADgAAAAAA&#10;AAABACAAAAAoAQAAZHJzL2Uyb0RvYy54bWxQSwUGAAAAAAYABgBZAQAAUwYAAAAA&#10;">
                <o:lock v:ext="edit" aspectratio="f"/>
                <v:rect id="矩形 6614" o:spid="_x0000_s1026" o:spt="1" style="position:absolute;left:1980;top:1752;height:3900;width:8249;mso-wrap-style:none;" fillcolor="#FFFFFF" filled="t" stroked="t" coordsize="21600,21600" o:gfxdata="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rDJUm/&#10;AAAA2wAAAA8AAAAAAAAAAQAgAAAAIgAAAGRycy9kb3ducmV2LnhtbFBLAQIUABQAAAAIAIdO4kAz&#10;LwWeOwAAADkAAAAQAAAAAAAAAAEAIAAAAA4BAABkcnMvc2hhcGV4bWwueG1sUEsFBgAAAAAGAAYA&#10;WwEAALgDAAAAAA==&#10;">
                  <v:fill on="t" focussize="0,0"/>
                  <v:stroke color="#000000" joinstyle="miter"/>
                  <v:imagedata o:title=""/>
                  <o:lock v:ext="edit" aspectratio="f"/>
                  <v:textbox>
                    <w:txbxContent>
                      <w:p>
                        <w:r>
                          <w:drawing>
                            <wp:inline distT="0" distB="0" distL="114300" distR="114300">
                              <wp:extent cx="5045710" cy="2250440"/>
                              <wp:effectExtent l="0" t="0" r="2540" b="16510"/>
                              <wp:docPr id="17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图片 6"/>
                                      <pic:cNvPicPr>
                                        <a:picLocks noChangeAspect="1"/>
                                      </pic:cNvPicPr>
                                    </pic:nvPicPr>
                                    <pic:blipFill>
                                      <a:blip r:embed="rId18"/>
                                      <a:stretch>
                                        <a:fillRect/>
                                      </a:stretch>
                                    </pic:blipFill>
                                    <pic:spPr>
                                      <a:xfrm>
                                        <a:off x="0" y="0"/>
                                        <a:ext cx="5045710" cy="2250440"/>
                                      </a:xfrm>
                                      <a:prstGeom prst="rect">
                                        <a:avLst/>
                                      </a:prstGeom>
                                      <a:noFill/>
                                      <a:ln>
                                        <a:noFill/>
                                      </a:ln>
                                    </pic:spPr>
                                  </pic:pic>
                                </a:graphicData>
                              </a:graphic>
                            </wp:inline>
                          </w:drawing>
                        </w:r>
                      </w:p>
                    </w:txbxContent>
                  </v:textbox>
                </v:rect>
                <v:rect id="矩形 6615" o:spid="_x0000_s1026" o:spt="1" style="position:absolute;left:1980;top:5808;height:624;width:8280;" fillcolor="#FFFFFF" filled="t" stroked="t" coordsize="21600,21600" o:gfxdata="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RS7XL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spacing w:line="360" w:lineRule="auto"/>
                          <w:ind w:firstLine="482" w:firstLineChars="200"/>
                          <w:jc w:val="center"/>
                          <w:rPr>
                            <w:rFonts w:hint="eastAsia"/>
                            <w:b/>
                            <w:color w:val="000000"/>
                            <w:sz w:val="24"/>
                          </w:rPr>
                        </w:pPr>
                        <w:r>
                          <w:rPr>
                            <w:rFonts w:hint="eastAsia"/>
                            <w:b/>
                            <w:color w:val="000000"/>
                            <w:sz w:val="24"/>
                          </w:rPr>
                          <w:t>图2-6    磨浮工段工艺流程和排污节点示意图</w:t>
                        </w:r>
                      </w:p>
                      <w:p>
                        <w:pPr>
                          <w:rPr>
                            <w:rFonts w:hint="eastAsia"/>
                            <w:sz w:val="24"/>
                          </w:rPr>
                        </w:pPr>
                      </w:p>
                    </w:txbxContent>
                  </v:textbox>
                </v:rect>
              </v:group>
            </w:pict>
          </mc:Fallback>
        </mc:AlternateContent>
      </w: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pStyle w:val="5"/>
        <w:spacing w:before="240" w:beforeLines="100" w:after="0" w:line="415" w:lineRule="auto"/>
        <w:rPr>
          <w:rFonts w:ascii="宋体" w:hAnsi="宋体"/>
          <w:bCs w:val="0"/>
          <w:color w:val="000000"/>
          <w:sz w:val="28"/>
          <w:szCs w:val="28"/>
        </w:rPr>
      </w:pPr>
      <w:bookmarkStart w:id="135" w:name="_Toc23000863"/>
      <w:r>
        <w:rPr>
          <w:rFonts w:hint="eastAsia" w:ascii="宋体" w:hAnsi="宋体"/>
          <w:bCs w:val="0"/>
          <w:color w:val="000000"/>
          <w:sz w:val="28"/>
          <w:szCs w:val="28"/>
        </w:rPr>
        <w:t>2.2.2 生产工艺评价</w:t>
      </w:r>
      <w:bookmarkEnd w:id="135"/>
    </w:p>
    <w:p>
      <w:pPr>
        <w:spacing w:line="360" w:lineRule="auto"/>
        <w:ind w:firstLine="480" w:firstLineChars="200"/>
        <w:rPr>
          <w:rFonts w:hint="eastAsia" w:ascii="宋体" w:hAnsi="宋体"/>
          <w:color w:val="000000"/>
          <w:sz w:val="24"/>
        </w:rPr>
      </w:pPr>
      <w:r>
        <w:rPr>
          <w:rFonts w:hint="eastAsia" w:ascii="宋体" w:hAnsi="宋体"/>
          <w:color w:val="000000"/>
          <w:sz w:val="24"/>
        </w:rPr>
        <w:t>根据《产业结构调整指导目录》（2011年本，2013年修正版），公司生产工艺不属淘汰工艺。</w:t>
      </w:r>
    </w:p>
    <w:p>
      <w:pPr>
        <w:pStyle w:val="5"/>
        <w:spacing w:before="240" w:beforeLines="100" w:after="0" w:line="415" w:lineRule="auto"/>
        <w:rPr>
          <w:rFonts w:hint="eastAsia" w:ascii="宋体" w:hAnsi="宋体"/>
          <w:bCs w:val="0"/>
          <w:color w:val="000000"/>
          <w:sz w:val="28"/>
          <w:szCs w:val="28"/>
        </w:rPr>
      </w:pPr>
      <w:bookmarkStart w:id="136" w:name="_Toc23000864"/>
      <w:r>
        <w:rPr>
          <w:rFonts w:hint="eastAsia" w:ascii="宋体" w:hAnsi="宋体"/>
          <w:bCs w:val="0"/>
          <w:color w:val="000000"/>
          <w:sz w:val="28"/>
          <w:szCs w:val="28"/>
        </w:rPr>
        <w:t>2.2.3企业生产设备</w:t>
      </w:r>
      <w:bookmarkEnd w:id="136"/>
    </w:p>
    <w:p>
      <w:pPr>
        <w:spacing w:line="360" w:lineRule="auto"/>
        <w:ind w:firstLine="512" w:firstLineChars="200"/>
        <w:rPr>
          <w:rFonts w:hint="eastAsia" w:ascii="宋体" w:hAnsi="宋体"/>
          <w:color w:val="000000"/>
          <w:spacing w:val="8"/>
          <w:sz w:val="24"/>
          <w:szCs w:val="24"/>
        </w:rPr>
      </w:pPr>
      <w:r>
        <w:rPr>
          <w:rFonts w:hint="eastAsia" w:ascii="宋体" w:hAnsi="宋体"/>
          <w:color w:val="000000"/>
          <w:spacing w:val="8"/>
          <w:sz w:val="24"/>
          <w:szCs w:val="24"/>
        </w:rPr>
        <w:t>矿山采矿设备主要是</w:t>
      </w:r>
      <w:r>
        <w:rPr>
          <w:rFonts w:hint="eastAsia"/>
          <w:color w:val="000000"/>
          <w:sz w:val="24"/>
          <w:szCs w:val="24"/>
        </w:rPr>
        <w:t>凿岩机，提升机等</w:t>
      </w:r>
      <w:r>
        <w:rPr>
          <w:rFonts w:hint="eastAsia" w:ascii="宋体" w:hAnsi="宋体"/>
          <w:color w:val="000000"/>
          <w:spacing w:val="8"/>
          <w:sz w:val="24"/>
          <w:szCs w:val="24"/>
        </w:rPr>
        <w:t>，选矿厂主要生产工序有破碎工序、磨浮工段、浓密脱水工段和尾矿重选工段，关键设备有破碎机、球磨机、浮选机、过滤机和摇床。主要生产设备见下表2-4、表2-5和表2-6。</w:t>
      </w:r>
    </w:p>
    <w:p>
      <w:pPr>
        <w:spacing w:line="280" w:lineRule="exact"/>
        <w:jc w:val="center"/>
        <w:rPr>
          <w:b/>
          <w:color w:val="000000"/>
          <w:sz w:val="24"/>
          <w:szCs w:val="24"/>
        </w:rPr>
      </w:pPr>
      <w:r>
        <w:rPr>
          <w:rFonts w:hint="eastAsia"/>
          <w:b/>
          <w:color w:val="000000"/>
          <w:sz w:val="24"/>
          <w:szCs w:val="24"/>
        </w:rPr>
        <w:t>表</w:t>
      </w:r>
      <w:r>
        <w:rPr>
          <w:b/>
          <w:color w:val="000000"/>
          <w:sz w:val="24"/>
          <w:szCs w:val="24"/>
        </w:rPr>
        <w:t>2</w:t>
      </w:r>
      <w:r>
        <w:rPr>
          <w:rFonts w:hint="eastAsia"/>
          <w:b/>
          <w:color w:val="000000"/>
          <w:sz w:val="24"/>
          <w:szCs w:val="24"/>
        </w:rPr>
        <w:t>-4  采矿系统主要设备一览表</w:t>
      </w:r>
    </w:p>
    <w:tbl>
      <w:tblPr>
        <w:tblStyle w:val="35"/>
        <w:tblW w:w="4947"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651"/>
        <w:gridCol w:w="1737"/>
        <w:gridCol w:w="1863"/>
        <w:gridCol w:w="1079"/>
        <w:gridCol w:w="2699"/>
        <w:gridCol w:w="144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序号</w:t>
            </w:r>
          </w:p>
        </w:tc>
        <w:tc>
          <w:tcPr>
            <w:tcW w:w="91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设备名称</w:t>
            </w:r>
          </w:p>
        </w:tc>
        <w:tc>
          <w:tcPr>
            <w:tcW w:w="98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规格</w:t>
            </w:r>
          </w:p>
        </w:tc>
        <w:tc>
          <w:tcPr>
            <w:tcW w:w="57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数量</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作用</w:t>
            </w:r>
          </w:p>
        </w:tc>
        <w:tc>
          <w:tcPr>
            <w:tcW w:w="76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是否是高耗能淘汰设备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91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凿岩机</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YTP26</w:t>
            </w:r>
          </w:p>
        </w:tc>
        <w:tc>
          <w:tcPr>
            <w:tcW w:w="57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r>
              <w:rPr>
                <w:rFonts w:hint="eastAsia" w:ascii="宋体" w:hAnsi="宋体" w:eastAsia="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掘进工作、采准凿岩</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p>
        </w:tc>
        <w:tc>
          <w:tcPr>
            <w:tcW w:w="91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风机</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K40-6NO15</w:t>
            </w:r>
          </w:p>
        </w:tc>
        <w:tc>
          <w:tcPr>
            <w:tcW w:w="57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r>
              <w:rPr>
                <w:rFonts w:hint="eastAsia" w:ascii="宋体" w:hAnsi="宋体" w:eastAsia="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矿井通风</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w:t>
            </w:r>
          </w:p>
        </w:tc>
        <w:tc>
          <w:tcPr>
            <w:tcW w:w="91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提升机</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JTP1.2*1.0P</w:t>
            </w:r>
          </w:p>
        </w:tc>
        <w:tc>
          <w:tcPr>
            <w:tcW w:w="57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r>
              <w:rPr>
                <w:rFonts w:hint="eastAsia" w:ascii="宋体" w:hAnsi="宋体" w:eastAsia="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对矿石进行提升</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4</w:t>
            </w:r>
          </w:p>
        </w:tc>
        <w:tc>
          <w:tcPr>
            <w:tcW w:w="91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扒渣机</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ZWY-60/18.5T0H</w:t>
            </w:r>
          </w:p>
        </w:tc>
        <w:tc>
          <w:tcPr>
            <w:tcW w:w="57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r>
              <w:rPr>
                <w:rFonts w:hint="eastAsia" w:ascii="宋体" w:hAnsi="宋体" w:eastAsia="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对破碎后的矿石进行收集</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917" w:type="pct"/>
            <w:noWrap w:val="0"/>
            <w:vAlign w:val="center"/>
          </w:tcPr>
          <w:p>
            <w:pPr>
              <w:tabs>
                <w:tab w:val="left" w:pos="0"/>
              </w:tabs>
              <w:adjustRightInd w:val="0"/>
              <w:snapToGrid w:val="0"/>
              <w:spacing w:line="280" w:lineRule="exact"/>
              <w:jc w:val="center"/>
              <w:rPr>
                <w:rFonts w:ascii="宋体" w:hAnsi="宋体"/>
                <w:color w:val="000000"/>
                <w:szCs w:val="21"/>
              </w:rPr>
            </w:pPr>
            <w:r>
              <w:rPr>
                <w:rFonts w:ascii="宋体" w:hAnsi="宋体"/>
                <w:color w:val="000000"/>
                <w:szCs w:val="21"/>
              </w:rPr>
              <w:t>3t</w:t>
            </w:r>
            <w:r>
              <w:rPr>
                <w:rFonts w:hint="eastAsia" w:ascii="宋体" w:hAnsi="宋体"/>
                <w:color w:val="000000"/>
                <w:szCs w:val="21"/>
              </w:rPr>
              <w:t>滑触式电机车</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570" w:type="pct"/>
            <w:noWrap w:val="0"/>
            <w:vAlign w:val="center"/>
          </w:tcPr>
          <w:p>
            <w:pPr>
              <w:tabs>
                <w:tab w:val="left" w:pos="0"/>
              </w:tabs>
              <w:adjustRightInd w:val="0"/>
              <w:snapToGrid w:val="0"/>
              <w:spacing w:line="280" w:lineRule="exact"/>
              <w:jc w:val="center"/>
              <w:rPr>
                <w:rFonts w:ascii="宋体" w:hAnsi="宋体"/>
                <w:color w:val="000000"/>
                <w:szCs w:val="21"/>
              </w:rPr>
            </w:pPr>
            <w:r>
              <w:rPr>
                <w:rFonts w:ascii="宋体" w:hAnsi="宋体"/>
                <w:color w:val="000000"/>
                <w:szCs w:val="21"/>
              </w:rPr>
              <w:t>3</w:t>
            </w:r>
            <w:r>
              <w:rPr>
                <w:rFonts w:hint="eastAsia" w:ascii="宋体" w:hAnsi="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矿石运输</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w:t>
            </w:r>
          </w:p>
        </w:tc>
        <w:tc>
          <w:tcPr>
            <w:tcW w:w="917" w:type="pct"/>
            <w:noWrap w:val="0"/>
            <w:vAlign w:val="center"/>
          </w:tcPr>
          <w:p>
            <w:pPr>
              <w:tabs>
                <w:tab w:val="left" w:pos="0"/>
              </w:tabs>
              <w:adjustRightInd w:val="0"/>
              <w:snapToGrid w:val="0"/>
              <w:spacing w:line="280" w:lineRule="exact"/>
              <w:jc w:val="center"/>
              <w:rPr>
                <w:rFonts w:ascii="宋体" w:hAnsi="宋体"/>
                <w:color w:val="000000"/>
                <w:szCs w:val="21"/>
              </w:rPr>
            </w:pPr>
            <w:r>
              <w:rPr>
                <w:rFonts w:hint="eastAsia" w:ascii="宋体" w:hAnsi="宋体"/>
                <w:color w:val="000000"/>
                <w:szCs w:val="21"/>
              </w:rPr>
              <w:t>装载机</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570" w:type="pct"/>
            <w:noWrap w:val="0"/>
            <w:vAlign w:val="center"/>
          </w:tcPr>
          <w:p>
            <w:pPr>
              <w:tabs>
                <w:tab w:val="left" w:pos="0"/>
              </w:tabs>
              <w:adjustRightInd w:val="0"/>
              <w:snapToGrid w:val="0"/>
              <w:spacing w:line="280" w:lineRule="exact"/>
              <w:jc w:val="center"/>
              <w:rPr>
                <w:rFonts w:ascii="宋体" w:hAnsi="宋体"/>
                <w:color w:val="000000"/>
                <w:szCs w:val="21"/>
              </w:rPr>
            </w:pPr>
            <w:r>
              <w:rPr>
                <w:rFonts w:ascii="宋体" w:hAnsi="宋体"/>
                <w:color w:val="000000"/>
                <w:szCs w:val="21"/>
              </w:rPr>
              <w:t>3</w:t>
            </w:r>
            <w:r>
              <w:rPr>
                <w:rFonts w:hint="eastAsia" w:ascii="宋体" w:hAnsi="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矿石装卸</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w:t>
            </w:r>
          </w:p>
        </w:tc>
        <w:tc>
          <w:tcPr>
            <w:tcW w:w="917" w:type="pct"/>
            <w:noWrap w:val="0"/>
            <w:vAlign w:val="center"/>
          </w:tcPr>
          <w:p>
            <w:pPr>
              <w:tabs>
                <w:tab w:val="left" w:pos="0"/>
              </w:tabs>
              <w:adjustRightInd w:val="0"/>
              <w:snapToGrid w:val="0"/>
              <w:spacing w:line="280" w:lineRule="exact"/>
              <w:jc w:val="center"/>
              <w:rPr>
                <w:rFonts w:ascii="宋体" w:hAnsi="宋体"/>
                <w:color w:val="000000"/>
                <w:szCs w:val="21"/>
              </w:rPr>
            </w:pPr>
            <w:r>
              <w:rPr>
                <w:rFonts w:hint="eastAsia" w:ascii="宋体" w:hAnsi="宋体"/>
                <w:color w:val="000000"/>
                <w:szCs w:val="21"/>
              </w:rPr>
              <w:t>提升绞车</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JK-1.2×1.0P</w:t>
            </w:r>
          </w:p>
        </w:tc>
        <w:tc>
          <w:tcPr>
            <w:tcW w:w="570" w:type="pct"/>
            <w:noWrap w:val="0"/>
            <w:vAlign w:val="center"/>
          </w:tcPr>
          <w:p>
            <w:pPr>
              <w:tabs>
                <w:tab w:val="left" w:pos="0"/>
              </w:tabs>
              <w:adjustRightInd w:val="0"/>
              <w:snapToGrid w:val="0"/>
              <w:spacing w:line="280" w:lineRule="exact"/>
              <w:jc w:val="center"/>
              <w:rPr>
                <w:rFonts w:ascii="宋体" w:hAnsi="宋体"/>
                <w:color w:val="000000"/>
                <w:szCs w:val="21"/>
              </w:rPr>
            </w:pPr>
            <w:r>
              <w:rPr>
                <w:rFonts w:ascii="宋体" w:hAnsi="宋体"/>
                <w:color w:val="000000"/>
                <w:szCs w:val="21"/>
              </w:rPr>
              <w:t>3</w:t>
            </w:r>
            <w:r>
              <w:rPr>
                <w:rFonts w:hint="eastAsia" w:ascii="宋体" w:hAnsi="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矿石提升</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w:t>
            </w:r>
          </w:p>
        </w:tc>
        <w:tc>
          <w:tcPr>
            <w:tcW w:w="917" w:type="pct"/>
            <w:noWrap w:val="0"/>
            <w:vAlign w:val="center"/>
          </w:tcPr>
          <w:p>
            <w:pPr>
              <w:tabs>
                <w:tab w:val="left" w:pos="0"/>
              </w:tabs>
              <w:adjustRightInd w:val="0"/>
              <w:snapToGrid w:val="0"/>
              <w:spacing w:line="280" w:lineRule="exact"/>
              <w:jc w:val="center"/>
              <w:rPr>
                <w:rFonts w:ascii="宋体" w:hAnsi="宋体"/>
                <w:color w:val="000000"/>
                <w:szCs w:val="21"/>
              </w:rPr>
            </w:pPr>
            <w:r>
              <w:rPr>
                <w:rFonts w:hint="eastAsia" w:ascii="宋体" w:hAnsi="宋体"/>
                <w:color w:val="000000"/>
                <w:szCs w:val="21"/>
              </w:rPr>
              <w:t>空压机</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LG-20/8G</w:t>
            </w:r>
          </w:p>
        </w:tc>
        <w:tc>
          <w:tcPr>
            <w:tcW w:w="570" w:type="pct"/>
            <w:noWrap w:val="0"/>
            <w:vAlign w:val="center"/>
          </w:tcPr>
          <w:p>
            <w:pPr>
              <w:tabs>
                <w:tab w:val="left" w:pos="0"/>
              </w:tabs>
              <w:adjustRightInd w:val="0"/>
              <w:snapToGrid w:val="0"/>
              <w:spacing w:line="280" w:lineRule="exact"/>
              <w:jc w:val="center"/>
              <w:rPr>
                <w:rFonts w:ascii="宋体" w:hAnsi="宋体"/>
                <w:color w:val="000000"/>
                <w:szCs w:val="21"/>
              </w:rPr>
            </w:pPr>
            <w:r>
              <w:rPr>
                <w:rFonts w:ascii="宋体" w:hAnsi="宋体"/>
                <w:color w:val="000000"/>
                <w:szCs w:val="21"/>
              </w:rPr>
              <w:t>5</w:t>
            </w:r>
            <w:r>
              <w:rPr>
                <w:rFonts w:hint="eastAsia" w:ascii="宋体" w:hAnsi="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抽提矿井涌水</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9</w:t>
            </w:r>
          </w:p>
        </w:tc>
        <w:tc>
          <w:tcPr>
            <w:tcW w:w="917" w:type="pct"/>
            <w:noWrap w:val="0"/>
            <w:vAlign w:val="center"/>
          </w:tcPr>
          <w:p>
            <w:pPr>
              <w:tabs>
                <w:tab w:val="left" w:pos="0"/>
              </w:tabs>
              <w:adjustRightInd w:val="0"/>
              <w:snapToGrid w:val="0"/>
              <w:spacing w:line="280" w:lineRule="exact"/>
              <w:jc w:val="center"/>
              <w:rPr>
                <w:rFonts w:ascii="宋体" w:hAnsi="宋体"/>
                <w:color w:val="000000"/>
                <w:szCs w:val="21"/>
              </w:rPr>
            </w:pPr>
            <w:r>
              <w:rPr>
                <w:rFonts w:hint="eastAsia" w:ascii="宋体" w:hAnsi="宋体"/>
                <w:color w:val="000000"/>
                <w:szCs w:val="21"/>
              </w:rPr>
              <w:t>翻斗式矿车</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0.7m</w:t>
            </w:r>
            <w:r>
              <w:rPr>
                <w:rFonts w:ascii="宋体" w:hAnsi="宋体" w:eastAsia="宋体"/>
                <w:color w:val="000000"/>
                <w:szCs w:val="21"/>
                <w:vertAlign w:val="superscript"/>
              </w:rPr>
              <w:t>3</w:t>
            </w:r>
          </w:p>
        </w:tc>
        <w:tc>
          <w:tcPr>
            <w:tcW w:w="570" w:type="pct"/>
            <w:noWrap w:val="0"/>
            <w:vAlign w:val="center"/>
          </w:tcPr>
          <w:p>
            <w:pPr>
              <w:tabs>
                <w:tab w:val="left" w:pos="0"/>
              </w:tabs>
              <w:adjustRightInd w:val="0"/>
              <w:snapToGrid w:val="0"/>
              <w:spacing w:line="280" w:lineRule="exact"/>
              <w:jc w:val="center"/>
              <w:rPr>
                <w:rFonts w:ascii="宋体" w:hAnsi="宋体"/>
                <w:color w:val="000000"/>
                <w:szCs w:val="21"/>
              </w:rPr>
            </w:pPr>
            <w:r>
              <w:rPr>
                <w:rFonts w:ascii="宋体" w:hAnsi="宋体"/>
                <w:color w:val="000000"/>
                <w:szCs w:val="21"/>
              </w:rPr>
              <w:t>40</w:t>
            </w:r>
            <w:r>
              <w:rPr>
                <w:rFonts w:hint="eastAsia" w:ascii="宋体" w:hAnsi="宋体"/>
                <w:color w:val="000000"/>
                <w:szCs w:val="21"/>
              </w:rPr>
              <w:t>辆</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矿石运输</w:t>
            </w:r>
          </w:p>
        </w:tc>
        <w:tc>
          <w:tcPr>
            <w:tcW w:w="761" w:type="pct"/>
            <w:noWrap w:val="0"/>
            <w:vAlign w:val="top"/>
          </w:tcPr>
          <w:p>
            <w:pPr>
              <w:jc w:val="center"/>
              <w:rPr>
                <w:color w:val="000000"/>
              </w:rPr>
            </w:pPr>
            <w:r>
              <w:rPr>
                <w:rFonts w:hint="eastAsia" w:ascii="宋体" w:hAnsi="宋体"/>
                <w:color w:val="000000"/>
                <w:szCs w:val="21"/>
              </w:rPr>
              <w:t>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5" w:hRule="atLeast"/>
        </w:trPr>
        <w:tc>
          <w:tcPr>
            <w:tcW w:w="34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917" w:type="pct"/>
            <w:noWrap w:val="0"/>
            <w:vAlign w:val="center"/>
          </w:tcPr>
          <w:p>
            <w:pPr>
              <w:tabs>
                <w:tab w:val="left" w:pos="0"/>
              </w:tabs>
              <w:adjustRightInd w:val="0"/>
              <w:snapToGrid w:val="0"/>
              <w:spacing w:line="280" w:lineRule="exact"/>
              <w:jc w:val="center"/>
              <w:rPr>
                <w:rFonts w:ascii="宋体" w:hAnsi="宋体"/>
                <w:color w:val="000000"/>
                <w:szCs w:val="21"/>
              </w:rPr>
            </w:pPr>
            <w:r>
              <w:rPr>
                <w:rFonts w:hint="eastAsia" w:ascii="宋体" w:hAnsi="宋体"/>
                <w:color w:val="000000"/>
                <w:szCs w:val="21"/>
              </w:rPr>
              <w:t>电耙</w:t>
            </w:r>
          </w:p>
        </w:tc>
        <w:tc>
          <w:tcPr>
            <w:tcW w:w="98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2DPJ-30</w:t>
            </w:r>
          </w:p>
        </w:tc>
        <w:tc>
          <w:tcPr>
            <w:tcW w:w="570" w:type="pct"/>
            <w:noWrap w:val="0"/>
            <w:vAlign w:val="center"/>
          </w:tcPr>
          <w:p>
            <w:pPr>
              <w:tabs>
                <w:tab w:val="left" w:pos="0"/>
              </w:tabs>
              <w:adjustRightInd w:val="0"/>
              <w:snapToGrid w:val="0"/>
              <w:spacing w:line="280" w:lineRule="exact"/>
              <w:jc w:val="center"/>
              <w:rPr>
                <w:rFonts w:ascii="宋体" w:hAnsi="宋体"/>
                <w:color w:val="000000"/>
                <w:szCs w:val="21"/>
              </w:rPr>
            </w:pPr>
            <w:r>
              <w:rPr>
                <w:rFonts w:ascii="宋体" w:hAnsi="宋体"/>
                <w:color w:val="000000"/>
                <w:szCs w:val="21"/>
              </w:rPr>
              <w:t>5</w:t>
            </w:r>
            <w:r>
              <w:rPr>
                <w:rFonts w:hint="eastAsia" w:ascii="宋体" w:hAnsi="宋体"/>
                <w:color w:val="000000"/>
                <w:szCs w:val="21"/>
              </w:rPr>
              <w:t>台</w:t>
            </w:r>
          </w:p>
        </w:tc>
        <w:tc>
          <w:tcPr>
            <w:tcW w:w="14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开采</w:t>
            </w:r>
          </w:p>
        </w:tc>
        <w:tc>
          <w:tcPr>
            <w:tcW w:w="761" w:type="pct"/>
            <w:noWrap w:val="0"/>
            <w:vAlign w:val="top"/>
          </w:tcPr>
          <w:p>
            <w:pPr>
              <w:jc w:val="center"/>
              <w:rPr>
                <w:color w:val="000000"/>
              </w:rPr>
            </w:pPr>
            <w:r>
              <w:rPr>
                <w:rFonts w:hint="eastAsia" w:ascii="宋体" w:hAnsi="宋体"/>
                <w:color w:val="000000"/>
                <w:szCs w:val="21"/>
              </w:rPr>
              <w:t>否</w:t>
            </w:r>
          </w:p>
        </w:tc>
      </w:tr>
    </w:tbl>
    <w:p>
      <w:pPr>
        <w:jc w:val="center"/>
        <w:rPr>
          <w:rFonts w:ascii="宋体" w:hAnsi="宋体"/>
          <w:b/>
          <w:color w:val="000000"/>
          <w:sz w:val="24"/>
        </w:rPr>
      </w:pPr>
      <w:r>
        <w:rPr>
          <w:rFonts w:hint="eastAsia" w:ascii="宋体" w:hAnsi="宋体"/>
          <w:b/>
          <w:color w:val="000000"/>
          <w:sz w:val="24"/>
        </w:rPr>
        <w:t>表2-5    选矿厂主要生产设备一览表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2048"/>
        <w:gridCol w:w="1980"/>
        <w:gridCol w:w="900"/>
        <w:gridCol w:w="2552"/>
        <w:gridCol w:w="12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8" w:hRule="atLeast"/>
          <w:jc w:val="center"/>
        </w:trPr>
        <w:tc>
          <w:tcPr>
            <w:tcW w:w="71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序号</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设备名称</w:t>
            </w:r>
          </w:p>
        </w:tc>
        <w:tc>
          <w:tcPr>
            <w:tcW w:w="1980" w:type="dxa"/>
            <w:noWrap w:val="0"/>
            <w:vAlign w:val="center"/>
          </w:tcPr>
          <w:p>
            <w:pPr>
              <w:spacing w:line="260" w:lineRule="exact"/>
              <w:jc w:val="center"/>
              <w:rPr>
                <w:rFonts w:ascii="宋体" w:hAnsi="宋体"/>
                <w:color w:val="000000"/>
                <w:szCs w:val="21"/>
              </w:rPr>
            </w:pPr>
            <w:r>
              <w:rPr>
                <w:rFonts w:hint="eastAsia" w:ascii="宋体" w:hAnsi="宋体"/>
                <w:color w:val="000000"/>
                <w:szCs w:val="21"/>
              </w:rPr>
              <w:t>规格</w:t>
            </w:r>
          </w:p>
        </w:tc>
        <w:tc>
          <w:tcPr>
            <w:tcW w:w="900"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数量</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作用</w:t>
            </w:r>
          </w:p>
        </w:tc>
        <w:tc>
          <w:tcPr>
            <w:tcW w:w="1281"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是否是高耗能淘汰设备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3" w:hRule="atLeast"/>
          <w:jc w:val="center"/>
        </w:trPr>
        <w:tc>
          <w:tcPr>
            <w:tcW w:w="9473" w:type="dxa"/>
            <w:gridSpan w:val="6"/>
            <w:noWrap w:val="0"/>
            <w:vAlign w:val="center"/>
          </w:tcPr>
          <w:p>
            <w:pPr>
              <w:spacing w:line="260" w:lineRule="exact"/>
              <w:rPr>
                <w:rFonts w:ascii="宋体" w:hAnsi="宋体"/>
                <w:color w:val="000000"/>
                <w:szCs w:val="21"/>
              </w:rPr>
            </w:pPr>
            <w:r>
              <w:rPr>
                <w:rFonts w:ascii="宋体" w:hAnsi="宋体"/>
                <w:color w:val="000000"/>
                <w:szCs w:val="21"/>
              </w:rPr>
              <w:t>200吨硫化系统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1" w:hRule="atLeast"/>
          <w:jc w:val="center"/>
        </w:trPr>
        <w:tc>
          <w:tcPr>
            <w:tcW w:w="712" w:type="dxa"/>
            <w:noWrap w:val="0"/>
            <w:vAlign w:val="center"/>
          </w:tcPr>
          <w:p>
            <w:pPr>
              <w:spacing w:line="260" w:lineRule="exact"/>
              <w:ind w:firstLine="105" w:firstLineChars="50"/>
              <w:jc w:val="center"/>
              <w:rPr>
                <w:rFonts w:hint="eastAsia" w:ascii="宋体" w:hAnsi="宋体"/>
                <w:color w:val="000000"/>
                <w:szCs w:val="21"/>
              </w:rPr>
            </w:pPr>
          </w:p>
        </w:tc>
        <w:tc>
          <w:tcPr>
            <w:tcW w:w="8761" w:type="dxa"/>
            <w:gridSpan w:val="5"/>
            <w:noWrap w:val="0"/>
            <w:vAlign w:val="center"/>
          </w:tcPr>
          <w:p>
            <w:pPr>
              <w:spacing w:line="260" w:lineRule="exact"/>
              <w:rPr>
                <w:rFonts w:ascii="宋体" w:hAnsi="宋体"/>
                <w:b/>
                <w:color w:val="000000"/>
                <w:szCs w:val="21"/>
              </w:rPr>
            </w:pPr>
            <w:r>
              <w:rPr>
                <w:rFonts w:hint="eastAsia" w:ascii="宋体" w:hAnsi="宋体"/>
                <w:color w:val="000000"/>
                <w:szCs w:val="21"/>
              </w:rPr>
              <w:t>破碎工段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1"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1</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颚式破碎机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400</w:t>
            </w:r>
            <w:r>
              <w:rPr>
                <w:rFonts w:hint="eastAsia" w:ascii="宋体" w:hAnsi="宋体"/>
                <w:color w:val="000000"/>
                <w:szCs w:val="21"/>
              </w:rPr>
              <w:t>×</w:t>
            </w:r>
            <w:r>
              <w:rPr>
                <w:rFonts w:ascii="宋体" w:hAnsi="宋体"/>
                <w:color w:val="000000"/>
                <w:szCs w:val="21"/>
              </w:rPr>
              <w:t>600</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对矿石进行粗碎</w:t>
            </w:r>
          </w:p>
        </w:tc>
        <w:tc>
          <w:tcPr>
            <w:tcW w:w="1281"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7"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2</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圆锥破碎机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K141400A</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对矿石进行细碎</w:t>
            </w:r>
          </w:p>
        </w:tc>
        <w:tc>
          <w:tcPr>
            <w:tcW w:w="1281" w:type="dxa"/>
            <w:noWrap w:val="0"/>
            <w:vAlign w:val="center"/>
          </w:tcPr>
          <w:p>
            <w:pPr>
              <w:spacing w:line="26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4" w:hRule="atLeast"/>
          <w:jc w:val="center"/>
        </w:trPr>
        <w:tc>
          <w:tcPr>
            <w:tcW w:w="712" w:type="dxa"/>
            <w:noWrap w:val="0"/>
            <w:vAlign w:val="center"/>
          </w:tcPr>
          <w:p>
            <w:pPr>
              <w:spacing w:line="260" w:lineRule="exact"/>
              <w:jc w:val="center"/>
              <w:rPr>
                <w:rFonts w:ascii="宋体" w:hAnsi="宋体"/>
                <w:color w:val="000000"/>
                <w:szCs w:val="21"/>
              </w:rPr>
            </w:pPr>
          </w:p>
        </w:tc>
        <w:tc>
          <w:tcPr>
            <w:tcW w:w="4928" w:type="dxa"/>
            <w:gridSpan w:val="3"/>
            <w:noWrap w:val="0"/>
            <w:vAlign w:val="center"/>
          </w:tcPr>
          <w:p>
            <w:pPr>
              <w:spacing w:line="260" w:lineRule="exact"/>
              <w:rPr>
                <w:rFonts w:ascii="宋体" w:hAnsi="宋体"/>
                <w:color w:val="000000"/>
                <w:szCs w:val="21"/>
              </w:rPr>
            </w:pPr>
            <w:r>
              <w:rPr>
                <w:rFonts w:hint="eastAsia" w:ascii="宋体" w:hAnsi="宋体"/>
                <w:color w:val="000000"/>
                <w:szCs w:val="21"/>
              </w:rPr>
              <w:t>磨浮工段</w:t>
            </w:r>
          </w:p>
        </w:tc>
        <w:tc>
          <w:tcPr>
            <w:tcW w:w="2552" w:type="dxa"/>
            <w:noWrap w:val="0"/>
            <w:vAlign w:val="center"/>
          </w:tcPr>
          <w:p>
            <w:pPr>
              <w:spacing w:line="260" w:lineRule="exact"/>
              <w:rPr>
                <w:rFonts w:ascii="宋体" w:hAnsi="宋体"/>
                <w:color w:val="000000"/>
                <w:szCs w:val="21"/>
              </w:rPr>
            </w:pPr>
          </w:p>
        </w:tc>
        <w:tc>
          <w:tcPr>
            <w:tcW w:w="1281" w:type="dxa"/>
            <w:noWrap w:val="0"/>
            <w:vAlign w:val="top"/>
          </w:tcPr>
          <w:p>
            <w:pPr>
              <w:spacing w:line="2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6"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1</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湿式格子型球磨机</w:t>
            </w:r>
          </w:p>
        </w:tc>
        <w:tc>
          <w:tcPr>
            <w:tcW w:w="1980" w:type="dxa"/>
            <w:noWrap w:val="0"/>
            <w:vAlign w:val="center"/>
          </w:tcPr>
          <w:p>
            <w:pPr>
              <w:spacing w:line="260" w:lineRule="exact"/>
              <w:jc w:val="center"/>
              <w:rPr>
                <w:rFonts w:ascii="宋体" w:hAnsi="宋体"/>
                <w:color w:val="000000"/>
                <w:szCs w:val="21"/>
              </w:rPr>
            </w:pPr>
            <w:r>
              <w:rPr>
                <w:rFonts w:hint="eastAsia" w:ascii="宋体" w:hAnsi="宋体"/>
                <w:color w:val="000000"/>
                <w:szCs w:val="21"/>
              </w:rPr>
              <w:t>Φ</w:t>
            </w:r>
            <w:r>
              <w:rPr>
                <w:rFonts w:ascii="宋体" w:hAnsi="宋体"/>
                <w:color w:val="000000"/>
                <w:szCs w:val="21"/>
              </w:rPr>
              <w:t>1500</w:t>
            </w:r>
            <w:r>
              <w:rPr>
                <w:rFonts w:hint="eastAsia" w:ascii="宋体" w:hAnsi="宋体"/>
                <w:color w:val="000000"/>
                <w:szCs w:val="21"/>
              </w:rPr>
              <w:t>×</w:t>
            </w:r>
            <w:r>
              <w:rPr>
                <w:rFonts w:ascii="宋体" w:hAnsi="宋体"/>
                <w:color w:val="000000"/>
                <w:szCs w:val="21"/>
              </w:rPr>
              <w:t>3000</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对矿石进行细磨</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1"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2</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单螺旋分级机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FG-12</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对粗矿砂进行返回二次细磨</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06"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3</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浮选机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XGK1.1M</w:t>
            </w:r>
            <w:r>
              <w:rPr>
                <w:rFonts w:ascii="宋体" w:hAnsi="宋体"/>
                <w:color w:val="000000"/>
                <w:szCs w:val="21"/>
                <w:vertAlign w:val="superscript"/>
              </w:rPr>
              <w:t>3</w:t>
            </w:r>
            <w:r>
              <w:rPr>
                <w:rFonts w:ascii="宋体" w:hAnsi="宋体"/>
                <w:color w:val="000000"/>
                <w:szCs w:val="21"/>
              </w:rPr>
              <w:t>/XF0.7M</w:t>
            </w:r>
            <w:r>
              <w:rPr>
                <w:rFonts w:ascii="宋体" w:hAnsi="宋体"/>
                <w:color w:val="000000"/>
                <w:szCs w:val="21"/>
                <w:vertAlign w:val="superscript"/>
              </w:rPr>
              <w:t>3</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24</w:t>
            </w:r>
            <w:r>
              <w:rPr>
                <w:rFonts w:hint="eastAsia" w:ascii="宋体" w:hAnsi="宋体"/>
                <w:color w:val="000000"/>
                <w:szCs w:val="21"/>
              </w:rPr>
              <w:t>台</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对矿石进行浮选</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5" w:hRule="atLeast"/>
          <w:jc w:val="center"/>
        </w:trPr>
        <w:tc>
          <w:tcPr>
            <w:tcW w:w="712" w:type="dxa"/>
            <w:noWrap w:val="0"/>
            <w:vAlign w:val="center"/>
          </w:tcPr>
          <w:p>
            <w:pPr>
              <w:spacing w:line="260" w:lineRule="exact"/>
              <w:ind w:firstLine="105" w:firstLineChars="50"/>
              <w:jc w:val="center"/>
              <w:rPr>
                <w:rFonts w:ascii="宋体" w:hAnsi="宋体"/>
                <w:color w:val="000000"/>
                <w:szCs w:val="21"/>
              </w:rPr>
            </w:pPr>
          </w:p>
        </w:tc>
        <w:tc>
          <w:tcPr>
            <w:tcW w:w="4928" w:type="dxa"/>
            <w:gridSpan w:val="3"/>
            <w:noWrap w:val="0"/>
            <w:vAlign w:val="center"/>
          </w:tcPr>
          <w:p>
            <w:pPr>
              <w:spacing w:line="260" w:lineRule="exact"/>
              <w:rPr>
                <w:rFonts w:ascii="宋体" w:hAnsi="宋体"/>
                <w:color w:val="000000"/>
                <w:szCs w:val="21"/>
              </w:rPr>
            </w:pPr>
            <w:r>
              <w:rPr>
                <w:rFonts w:hint="eastAsia" w:ascii="宋体" w:hAnsi="宋体"/>
                <w:color w:val="000000"/>
                <w:szCs w:val="21"/>
              </w:rPr>
              <w:t>浓密脱水工段</w:t>
            </w:r>
          </w:p>
        </w:tc>
        <w:tc>
          <w:tcPr>
            <w:tcW w:w="2552" w:type="dxa"/>
            <w:noWrap w:val="0"/>
            <w:vAlign w:val="center"/>
          </w:tcPr>
          <w:p>
            <w:pPr>
              <w:spacing w:line="260" w:lineRule="exact"/>
              <w:rPr>
                <w:rFonts w:ascii="宋体" w:hAnsi="宋体"/>
                <w:color w:val="000000"/>
                <w:szCs w:val="21"/>
              </w:rPr>
            </w:pPr>
          </w:p>
        </w:tc>
        <w:tc>
          <w:tcPr>
            <w:tcW w:w="1281" w:type="dxa"/>
            <w:noWrap w:val="0"/>
            <w:vAlign w:val="top"/>
          </w:tcPr>
          <w:p>
            <w:pPr>
              <w:spacing w:line="2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4"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1</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浓缩机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NZ-9F122P</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对精矿沉积浓密</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9"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2</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浓缩机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DH080A1-400-01</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对精矿沉积浓密</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61"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3</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浓缩机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NG-15</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对精矿沉积浓密</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5"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4</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陶瓷过滤机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TM-6</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2</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对精矿进行脱水</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5</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陶瓷过滤机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TC-9</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对精矿进行脱水</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hint="eastAsia" w:ascii="宋体" w:hAnsi="宋体"/>
                <w:color w:val="000000"/>
                <w:szCs w:val="21"/>
              </w:rPr>
            </w:pPr>
          </w:p>
        </w:tc>
        <w:tc>
          <w:tcPr>
            <w:tcW w:w="4928" w:type="dxa"/>
            <w:gridSpan w:val="3"/>
            <w:noWrap w:val="0"/>
            <w:vAlign w:val="center"/>
          </w:tcPr>
          <w:p>
            <w:pPr>
              <w:spacing w:line="260" w:lineRule="exact"/>
              <w:rPr>
                <w:rFonts w:hint="eastAsia" w:ascii="宋体" w:hAnsi="宋体"/>
                <w:color w:val="000000"/>
                <w:szCs w:val="21"/>
              </w:rPr>
            </w:pPr>
            <w:r>
              <w:rPr>
                <w:rFonts w:hint="eastAsia" w:ascii="宋体" w:hAnsi="宋体"/>
                <w:color w:val="000000"/>
                <w:szCs w:val="21"/>
              </w:rPr>
              <w:t>尾矿重选系统</w:t>
            </w:r>
          </w:p>
        </w:tc>
        <w:tc>
          <w:tcPr>
            <w:tcW w:w="2552" w:type="dxa"/>
            <w:noWrap w:val="0"/>
            <w:vAlign w:val="center"/>
          </w:tcPr>
          <w:p>
            <w:pPr>
              <w:spacing w:line="260" w:lineRule="exact"/>
              <w:rPr>
                <w:rFonts w:hint="eastAsia" w:ascii="宋体" w:hAnsi="宋体"/>
                <w:color w:val="000000"/>
                <w:szCs w:val="21"/>
              </w:rPr>
            </w:pPr>
          </w:p>
        </w:tc>
        <w:tc>
          <w:tcPr>
            <w:tcW w:w="1281" w:type="dxa"/>
            <w:noWrap w:val="0"/>
            <w:vAlign w:val="top"/>
          </w:tcPr>
          <w:p>
            <w:pPr>
              <w:spacing w:line="2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hint="eastAsia" w:ascii="宋体" w:hAnsi="宋体"/>
                <w:color w:val="000000"/>
                <w:szCs w:val="21"/>
              </w:rPr>
            </w:pPr>
            <w:r>
              <w:rPr>
                <w:rFonts w:hint="eastAsia" w:ascii="宋体" w:hAnsi="宋体"/>
                <w:color w:val="000000"/>
                <w:szCs w:val="21"/>
              </w:rPr>
              <w:t>1</w:t>
            </w:r>
          </w:p>
        </w:tc>
        <w:tc>
          <w:tcPr>
            <w:tcW w:w="2048"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摇床</w:t>
            </w:r>
          </w:p>
        </w:tc>
        <w:tc>
          <w:tcPr>
            <w:tcW w:w="1980" w:type="dxa"/>
            <w:noWrap w:val="0"/>
            <w:vAlign w:val="center"/>
          </w:tcPr>
          <w:p>
            <w:pPr>
              <w:spacing w:line="260" w:lineRule="exact"/>
              <w:jc w:val="center"/>
              <w:rPr>
                <w:rFonts w:ascii="宋体" w:hAnsi="宋体"/>
                <w:color w:val="000000"/>
                <w:szCs w:val="21"/>
              </w:rPr>
            </w:pPr>
          </w:p>
        </w:tc>
        <w:tc>
          <w:tcPr>
            <w:tcW w:w="900"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6台</w:t>
            </w:r>
          </w:p>
        </w:tc>
        <w:tc>
          <w:tcPr>
            <w:tcW w:w="2552"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对尾矿进行重选</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9473" w:type="dxa"/>
            <w:gridSpan w:val="6"/>
            <w:noWrap w:val="0"/>
            <w:vAlign w:val="center"/>
          </w:tcPr>
          <w:p>
            <w:pPr>
              <w:spacing w:line="260" w:lineRule="exact"/>
              <w:rPr>
                <w:rFonts w:hint="eastAsia" w:ascii="宋体" w:hAnsi="宋体"/>
                <w:color w:val="000000"/>
                <w:szCs w:val="21"/>
              </w:rPr>
            </w:pPr>
            <w:r>
              <w:rPr>
                <w:rFonts w:ascii="宋体" w:hAnsi="宋体"/>
                <w:color w:val="000000"/>
                <w:szCs w:val="21"/>
              </w:rPr>
              <w:t>100</w:t>
            </w:r>
            <w:r>
              <w:rPr>
                <w:rFonts w:hint="eastAsia" w:ascii="宋体" w:hAnsi="宋体"/>
                <w:color w:val="000000"/>
                <w:szCs w:val="21"/>
              </w:rPr>
              <w:t>吨硫化系统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hint="eastAsia" w:ascii="宋体" w:hAnsi="宋体"/>
                <w:color w:val="000000"/>
                <w:szCs w:val="21"/>
              </w:rPr>
            </w:pPr>
          </w:p>
        </w:tc>
        <w:tc>
          <w:tcPr>
            <w:tcW w:w="8761" w:type="dxa"/>
            <w:gridSpan w:val="5"/>
            <w:noWrap w:val="0"/>
            <w:vAlign w:val="center"/>
          </w:tcPr>
          <w:p>
            <w:pPr>
              <w:spacing w:line="260" w:lineRule="exact"/>
              <w:rPr>
                <w:rFonts w:hint="eastAsia" w:ascii="宋体" w:hAnsi="宋体"/>
                <w:color w:val="000000"/>
                <w:szCs w:val="21"/>
              </w:rPr>
            </w:pPr>
            <w:r>
              <w:rPr>
                <w:rFonts w:hint="eastAsia" w:ascii="宋体" w:hAnsi="宋体"/>
                <w:color w:val="000000"/>
                <w:szCs w:val="21"/>
              </w:rPr>
              <w:t>破碎工段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1</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颚式破碎机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400</w:t>
            </w:r>
            <w:r>
              <w:rPr>
                <w:rFonts w:hint="eastAsia" w:ascii="宋体" w:hAnsi="宋体"/>
                <w:color w:val="000000"/>
                <w:szCs w:val="21"/>
              </w:rPr>
              <w:t>×</w:t>
            </w:r>
            <w:r>
              <w:rPr>
                <w:rFonts w:ascii="宋体" w:hAnsi="宋体"/>
                <w:color w:val="000000"/>
                <w:szCs w:val="21"/>
              </w:rPr>
              <w:t>600</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对矿石进行粗碎</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2</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颚式破碎机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DEX750/150</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对矿石进行细碎</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jc w:val="center"/>
              <w:rPr>
                <w:rFonts w:ascii="宋体" w:hAnsi="宋体"/>
                <w:color w:val="000000"/>
                <w:szCs w:val="21"/>
              </w:rPr>
            </w:pPr>
          </w:p>
        </w:tc>
        <w:tc>
          <w:tcPr>
            <w:tcW w:w="8761" w:type="dxa"/>
            <w:gridSpan w:val="5"/>
            <w:noWrap w:val="0"/>
            <w:vAlign w:val="center"/>
          </w:tcPr>
          <w:p>
            <w:pPr>
              <w:spacing w:line="260" w:lineRule="exact"/>
              <w:rPr>
                <w:rFonts w:hint="eastAsia" w:ascii="宋体" w:hAnsi="宋体"/>
                <w:color w:val="000000"/>
                <w:szCs w:val="21"/>
              </w:rPr>
            </w:pPr>
            <w:r>
              <w:rPr>
                <w:rFonts w:hint="eastAsia" w:ascii="宋体" w:hAnsi="宋体"/>
                <w:color w:val="000000"/>
                <w:szCs w:val="21"/>
              </w:rPr>
              <w:t>磨浮工段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1</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湿式格子型球磨机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1500</w:t>
            </w:r>
            <w:r>
              <w:rPr>
                <w:rFonts w:hint="eastAsia" w:ascii="宋体" w:hAnsi="宋体"/>
                <w:color w:val="000000"/>
                <w:szCs w:val="21"/>
              </w:rPr>
              <w:t>×</w:t>
            </w:r>
            <w:r>
              <w:rPr>
                <w:rFonts w:ascii="宋体" w:hAnsi="宋体"/>
                <w:color w:val="000000"/>
                <w:szCs w:val="21"/>
              </w:rPr>
              <w:t>1500</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对矿石进行细磨</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2</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单级螺旋分级机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FG1000</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对粗矿砂进行返回二次细磨</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3</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铅精浮选机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XF0.7M</w:t>
            </w:r>
            <w:r>
              <w:rPr>
                <w:rFonts w:ascii="宋体" w:hAnsi="宋体"/>
                <w:color w:val="000000"/>
                <w:szCs w:val="21"/>
                <w:vertAlign w:val="superscript"/>
              </w:rPr>
              <w:t>3</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24</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对矿石进行浮选</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p>
        </w:tc>
        <w:tc>
          <w:tcPr>
            <w:tcW w:w="8761" w:type="dxa"/>
            <w:gridSpan w:val="5"/>
            <w:noWrap w:val="0"/>
            <w:vAlign w:val="center"/>
          </w:tcPr>
          <w:p>
            <w:pPr>
              <w:spacing w:line="260" w:lineRule="exact"/>
              <w:rPr>
                <w:rFonts w:hint="eastAsia" w:ascii="宋体" w:hAnsi="宋体"/>
                <w:color w:val="000000"/>
                <w:szCs w:val="21"/>
              </w:rPr>
            </w:pPr>
            <w:r>
              <w:rPr>
                <w:rFonts w:hint="eastAsia" w:ascii="宋体" w:hAnsi="宋体"/>
                <w:color w:val="000000"/>
                <w:szCs w:val="21"/>
              </w:rPr>
              <w:t>浓密脱水工段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1</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中心传动浓密机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TMZ-6</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对精矿沉积浓密</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2</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筒形真空过滤机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VM</w:t>
            </w:r>
            <w:r>
              <w:rPr>
                <w:rFonts w:ascii="宋体" w:hAnsi="宋体"/>
                <w:color w:val="000000"/>
                <w:szCs w:val="21"/>
                <w:vertAlign w:val="superscript"/>
              </w:rPr>
              <w:t>2</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对精矿进行脱水</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3</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离心式水泵</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3B-33</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2</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产生真空对矿石进行脱水</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9473" w:type="dxa"/>
            <w:gridSpan w:val="6"/>
            <w:noWrap w:val="0"/>
            <w:vAlign w:val="center"/>
          </w:tcPr>
          <w:p>
            <w:pPr>
              <w:spacing w:line="260" w:lineRule="exact"/>
              <w:rPr>
                <w:rFonts w:hint="eastAsia" w:ascii="宋体" w:hAnsi="宋体"/>
                <w:color w:val="000000"/>
                <w:szCs w:val="21"/>
              </w:rPr>
            </w:pPr>
            <w:r>
              <w:rPr>
                <w:rFonts w:ascii="宋体" w:hAnsi="宋体"/>
                <w:color w:val="000000"/>
                <w:szCs w:val="21"/>
              </w:rPr>
              <w:t>200</w:t>
            </w:r>
            <w:r>
              <w:rPr>
                <w:rFonts w:hint="eastAsia" w:ascii="宋体" w:hAnsi="宋体"/>
                <w:color w:val="000000"/>
                <w:szCs w:val="21"/>
              </w:rPr>
              <w:t>吨氧化系统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hint="eastAsia" w:ascii="宋体" w:hAnsi="宋体"/>
                <w:color w:val="000000"/>
                <w:szCs w:val="21"/>
              </w:rPr>
            </w:pPr>
          </w:p>
        </w:tc>
        <w:tc>
          <w:tcPr>
            <w:tcW w:w="8761" w:type="dxa"/>
            <w:gridSpan w:val="5"/>
            <w:noWrap w:val="0"/>
            <w:vAlign w:val="center"/>
          </w:tcPr>
          <w:p>
            <w:pPr>
              <w:spacing w:line="260" w:lineRule="exact"/>
              <w:rPr>
                <w:rFonts w:hint="eastAsia" w:ascii="宋体" w:hAnsi="宋体"/>
                <w:color w:val="000000"/>
                <w:szCs w:val="21"/>
              </w:rPr>
            </w:pPr>
            <w:r>
              <w:rPr>
                <w:rFonts w:hint="eastAsia" w:ascii="宋体" w:hAnsi="宋体"/>
                <w:color w:val="000000"/>
                <w:szCs w:val="21"/>
              </w:rPr>
              <w:t>破碎工段（该工段设备与</w:t>
            </w:r>
            <w:r>
              <w:rPr>
                <w:rFonts w:ascii="宋体" w:hAnsi="宋体"/>
                <w:color w:val="000000"/>
                <w:szCs w:val="21"/>
              </w:rPr>
              <w:t>100</w:t>
            </w:r>
            <w:r>
              <w:rPr>
                <w:rFonts w:hint="eastAsia" w:ascii="宋体" w:hAnsi="宋体"/>
                <w:color w:val="000000"/>
                <w:szCs w:val="21"/>
              </w:rPr>
              <w:t>吨硫化系统共用）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jc w:val="center"/>
              <w:rPr>
                <w:rFonts w:ascii="宋体" w:hAnsi="宋体"/>
                <w:color w:val="000000"/>
                <w:szCs w:val="21"/>
              </w:rPr>
            </w:pPr>
          </w:p>
        </w:tc>
        <w:tc>
          <w:tcPr>
            <w:tcW w:w="8761" w:type="dxa"/>
            <w:gridSpan w:val="5"/>
            <w:noWrap w:val="0"/>
            <w:vAlign w:val="center"/>
          </w:tcPr>
          <w:p>
            <w:pPr>
              <w:spacing w:line="260" w:lineRule="exact"/>
              <w:rPr>
                <w:rFonts w:hint="eastAsia" w:ascii="宋体" w:hAnsi="宋体"/>
                <w:color w:val="000000"/>
                <w:szCs w:val="21"/>
              </w:rPr>
            </w:pPr>
            <w:r>
              <w:rPr>
                <w:rFonts w:hint="eastAsia" w:ascii="宋体" w:hAnsi="宋体"/>
                <w:color w:val="000000"/>
                <w:szCs w:val="21"/>
              </w:rPr>
              <w:t>磨浮工段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1</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溢流型球磨机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1500</w:t>
            </w:r>
            <w:r>
              <w:rPr>
                <w:rFonts w:hint="eastAsia" w:ascii="宋体" w:hAnsi="宋体"/>
                <w:color w:val="000000"/>
                <w:szCs w:val="21"/>
              </w:rPr>
              <w:t>×</w:t>
            </w:r>
            <w:r>
              <w:rPr>
                <w:rFonts w:ascii="宋体" w:hAnsi="宋体"/>
                <w:color w:val="000000"/>
                <w:szCs w:val="21"/>
              </w:rPr>
              <w:t>3000</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对矿石进行细磨</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2</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单级螺旋分级机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FG-12</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1</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对粗矿砂进行返回二次细磨</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r>
              <w:rPr>
                <w:rFonts w:ascii="宋体" w:hAnsi="宋体"/>
                <w:color w:val="000000"/>
                <w:szCs w:val="21"/>
              </w:rPr>
              <w:t>3</w:t>
            </w:r>
          </w:p>
        </w:tc>
        <w:tc>
          <w:tcPr>
            <w:tcW w:w="2048" w:type="dxa"/>
            <w:noWrap w:val="0"/>
            <w:vAlign w:val="center"/>
          </w:tcPr>
          <w:p>
            <w:pPr>
              <w:spacing w:line="260" w:lineRule="exact"/>
              <w:jc w:val="center"/>
              <w:rPr>
                <w:rFonts w:ascii="宋体" w:hAnsi="宋体"/>
                <w:color w:val="000000"/>
                <w:szCs w:val="21"/>
              </w:rPr>
            </w:pPr>
            <w:r>
              <w:rPr>
                <w:rFonts w:hint="eastAsia" w:ascii="宋体" w:hAnsi="宋体"/>
                <w:color w:val="000000"/>
                <w:szCs w:val="21"/>
              </w:rPr>
              <w:t>铅精浮选机</w:t>
            </w:r>
          </w:p>
        </w:tc>
        <w:tc>
          <w:tcPr>
            <w:tcW w:w="1980" w:type="dxa"/>
            <w:noWrap w:val="0"/>
            <w:vAlign w:val="center"/>
          </w:tcPr>
          <w:p>
            <w:pPr>
              <w:spacing w:line="260" w:lineRule="exact"/>
              <w:jc w:val="center"/>
              <w:rPr>
                <w:rFonts w:ascii="宋体" w:hAnsi="宋体"/>
                <w:color w:val="000000"/>
                <w:szCs w:val="21"/>
              </w:rPr>
            </w:pPr>
            <w:r>
              <w:rPr>
                <w:rFonts w:ascii="宋体" w:hAnsi="宋体"/>
                <w:color w:val="000000"/>
                <w:szCs w:val="21"/>
              </w:rPr>
              <w:t>XF2.8M</w:t>
            </w:r>
            <w:r>
              <w:rPr>
                <w:rFonts w:ascii="宋体" w:hAnsi="宋体"/>
                <w:color w:val="000000"/>
                <w:szCs w:val="21"/>
                <w:vertAlign w:val="superscript"/>
              </w:rPr>
              <w:t>3</w:t>
            </w:r>
          </w:p>
        </w:tc>
        <w:tc>
          <w:tcPr>
            <w:tcW w:w="900" w:type="dxa"/>
            <w:noWrap w:val="0"/>
            <w:vAlign w:val="center"/>
          </w:tcPr>
          <w:p>
            <w:pPr>
              <w:spacing w:line="260" w:lineRule="exact"/>
              <w:jc w:val="center"/>
              <w:rPr>
                <w:rFonts w:ascii="宋体" w:hAnsi="宋体"/>
                <w:color w:val="000000"/>
                <w:szCs w:val="21"/>
              </w:rPr>
            </w:pPr>
            <w:r>
              <w:rPr>
                <w:rFonts w:ascii="宋体" w:hAnsi="宋体"/>
                <w:color w:val="000000"/>
                <w:szCs w:val="21"/>
              </w:rPr>
              <w:t>30</w:t>
            </w:r>
            <w:r>
              <w:rPr>
                <w:rFonts w:hint="eastAsia" w:ascii="宋体" w:hAnsi="宋体"/>
                <w:color w:val="000000"/>
                <w:szCs w:val="21"/>
              </w:rPr>
              <w:t>台</w:t>
            </w:r>
          </w:p>
        </w:tc>
        <w:tc>
          <w:tcPr>
            <w:tcW w:w="2552" w:type="dxa"/>
            <w:noWrap w:val="0"/>
            <w:vAlign w:val="center"/>
          </w:tcPr>
          <w:p>
            <w:pPr>
              <w:spacing w:line="260" w:lineRule="exact"/>
              <w:jc w:val="center"/>
              <w:rPr>
                <w:rFonts w:ascii="宋体" w:hAnsi="宋体"/>
                <w:color w:val="000000"/>
                <w:szCs w:val="21"/>
              </w:rPr>
            </w:pPr>
            <w:r>
              <w:rPr>
                <w:rFonts w:hint="eastAsia" w:ascii="宋体" w:hAnsi="宋体"/>
                <w:color w:val="000000"/>
                <w:szCs w:val="21"/>
              </w:rPr>
              <w:t>对矿石进行浮选</w:t>
            </w:r>
          </w:p>
        </w:tc>
        <w:tc>
          <w:tcPr>
            <w:tcW w:w="1281" w:type="dxa"/>
            <w:noWrap w:val="0"/>
            <w:vAlign w:val="top"/>
          </w:tcPr>
          <w:p>
            <w:pPr>
              <w:jc w:val="center"/>
              <w:rPr>
                <w:color w:val="000000"/>
              </w:rPr>
            </w:pPr>
            <w:r>
              <w:rPr>
                <w:rFonts w:hint="eastAsia" w:ascii="宋体" w:hAnsi="宋体"/>
                <w:color w:val="000000"/>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p>
        </w:tc>
        <w:tc>
          <w:tcPr>
            <w:tcW w:w="8761" w:type="dxa"/>
            <w:gridSpan w:val="5"/>
            <w:noWrap w:val="0"/>
            <w:vAlign w:val="center"/>
          </w:tcPr>
          <w:p>
            <w:pPr>
              <w:spacing w:line="260" w:lineRule="exact"/>
              <w:rPr>
                <w:rFonts w:hint="eastAsia" w:ascii="宋体" w:hAnsi="宋体"/>
                <w:color w:val="000000"/>
                <w:szCs w:val="21"/>
              </w:rPr>
            </w:pPr>
            <w:r>
              <w:rPr>
                <w:rFonts w:hint="eastAsia" w:ascii="宋体" w:hAnsi="宋体"/>
                <w:color w:val="000000"/>
                <w:szCs w:val="21"/>
              </w:rPr>
              <w:t>浓密脱水工段（该工段设备与</w:t>
            </w:r>
            <w:r>
              <w:rPr>
                <w:rFonts w:ascii="宋体" w:hAnsi="宋体"/>
                <w:color w:val="000000"/>
                <w:szCs w:val="21"/>
              </w:rPr>
              <w:t>200</w:t>
            </w:r>
            <w:r>
              <w:rPr>
                <w:rFonts w:hint="eastAsia" w:ascii="宋体" w:hAnsi="宋体"/>
                <w:color w:val="000000"/>
                <w:szCs w:val="21"/>
              </w:rPr>
              <w:t>吨硫化系统共用）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ascii="宋体" w:hAnsi="宋体"/>
                <w:color w:val="000000"/>
                <w:szCs w:val="21"/>
              </w:rPr>
            </w:pPr>
          </w:p>
        </w:tc>
        <w:tc>
          <w:tcPr>
            <w:tcW w:w="8761" w:type="dxa"/>
            <w:gridSpan w:val="5"/>
            <w:noWrap w:val="0"/>
            <w:vAlign w:val="center"/>
          </w:tcPr>
          <w:p>
            <w:pPr>
              <w:spacing w:line="260" w:lineRule="exact"/>
              <w:rPr>
                <w:rFonts w:hint="eastAsia" w:ascii="宋体" w:hAnsi="宋体"/>
                <w:color w:val="000000"/>
                <w:szCs w:val="21"/>
              </w:rPr>
            </w:pPr>
            <w:r>
              <w:rPr>
                <w:rFonts w:hint="eastAsia" w:ascii="宋体" w:hAnsi="宋体"/>
                <w:color w:val="000000"/>
                <w:szCs w:val="21"/>
              </w:rPr>
              <w:t>尾矿重选系统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jc w:val="center"/>
        </w:trPr>
        <w:tc>
          <w:tcPr>
            <w:tcW w:w="712" w:type="dxa"/>
            <w:noWrap w:val="0"/>
            <w:vAlign w:val="center"/>
          </w:tcPr>
          <w:p>
            <w:pPr>
              <w:spacing w:line="260" w:lineRule="exact"/>
              <w:ind w:firstLine="105" w:firstLineChars="50"/>
              <w:jc w:val="center"/>
              <w:rPr>
                <w:rFonts w:hint="eastAsia" w:ascii="宋体" w:hAnsi="宋体"/>
                <w:color w:val="000000"/>
                <w:szCs w:val="21"/>
              </w:rPr>
            </w:pPr>
            <w:r>
              <w:rPr>
                <w:rFonts w:hint="eastAsia" w:ascii="宋体" w:hAnsi="宋体"/>
                <w:color w:val="000000"/>
                <w:szCs w:val="21"/>
              </w:rPr>
              <w:t>1</w:t>
            </w:r>
          </w:p>
        </w:tc>
        <w:tc>
          <w:tcPr>
            <w:tcW w:w="2048"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摇床</w:t>
            </w:r>
          </w:p>
        </w:tc>
        <w:tc>
          <w:tcPr>
            <w:tcW w:w="1980" w:type="dxa"/>
            <w:noWrap w:val="0"/>
            <w:vAlign w:val="center"/>
          </w:tcPr>
          <w:p>
            <w:pPr>
              <w:spacing w:line="260" w:lineRule="exact"/>
              <w:jc w:val="center"/>
              <w:rPr>
                <w:rFonts w:ascii="宋体" w:hAnsi="宋体"/>
                <w:color w:val="000000"/>
                <w:szCs w:val="21"/>
              </w:rPr>
            </w:pPr>
          </w:p>
        </w:tc>
        <w:tc>
          <w:tcPr>
            <w:tcW w:w="900"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24台</w:t>
            </w:r>
          </w:p>
        </w:tc>
        <w:tc>
          <w:tcPr>
            <w:tcW w:w="2552" w:type="dxa"/>
            <w:noWrap w:val="0"/>
            <w:vAlign w:val="top"/>
          </w:tcPr>
          <w:p>
            <w:pPr>
              <w:spacing w:line="260" w:lineRule="exact"/>
              <w:jc w:val="center"/>
              <w:rPr>
                <w:rFonts w:hint="eastAsia" w:ascii="宋体" w:hAnsi="宋体"/>
                <w:color w:val="000000"/>
                <w:szCs w:val="21"/>
              </w:rPr>
            </w:pPr>
            <w:r>
              <w:rPr>
                <w:rFonts w:hint="eastAsia" w:ascii="宋体" w:hAnsi="宋体"/>
                <w:color w:val="000000"/>
                <w:szCs w:val="21"/>
              </w:rPr>
              <w:t>对尾矿进行再次重选</w:t>
            </w:r>
          </w:p>
        </w:tc>
        <w:tc>
          <w:tcPr>
            <w:tcW w:w="1281" w:type="dxa"/>
            <w:noWrap w:val="0"/>
            <w:vAlign w:val="center"/>
          </w:tcPr>
          <w:p>
            <w:pPr>
              <w:spacing w:line="260" w:lineRule="exact"/>
              <w:jc w:val="center"/>
              <w:rPr>
                <w:rFonts w:hint="eastAsia" w:ascii="宋体" w:hAnsi="宋体"/>
                <w:color w:val="000000"/>
                <w:szCs w:val="21"/>
              </w:rPr>
            </w:pPr>
            <w:r>
              <w:rPr>
                <w:rFonts w:hint="eastAsia" w:ascii="宋体" w:hAnsi="宋体"/>
                <w:color w:val="000000"/>
                <w:szCs w:val="21"/>
              </w:rPr>
              <w:t>否</w:t>
            </w:r>
          </w:p>
        </w:tc>
      </w:tr>
    </w:tbl>
    <w:p>
      <w:pPr>
        <w:spacing w:line="360" w:lineRule="auto"/>
        <w:ind w:firstLine="480" w:firstLineChars="200"/>
        <w:rPr>
          <w:rFonts w:hint="eastAsia" w:ascii="宋体" w:hAnsi="宋体"/>
          <w:color w:val="000000"/>
          <w:sz w:val="24"/>
        </w:rPr>
      </w:pPr>
      <w:r>
        <w:rPr>
          <w:rFonts w:hint="eastAsia" w:ascii="宋体" w:hAnsi="宋体"/>
          <w:color w:val="000000"/>
          <w:sz w:val="24"/>
        </w:rPr>
        <w:t>审核小组会同公司设备管理部查阅了公司的设备台帐，并进行了相应的现场设备调查，根据国家《淘汰落后生产能力、工艺和产品的目录》（第一批、第二批、三批、第四批）进行对照，公司没有国家明令淘汰的高耗能设备</w:t>
      </w:r>
    </w:p>
    <w:bookmarkEnd w:id="129"/>
    <w:bookmarkEnd w:id="130"/>
    <w:p>
      <w:pPr>
        <w:pStyle w:val="5"/>
        <w:spacing w:before="240" w:beforeLines="100" w:after="0" w:line="415" w:lineRule="auto"/>
        <w:rPr>
          <w:rFonts w:hint="eastAsia" w:ascii="宋体" w:hAnsi="宋体"/>
          <w:bCs w:val="0"/>
          <w:color w:val="000000"/>
          <w:sz w:val="28"/>
          <w:szCs w:val="28"/>
        </w:rPr>
      </w:pPr>
      <w:bookmarkStart w:id="137" w:name="_Toc19863"/>
      <w:bookmarkStart w:id="138" w:name="_Toc474018581"/>
      <w:bookmarkStart w:id="139" w:name="_Toc470458794"/>
      <w:bookmarkStart w:id="140" w:name="_Toc470870081"/>
      <w:bookmarkStart w:id="141" w:name="_Toc23000865"/>
      <w:bookmarkStart w:id="142" w:name="_Toc422252470"/>
      <w:r>
        <w:rPr>
          <w:rFonts w:ascii="宋体" w:hAnsi="宋体"/>
          <w:bCs w:val="0"/>
          <w:color w:val="000000"/>
          <w:sz w:val="28"/>
          <w:szCs w:val="28"/>
        </w:rPr>
        <w:t>2.2.</w:t>
      </w:r>
      <w:bookmarkEnd w:id="137"/>
      <w:r>
        <w:rPr>
          <w:rFonts w:hint="eastAsia" w:ascii="宋体" w:hAnsi="宋体"/>
          <w:bCs w:val="0"/>
          <w:color w:val="000000"/>
          <w:sz w:val="28"/>
          <w:szCs w:val="28"/>
        </w:rPr>
        <w:t>4计量设备的配置与管理</w:t>
      </w:r>
      <w:bookmarkEnd w:id="138"/>
      <w:bookmarkEnd w:id="139"/>
      <w:bookmarkEnd w:id="140"/>
      <w:bookmarkEnd w:id="141"/>
    </w:p>
    <w:p>
      <w:pPr>
        <w:spacing w:line="360" w:lineRule="auto"/>
        <w:ind w:firstLine="480" w:firstLineChars="200"/>
        <w:rPr>
          <w:rFonts w:hint="eastAsia" w:ascii="宋体" w:hAnsi="宋体" w:cs="宋体"/>
          <w:color w:val="000000"/>
          <w:sz w:val="24"/>
          <w:szCs w:val="24"/>
        </w:rPr>
      </w:pPr>
      <w:r>
        <w:rPr>
          <w:rFonts w:ascii="宋体" w:hAnsi="宋体"/>
          <w:color w:val="000000"/>
          <w:sz w:val="24"/>
        </w:rPr>
        <w:t>在本次清洁生产审核中，核查了</w:t>
      </w:r>
      <w:r>
        <w:rPr>
          <w:rFonts w:hint="eastAsia" w:ascii="宋体" w:hAnsi="宋体"/>
          <w:color w:val="000000"/>
          <w:sz w:val="24"/>
        </w:rPr>
        <w:t>公司</w:t>
      </w:r>
      <w:r>
        <w:rPr>
          <w:rFonts w:ascii="宋体" w:hAnsi="宋体"/>
          <w:color w:val="000000"/>
          <w:sz w:val="24"/>
        </w:rPr>
        <w:t>的能源计量配备情况</w:t>
      </w:r>
      <w:r>
        <w:rPr>
          <w:rFonts w:hint="eastAsia" w:ascii="宋体" w:hAnsi="宋体"/>
          <w:color w:val="000000"/>
          <w:sz w:val="24"/>
        </w:rPr>
        <w:t>，</w:t>
      </w:r>
      <w:r>
        <w:rPr>
          <w:rFonts w:hint="eastAsia" w:ascii="宋体" w:hAnsi="宋体" w:cs="宋体"/>
          <w:color w:val="000000"/>
          <w:sz w:val="24"/>
          <w:szCs w:val="24"/>
        </w:rPr>
        <w:t>公司所配置的电、水的计量器具基本满足《GB/T17167—2006用能单位能源计量器具配备和管理通则》的要求，而水的计量基本只配到二级，三级计量器具配备则有待增加。</w:t>
      </w:r>
    </w:p>
    <w:bookmarkEnd w:id="142"/>
    <w:p>
      <w:pPr>
        <w:pStyle w:val="4"/>
        <w:rPr>
          <w:rFonts w:hint="eastAsia"/>
          <w:color w:val="000000"/>
        </w:rPr>
      </w:pPr>
      <w:bookmarkStart w:id="143" w:name="_Toc468857794"/>
      <w:bookmarkStart w:id="144" w:name="_Toc474018582"/>
      <w:bookmarkStart w:id="145" w:name="_Toc23000866"/>
      <w:bookmarkStart w:id="146" w:name="_Toc422252472"/>
      <w:r>
        <w:rPr>
          <w:rFonts w:hint="eastAsia"/>
          <w:color w:val="000000"/>
        </w:rPr>
        <w:t>2.3资源与能源消耗分析</w:t>
      </w:r>
      <w:bookmarkEnd w:id="143"/>
      <w:bookmarkEnd w:id="144"/>
      <w:bookmarkEnd w:id="145"/>
    </w:p>
    <w:p>
      <w:pPr>
        <w:pStyle w:val="5"/>
        <w:rPr>
          <w:rFonts w:hint="eastAsia"/>
          <w:color w:val="000000"/>
        </w:rPr>
      </w:pPr>
      <w:bookmarkStart w:id="147" w:name="_Toc367172744"/>
      <w:bookmarkStart w:id="148" w:name="_Toc513"/>
      <w:bookmarkStart w:id="149" w:name="_Toc469966062"/>
      <w:bookmarkStart w:id="150" w:name="_Toc474018583"/>
      <w:bookmarkStart w:id="151" w:name="_Toc23000867"/>
      <w:r>
        <w:rPr>
          <w:color w:val="000000"/>
        </w:rPr>
        <w:t>2.3.1</w:t>
      </w:r>
      <w:r>
        <w:rPr>
          <w:rFonts w:hint="eastAsia"/>
          <w:color w:val="000000"/>
        </w:rPr>
        <w:t>产品产量、原辅材料及能源消耗</w:t>
      </w:r>
      <w:bookmarkEnd w:id="147"/>
      <w:bookmarkEnd w:id="148"/>
      <w:bookmarkEnd w:id="149"/>
      <w:bookmarkEnd w:id="150"/>
      <w:bookmarkEnd w:id="151"/>
    </w:p>
    <w:p>
      <w:pPr>
        <w:tabs>
          <w:tab w:val="left" w:pos="0"/>
        </w:tabs>
        <w:spacing w:line="360" w:lineRule="auto"/>
        <w:ind w:firstLine="482" w:firstLineChars="200"/>
        <w:rPr>
          <w:rFonts w:hint="eastAsia"/>
          <w:b/>
          <w:color w:val="000000"/>
          <w:sz w:val="24"/>
          <w:szCs w:val="24"/>
        </w:rPr>
      </w:pPr>
      <w:bookmarkStart w:id="152" w:name="_Toc468857795"/>
      <w:bookmarkStart w:id="153" w:name="_Toc474018584"/>
      <w:r>
        <w:rPr>
          <w:rFonts w:hint="eastAsia"/>
          <w:b/>
          <w:color w:val="000000"/>
          <w:sz w:val="24"/>
          <w:szCs w:val="24"/>
        </w:rPr>
        <w:t>2.3.1.1主要产品</w:t>
      </w:r>
    </w:p>
    <w:p>
      <w:pPr>
        <w:tabs>
          <w:tab w:val="left" w:pos="0"/>
        </w:tabs>
        <w:spacing w:line="360" w:lineRule="auto"/>
        <w:ind w:firstLine="480" w:firstLineChars="200"/>
        <w:rPr>
          <w:rFonts w:hint="eastAsia" w:ascii="宋体" w:hAnsi="宋体"/>
          <w:color w:val="000000"/>
          <w:sz w:val="24"/>
        </w:rPr>
      </w:pPr>
      <w:r>
        <w:rPr>
          <w:rFonts w:hint="eastAsia"/>
          <w:color w:val="000000"/>
          <w:sz w:val="24"/>
          <w:szCs w:val="24"/>
        </w:rPr>
        <w:t>企业主要产品是铅精矿、</w:t>
      </w:r>
      <w:r>
        <w:rPr>
          <w:rFonts w:hint="eastAsia" w:ascii="宋体" w:hAnsi="宋体"/>
          <w:color w:val="000000"/>
          <w:sz w:val="24"/>
          <w:szCs w:val="24"/>
        </w:rPr>
        <w:t>锌精矿</w:t>
      </w:r>
      <w:r>
        <w:rPr>
          <w:rFonts w:hint="eastAsia"/>
          <w:color w:val="000000"/>
          <w:sz w:val="24"/>
          <w:szCs w:val="24"/>
        </w:rPr>
        <w:t>。近三年来，由于企业主要精力在生产技术改造和环保设施的建立，产品产量一直维持在较低水平。</w:t>
      </w:r>
      <w:r>
        <w:rPr>
          <w:rFonts w:hint="eastAsia" w:ascii="宋体" w:hAnsi="宋体"/>
          <w:color w:val="000000"/>
          <w:sz w:val="24"/>
        </w:rPr>
        <w:t>公司主要产品及原辅材料、能源消耗，详见表2-7、2-8、2-9。</w:t>
      </w:r>
    </w:p>
    <w:p>
      <w:pPr>
        <w:spacing w:line="360" w:lineRule="auto"/>
        <w:jc w:val="center"/>
        <w:rPr>
          <w:rFonts w:hint="eastAsia" w:ascii="宋体" w:hAnsi="宋体"/>
          <w:b/>
          <w:bCs/>
          <w:color w:val="000000"/>
          <w:sz w:val="24"/>
          <w:szCs w:val="24"/>
        </w:rPr>
      </w:pPr>
      <w:r>
        <w:rPr>
          <w:rFonts w:ascii="宋体" w:hAnsi="宋体"/>
          <w:b/>
          <w:bCs/>
          <w:color w:val="000000"/>
          <w:sz w:val="24"/>
          <w:szCs w:val="24"/>
        </w:rPr>
        <w:t>表</w:t>
      </w:r>
      <w:r>
        <w:rPr>
          <w:rFonts w:hint="eastAsia" w:ascii="宋体" w:hAnsi="宋体"/>
          <w:b/>
          <w:bCs/>
          <w:color w:val="000000"/>
          <w:sz w:val="24"/>
          <w:szCs w:val="24"/>
        </w:rPr>
        <w:t>2</w:t>
      </w:r>
      <w:r>
        <w:rPr>
          <w:rFonts w:ascii="宋体" w:hAnsi="宋体"/>
          <w:b/>
          <w:bCs/>
          <w:color w:val="000000"/>
          <w:sz w:val="24"/>
          <w:szCs w:val="24"/>
        </w:rPr>
        <w:t>—</w:t>
      </w:r>
      <w:r>
        <w:rPr>
          <w:rFonts w:hint="eastAsia" w:ascii="宋体" w:hAnsi="宋体"/>
          <w:b/>
          <w:bCs/>
          <w:color w:val="000000"/>
          <w:sz w:val="24"/>
          <w:szCs w:val="24"/>
        </w:rPr>
        <w:t>7</w:t>
      </w:r>
      <w:r>
        <w:rPr>
          <w:rFonts w:ascii="宋体" w:hAnsi="宋体"/>
          <w:b/>
          <w:bCs/>
          <w:color w:val="000000"/>
          <w:sz w:val="24"/>
          <w:szCs w:val="24"/>
        </w:rPr>
        <w:t xml:space="preserve"> </w:t>
      </w:r>
      <w:r>
        <w:rPr>
          <w:rFonts w:hint="eastAsia" w:ascii="宋体" w:hAnsi="宋体"/>
          <w:b/>
          <w:bCs/>
          <w:color w:val="000000"/>
          <w:sz w:val="24"/>
          <w:szCs w:val="24"/>
        </w:rPr>
        <w:t>原矿</w:t>
      </w:r>
      <w:r>
        <w:rPr>
          <w:rFonts w:ascii="宋体" w:hAnsi="宋体"/>
          <w:b/>
          <w:bCs/>
          <w:color w:val="000000"/>
          <w:sz w:val="24"/>
          <w:szCs w:val="24"/>
        </w:rPr>
        <w:t>产品规格表</w:t>
      </w:r>
    </w:p>
    <w:tbl>
      <w:tblPr>
        <w:tblStyle w:val="36"/>
        <w:tblW w:w="0" w:type="auto"/>
        <w:tblInd w:w="2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5"/>
        <w:gridCol w:w="1177"/>
        <w:gridCol w:w="1178"/>
        <w:gridCol w:w="1178"/>
        <w:gridCol w:w="1178"/>
        <w:gridCol w:w="912"/>
        <w:gridCol w:w="11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40" w:hRule="atLeast"/>
        </w:trPr>
        <w:tc>
          <w:tcPr>
            <w:tcW w:w="2125" w:type="dxa"/>
            <w:tcBorders>
              <w:tl2br w:val="single" w:color="auto" w:sz="4" w:space="0"/>
            </w:tcBorders>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原料       成分</w:t>
            </w:r>
          </w:p>
        </w:tc>
        <w:tc>
          <w:tcPr>
            <w:tcW w:w="1177"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锌</w:t>
            </w:r>
          </w:p>
        </w:tc>
        <w:tc>
          <w:tcPr>
            <w:tcW w:w="1178"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铅</w:t>
            </w:r>
          </w:p>
        </w:tc>
        <w:tc>
          <w:tcPr>
            <w:tcW w:w="1178"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镉</w:t>
            </w:r>
          </w:p>
        </w:tc>
        <w:tc>
          <w:tcPr>
            <w:tcW w:w="1178"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砷</w:t>
            </w:r>
          </w:p>
        </w:tc>
        <w:tc>
          <w:tcPr>
            <w:tcW w:w="912"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铜</w:t>
            </w:r>
          </w:p>
        </w:tc>
        <w:tc>
          <w:tcPr>
            <w:tcW w:w="1169" w:type="dxa"/>
            <w:vMerge w:val="restart"/>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其余为脉石矿物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65" w:hRule="atLeast"/>
        </w:trPr>
        <w:tc>
          <w:tcPr>
            <w:tcW w:w="2125"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硫化矿原矿</w:t>
            </w:r>
          </w:p>
        </w:tc>
        <w:tc>
          <w:tcPr>
            <w:tcW w:w="1177"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13.46%</w:t>
            </w:r>
          </w:p>
        </w:tc>
        <w:tc>
          <w:tcPr>
            <w:tcW w:w="1178"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5.99%</w:t>
            </w:r>
          </w:p>
        </w:tc>
        <w:tc>
          <w:tcPr>
            <w:tcW w:w="1178"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0.021</w:t>
            </w:r>
          </w:p>
        </w:tc>
        <w:tc>
          <w:tcPr>
            <w:tcW w:w="1178"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0.005</w:t>
            </w:r>
          </w:p>
        </w:tc>
        <w:tc>
          <w:tcPr>
            <w:tcW w:w="912" w:type="dxa"/>
            <w:noWrap w:val="0"/>
            <w:vAlign w:val="center"/>
          </w:tcPr>
          <w:p>
            <w:pPr>
              <w:adjustRightInd w:val="0"/>
              <w:snapToGrid w:val="0"/>
              <w:spacing w:line="400" w:lineRule="exact"/>
              <w:jc w:val="center"/>
              <w:rPr>
                <w:rFonts w:hint="eastAsia" w:ascii="宋体" w:hAnsi="宋体"/>
                <w:color w:val="000000"/>
                <w:szCs w:val="21"/>
              </w:rPr>
            </w:pPr>
            <w:r>
              <w:rPr>
                <w:rFonts w:hint="eastAsia" w:ascii="宋体" w:hAnsi="宋体"/>
                <w:color w:val="000000"/>
                <w:szCs w:val="21"/>
              </w:rPr>
              <w:t>0.018</w:t>
            </w:r>
          </w:p>
        </w:tc>
        <w:tc>
          <w:tcPr>
            <w:tcW w:w="0" w:type="auto"/>
            <w:vMerge w:val="continue"/>
            <w:noWrap w:val="0"/>
            <w:vAlign w:val="center"/>
          </w:tcPr>
          <w:p>
            <w:pPr>
              <w:adjustRightInd w:val="0"/>
              <w:snapToGrid w:val="0"/>
              <w:spacing w:line="400" w:lineRule="exact"/>
              <w:jc w:val="center"/>
              <w:rPr>
                <w:rFonts w:hint="eastAsia" w:ascii="宋体" w:hAnsi="宋体"/>
                <w:color w:val="000000"/>
                <w:szCs w:val="21"/>
              </w:rPr>
            </w:pPr>
          </w:p>
        </w:tc>
      </w:tr>
    </w:tbl>
    <w:p>
      <w:pPr>
        <w:tabs>
          <w:tab w:val="left" w:pos="0"/>
        </w:tabs>
        <w:spacing w:before="120" w:beforeLines="50" w:after="120" w:afterLines="50" w:line="360" w:lineRule="exact"/>
        <w:ind w:firstLine="480" w:firstLineChars="200"/>
        <w:rPr>
          <w:rFonts w:hint="eastAsia"/>
          <w:color w:val="000000"/>
          <w:sz w:val="24"/>
          <w:szCs w:val="24"/>
        </w:rPr>
      </w:pPr>
      <w:r>
        <w:rPr>
          <w:rFonts w:hint="eastAsia"/>
          <w:color w:val="000000"/>
          <w:sz w:val="24"/>
          <w:szCs w:val="24"/>
        </w:rPr>
        <w:t>近三年来企业生产产品情况见表2－7.</w:t>
      </w:r>
    </w:p>
    <w:p>
      <w:pPr>
        <w:widowControl/>
        <w:shd w:val="clear" w:color="auto" w:fill="FFFFFF"/>
        <w:spacing w:line="360" w:lineRule="auto"/>
        <w:ind w:firstLine="200"/>
        <w:jc w:val="center"/>
        <w:rPr>
          <w:rFonts w:hint="eastAsia" w:ascii="宋体" w:hAnsi="宋体" w:cs="宋体"/>
          <w:color w:val="000000"/>
          <w:sz w:val="27"/>
          <w:szCs w:val="27"/>
        </w:rPr>
      </w:pPr>
      <w:r>
        <w:rPr>
          <w:rFonts w:hint="eastAsia" w:ascii="宋体" w:hAnsi="宋体" w:cs="宋体"/>
          <w:b/>
          <w:color w:val="000000"/>
          <w:kern w:val="0"/>
          <w:sz w:val="24"/>
          <w:szCs w:val="24"/>
          <w:shd w:val="clear" w:color="auto" w:fill="FFFFFF"/>
        </w:rPr>
        <w:t>表2－8 </w:t>
      </w:r>
      <w:r>
        <w:rPr>
          <w:rFonts w:ascii="宋体" w:hAnsi="宋体" w:cs="黑体"/>
          <w:b/>
          <w:color w:val="000000"/>
          <w:kern w:val="0"/>
          <w:sz w:val="24"/>
          <w:szCs w:val="24"/>
          <w:shd w:val="clear" w:color="auto" w:fill="FFFFFF"/>
        </w:rPr>
        <w:t>近三年企业主要产品情况表</w:t>
      </w:r>
    </w:p>
    <w:tbl>
      <w:tblPr>
        <w:tblStyle w:val="35"/>
        <w:tblW w:w="9015" w:type="dxa"/>
        <w:tblInd w:w="28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Layout w:type="fixed"/>
        <w:tblCellMar>
          <w:top w:w="0" w:type="dxa"/>
          <w:left w:w="0" w:type="dxa"/>
          <w:bottom w:w="0" w:type="dxa"/>
          <w:right w:w="0" w:type="dxa"/>
        </w:tblCellMar>
      </w:tblPr>
      <w:tblGrid>
        <w:gridCol w:w="1060"/>
        <w:gridCol w:w="1100"/>
        <w:gridCol w:w="900"/>
        <w:gridCol w:w="1080"/>
        <w:gridCol w:w="1014"/>
        <w:gridCol w:w="1103"/>
        <w:gridCol w:w="919"/>
        <w:gridCol w:w="919"/>
        <w:gridCol w:w="92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wBefore w:w="0" w:type="dxa"/>
          <w:wAfter w:w="0" w:type="dxa"/>
          <w:trHeight w:val="387" w:hRule="atLeast"/>
          <w:tblHeader/>
        </w:trPr>
        <w:tc>
          <w:tcPr>
            <w:tcW w:w="1060" w:type="dxa"/>
            <w:vMerge w:val="restart"/>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生产部门</w:t>
            </w:r>
          </w:p>
        </w:tc>
        <w:tc>
          <w:tcPr>
            <w:tcW w:w="1100" w:type="dxa"/>
            <w:vMerge w:val="restart"/>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产品名称</w:t>
            </w:r>
          </w:p>
        </w:tc>
        <w:tc>
          <w:tcPr>
            <w:tcW w:w="900" w:type="dxa"/>
            <w:vMerge w:val="restart"/>
            <w:shd w:val="clear" w:color="auto" w:fill="FFFFFF"/>
            <w:noWrap w:val="0"/>
            <w:tcMar>
              <w:left w:w="108" w:type="dxa"/>
              <w:right w:w="108" w:type="dxa"/>
            </w:tcMar>
            <w:vAlign w:val="center"/>
          </w:tcPr>
          <w:p>
            <w:pPr>
              <w:widowControl/>
              <w:spacing w:before="100" w:beforeAutospacing="1" w:after="100" w:afterAutospacing="1"/>
              <w:rPr>
                <w:color w:val="000000"/>
                <w:szCs w:val="21"/>
              </w:rPr>
            </w:pPr>
            <w:r>
              <w:rPr>
                <w:rFonts w:hint="eastAsia" w:ascii="宋体" w:hAnsi="宋体" w:cs="宋体"/>
                <w:color w:val="000000"/>
                <w:kern w:val="0"/>
                <w:szCs w:val="21"/>
              </w:rPr>
              <w:t>单</w:t>
            </w:r>
            <w:r>
              <w:rPr>
                <w:rFonts w:hint="eastAsia"/>
                <w:color w:val="000000"/>
                <w:szCs w:val="21"/>
              </w:rPr>
              <w:t>位</w:t>
            </w:r>
          </w:p>
        </w:tc>
        <w:tc>
          <w:tcPr>
            <w:tcW w:w="3197" w:type="dxa"/>
            <w:gridSpan w:val="3"/>
            <w:shd w:val="clear" w:color="auto" w:fill="FFFFFF"/>
            <w:noWrap w:val="0"/>
            <w:tcMar>
              <w:left w:w="108" w:type="dxa"/>
              <w:right w:w="108" w:type="dxa"/>
            </w:tcMar>
            <w:vAlign w:val="center"/>
          </w:tcPr>
          <w:p>
            <w:pPr>
              <w:widowControl/>
              <w:spacing w:before="100" w:beforeAutospacing="1" w:after="100" w:afterAutospacing="1"/>
              <w:ind w:firstLine="480"/>
              <w:jc w:val="center"/>
              <w:rPr>
                <w:color w:val="000000"/>
                <w:szCs w:val="21"/>
              </w:rPr>
            </w:pPr>
            <w:r>
              <w:rPr>
                <w:rFonts w:hint="eastAsia" w:ascii="宋体" w:hAnsi="宋体" w:cs="宋体"/>
                <w:color w:val="000000"/>
                <w:kern w:val="0"/>
                <w:szCs w:val="21"/>
              </w:rPr>
              <w:t>近三年年产量</w:t>
            </w:r>
          </w:p>
        </w:tc>
        <w:tc>
          <w:tcPr>
            <w:tcW w:w="2758" w:type="dxa"/>
            <w:gridSpan w:val="3"/>
            <w:shd w:val="clear" w:color="auto" w:fill="FFFFFF"/>
            <w:noWrap w:val="0"/>
            <w:tcMar>
              <w:left w:w="108" w:type="dxa"/>
              <w:right w:w="108" w:type="dxa"/>
            </w:tcMar>
            <w:vAlign w:val="center"/>
          </w:tcPr>
          <w:p>
            <w:pPr>
              <w:widowControl/>
              <w:spacing w:before="100" w:beforeAutospacing="1" w:after="100" w:afterAutospacing="1"/>
              <w:ind w:firstLine="480"/>
              <w:jc w:val="center"/>
              <w:rPr>
                <w:color w:val="000000"/>
                <w:szCs w:val="21"/>
              </w:rPr>
            </w:pPr>
            <w:r>
              <w:rPr>
                <w:rFonts w:hint="eastAsia" w:ascii="宋体" w:hAnsi="宋体" w:cs="宋体"/>
                <w:color w:val="000000"/>
                <w:kern w:val="0"/>
                <w:szCs w:val="21"/>
              </w:rPr>
              <w:t>近三年年产值(万元)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87" w:hRule="atLeast"/>
          <w:tblHeader/>
        </w:trPr>
        <w:tc>
          <w:tcPr>
            <w:tcW w:w="1060" w:type="dxa"/>
            <w:vMerge w:val="continue"/>
            <w:shd w:val="clear" w:color="auto" w:fill="FFFFFF"/>
            <w:noWrap w:val="0"/>
            <w:tcMar>
              <w:left w:w="108" w:type="dxa"/>
              <w:right w:w="108" w:type="dxa"/>
            </w:tcMar>
            <w:vAlign w:val="center"/>
          </w:tcPr>
          <w:p>
            <w:pPr>
              <w:rPr>
                <w:rFonts w:hint="eastAsia" w:ascii="宋体" w:hAnsi="宋体" w:cs="宋体"/>
                <w:color w:val="000000"/>
                <w:szCs w:val="21"/>
              </w:rPr>
            </w:pPr>
          </w:p>
        </w:tc>
        <w:tc>
          <w:tcPr>
            <w:tcW w:w="1100" w:type="dxa"/>
            <w:vMerge w:val="continue"/>
            <w:shd w:val="clear" w:color="auto" w:fill="FFFFFF"/>
            <w:noWrap w:val="0"/>
            <w:tcMar>
              <w:left w:w="108" w:type="dxa"/>
              <w:right w:w="108" w:type="dxa"/>
            </w:tcMar>
            <w:vAlign w:val="center"/>
          </w:tcPr>
          <w:p>
            <w:pPr>
              <w:rPr>
                <w:rFonts w:hint="eastAsia" w:ascii="宋体" w:hAnsi="宋体" w:cs="宋体"/>
                <w:color w:val="000000"/>
                <w:szCs w:val="21"/>
              </w:rPr>
            </w:pPr>
          </w:p>
        </w:tc>
        <w:tc>
          <w:tcPr>
            <w:tcW w:w="900" w:type="dxa"/>
            <w:vMerge w:val="continue"/>
            <w:shd w:val="clear" w:color="auto" w:fill="FFFFFF"/>
            <w:noWrap w:val="0"/>
            <w:tcMar>
              <w:left w:w="108" w:type="dxa"/>
              <w:right w:w="108" w:type="dxa"/>
            </w:tcMar>
            <w:vAlign w:val="center"/>
          </w:tcPr>
          <w:p>
            <w:pPr>
              <w:rPr>
                <w:rFonts w:hint="eastAsia" w:ascii="宋体" w:hAnsi="宋体" w:cs="宋体"/>
                <w:color w:val="000000"/>
                <w:szCs w:val="21"/>
              </w:rPr>
            </w:pPr>
          </w:p>
        </w:tc>
        <w:tc>
          <w:tcPr>
            <w:tcW w:w="108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2016年</w:t>
            </w:r>
          </w:p>
        </w:tc>
        <w:tc>
          <w:tcPr>
            <w:tcW w:w="1014"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2017年</w:t>
            </w:r>
          </w:p>
        </w:tc>
        <w:tc>
          <w:tcPr>
            <w:tcW w:w="1103"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2018年</w:t>
            </w:r>
          </w:p>
        </w:tc>
        <w:tc>
          <w:tcPr>
            <w:tcW w:w="919"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2016年</w:t>
            </w:r>
          </w:p>
        </w:tc>
        <w:tc>
          <w:tcPr>
            <w:tcW w:w="919"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2017年</w:t>
            </w:r>
          </w:p>
        </w:tc>
        <w:tc>
          <w:tcPr>
            <w:tcW w:w="92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2018年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87" w:hRule="atLeast"/>
        </w:trPr>
        <w:tc>
          <w:tcPr>
            <w:tcW w:w="106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矿山</w:t>
            </w:r>
          </w:p>
        </w:tc>
        <w:tc>
          <w:tcPr>
            <w:tcW w:w="110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原矿</w:t>
            </w:r>
          </w:p>
        </w:tc>
        <w:tc>
          <w:tcPr>
            <w:tcW w:w="90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吨</w:t>
            </w:r>
          </w:p>
        </w:tc>
        <w:tc>
          <w:tcPr>
            <w:tcW w:w="108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54450</w:t>
            </w:r>
          </w:p>
        </w:tc>
        <w:tc>
          <w:tcPr>
            <w:tcW w:w="1014"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72660</w:t>
            </w:r>
          </w:p>
        </w:tc>
        <w:tc>
          <w:tcPr>
            <w:tcW w:w="1103"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53230</w:t>
            </w:r>
          </w:p>
        </w:tc>
        <w:tc>
          <w:tcPr>
            <w:tcW w:w="2758" w:type="dxa"/>
            <w:gridSpan w:val="3"/>
            <w:vMerge w:val="restart"/>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rPr>
            </w:pPr>
            <w:r>
              <w:rPr>
                <w:rFonts w:hint="eastAsia"/>
                <w:color w:val="000000"/>
                <w:szCs w:val="21"/>
              </w:rPr>
              <w:t>选矿厂精矿提供给总公司作冶炼原料，不计产值。</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87" w:hRule="atLeast"/>
        </w:trPr>
        <w:tc>
          <w:tcPr>
            <w:tcW w:w="1060" w:type="dxa"/>
            <w:vMerge w:val="restart"/>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选矿厂</w:t>
            </w:r>
          </w:p>
        </w:tc>
        <w:tc>
          <w:tcPr>
            <w:tcW w:w="110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铅精矿</w:t>
            </w:r>
          </w:p>
        </w:tc>
        <w:tc>
          <w:tcPr>
            <w:tcW w:w="900" w:type="dxa"/>
            <w:shd w:val="clear" w:color="auto" w:fill="FFFFFF"/>
            <w:noWrap w:val="0"/>
            <w:tcMar>
              <w:left w:w="108" w:type="dxa"/>
              <w:right w:w="108" w:type="dxa"/>
            </w:tcMar>
            <w:vAlign w:val="top"/>
          </w:tcPr>
          <w:p>
            <w:pPr>
              <w:widowControl/>
              <w:spacing w:before="100" w:beforeAutospacing="1" w:after="100" w:afterAutospacing="1"/>
              <w:jc w:val="center"/>
              <w:rPr>
                <w:color w:val="000000"/>
                <w:szCs w:val="21"/>
              </w:rPr>
            </w:pPr>
            <w:r>
              <w:rPr>
                <w:rFonts w:hint="eastAsia" w:ascii="宋体" w:hAnsi="宋体" w:cs="宋体"/>
                <w:color w:val="000000"/>
                <w:kern w:val="0"/>
                <w:szCs w:val="21"/>
              </w:rPr>
              <w:t>吨</w:t>
            </w:r>
          </w:p>
        </w:tc>
        <w:tc>
          <w:tcPr>
            <w:tcW w:w="1080" w:type="dxa"/>
            <w:shd w:val="clear" w:color="auto" w:fill="FFFFFF"/>
            <w:noWrap w:val="0"/>
            <w:tcMar>
              <w:left w:w="108" w:type="dxa"/>
              <w:right w:w="108" w:type="dxa"/>
            </w:tcMar>
            <w:vAlign w:val="center"/>
          </w:tcPr>
          <w:p>
            <w:pPr>
              <w:widowControl/>
              <w:spacing w:before="100" w:beforeAutospacing="1" w:after="100" w:afterAutospacing="1"/>
              <w:rPr>
                <w:rFonts w:hint="eastAsia"/>
                <w:color w:val="000000"/>
                <w:szCs w:val="21"/>
              </w:rPr>
            </w:pPr>
            <w:r>
              <w:rPr>
                <w:rFonts w:hint="eastAsia"/>
                <w:color w:val="000000"/>
                <w:szCs w:val="21"/>
              </w:rPr>
              <w:t>4992.64</w:t>
            </w:r>
          </w:p>
        </w:tc>
        <w:tc>
          <w:tcPr>
            <w:tcW w:w="1014"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3283.1</w:t>
            </w:r>
          </w:p>
        </w:tc>
        <w:tc>
          <w:tcPr>
            <w:tcW w:w="1103"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4347.94</w:t>
            </w:r>
          </w:p>
        </w:tc>
        <w:tc>
          <w:tcPr>
            <w:tcW w:w="2758" w:type="dxa"/>
            <w:gridSpan w:val="3"/>
            <w:vMerge w:val="continue"/>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87" w:hRule="atLeast"/>
        </w:trPr>
        <w:tc>
          <w:tcPr>
            <w:tcW w:w="1060" w:type="dxa"/>
            <w:vMerge w:val="continue"/>
            <w:shd w:val="clear" w:color="auto" w:fill="FFFFFF"/>
            <w:noWrap w:val="0"/>
            <w:tcMar>
              <w:left w:w="108" w:type="dxa"/>
              <w:right w:w="108" w:type="dxa"/>
            </w:tcMar>
            <w:vAlign w:val="center"/>
          </w:tcPr>
          <w:p>
            <w:pPr>
              <w:rPr>
                <w:rFonts w:hint="eastAsia" w:ascii="宋体" w:hAnsi="宋体" w:cs="宋体"/>
                <w:color w:val="000000"/>
                <w:szCs w:val="21"/>
              </w:rPr>
            </w:pPr>
          </w:p>
        </w:tc>
        <w:tc>
          <w:tcPr>
            <w:tcW w:w="110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锌精矿</w:t>
            </w:r>
          </w:p>
        </w:tc>
        <w:tc>
          <w:tcPr>
            <w:tcW w:w="900" w:type="dxa"/>
            <w:shd w:val="clear" w:color="auto" w:fill="FFFFFF"/>
            <w:noWrap w:val="0"/>
            <w:tcMar>
              <w:left w:w="108" w:type="dxa"/>
              <w:right w:w="108" w:type="dxa"/>
            </w:tcMar>
            <w:vAlign w:val="top"/>
          </w:tcPr>
          <w:p>
            <w:pPr>
              <w:widowControl/>
              <w:spacing w:before="100" w:beforeAutospacing="1" w:after="100" w:afterAutospacing="1"/>
              <w:jc w:val="center"/>
              <w:rPr>
                <w:color w:val="000000"/>
                <w:szCs w:val="21"/>
              </w:rPr>
            </w:pPr>
            <w:r>
              <w:rPr>
                <w:rFonts w:hint="eastAsia" w:ascii="宋体" w:hAnsi="宋体" w:cs="宋体"/>
                <w:color w:val="000000"/>
                <w:kern w:val="0"/>
                <w:szCs w:val="21"/>
              </w:rPr>
              <w:t>吨</w:t>
            </w:r>
          </w:p>
        </w:tc>
        <w:tc>
          <w:tcPr>
            <w:tcW w:w="108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17947.17</w:t>
            </w:r>
          </w:p>
        </w:tc>
        <w:tc>
          <w:tcPr>
            <w:tcW w:w="1014"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12634.11</w:t>
            </w:r>
          </w:p>
        </w:tc>
        <w:tc>
          <w:tcPr>
            <w:tcW w:w="1103"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6227.83</w:t>
            </w:r>
          </w:p>
        </w:tc>
        <w:tc>
          <w:tcPr>
            <w:tcW w:w="2758" w:type="dxa"/>
            <w:gridSpan w:val="3"/>
            <w:vMerge w:val="continue"/>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87" w:hRule="atLeast"/>
        </w:trPr>
        <w:tc>
          <w:tcPr>
            <w:tcW w:w="1060" w:type="dxa"/>
            <w:vMerge w:val="continue"/>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p>
        </w:tc>
        <w:tc>
          <w:tcPr>
            <w:tcW w:w="1100" w:type="dxa"/>
            <w:shd w:val="clear" w:color="auto" w:fill="FFFFFF"/>
            <w:noWrap w:val="0"/>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合计</w:t>
            </w:r>
          </w:p>
        </w:tc>
        <w:tc>
          <w:tcPr>
            <w:tcW w:w="900" w:type="dxa"/>
            <w:shd w:val="clear" w:color="auto" w:fill="FFFFFF"/>
            <w:noWrap w:val="0"/>
            <w:tcMar>
              <w:left w:w="108" w:type="dxa"/>
              <w:right w:w="108" w:type="dxa"/>
            </w:tcMar>
            <w:vAlign w:val="top"/>
          </w:tcPr>
          <w:p>
            <w:pPr>
              <w:widowControl/>
              <w:spacing w:before="100" w:beforeAutospacing="1" w:after="100" w:afterAutospacing="1"/>
              <w:jc w:val="center"/>
              <w:rPr>
                <w:color w:val="000000"/>
                <w:szCs w:val="21"/>
              </w:rPr>
            </w:pPr>
            <w:r>
              <w:rPr>
                <w:rFonts w:hint="eastAsia" w:ascii="宋体" w:hAnsi="宋体" w:cs="宋体"/>
                <w:color w:val="000000"/>
                <w:kern w:val="0"/>
                <w:szCs w:val="21"/>
              </w:rPr>
              <w:t>吨</w:t>
            </w:r>
          </w:p>
        </w:tc>
        <w:tc>
          <w:tcPr>
            <w:tcW w:w="1080"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22939.81</w:t>
            </w:r>
          </w:p>
        </w:tc>
        <w:tc>
          <w:tcPr>
            <w:tcW w:w="1014"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15917.21</w:t>
            </w:r>
          </w:p>
        </w:tc>
        <w:tc>
          <w:tcPr>
            <w:tcW w:w="1103" w:type="dxa"/>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10575.77</w:t>
            </w:r>
          </w:p>
        </w:tc>
        <w:tc>
          <w:tcPr>
            <w:tcW w:w="2758" w:type="dxa"/>
            <w:gridSpan w:val="3"/>
            <w:vMerge w:val="continue"/>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p>
        </w:tc>
      </w:tr>
    </w:tbl>
    <w:p>
      <w:pPr>
        <w:spacing w:before="120" w:beforeLines="50" w:line="360" w:lineRule="auto"/>
        <w:jc w:val="center"/>
        <w:rPr>
          <w:rFonts w:hint="eastAsia" w:ascii="宋体" w:hAnsi="宋体"/>
          <w:b/>
          <w:color w:val="000000"/>
          <w:sz w:val="24"/>
        </w:rPr>
      </w:pPr>
      <w:r>
        <w:rPr>
          <w:rFonts w:hint="eastAsia" w:ascii="宋体" w:hAnsi="宋体"/>
          <w:b/>
          <w:color w:val="000000"/>
          <w:sz w:val="24"/>
        </w:rPr>
        <w:t>表2-9  主要技术经济指标</w:t>
      </w:r>
    </w:p>
    <w:tbl>
      <w:tblPr>
        <w:tblStyle w:val="35"/>
        <w:tblW w:w="8999"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758"/>
        <w:gridCol w:w="1526"/>
        <w:gridCol w:w="1905"/>
        <w:gridCol w:w="1906"/>
        <w:gridCol w:w="190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wAfter w:w="0" w:type="dxa"/>
          <w:trHeight w:val="255" w:hRule="atLeast"/>
          <w:jc w:val="center"/>
        </w:trPr>
        <w:tc>
          <w:tcPr>
            <w:tcW w:w="1758" w:type="dxa"/>
            <w:vMerge w:val="restart"/>
            <w:tcBorders>
              <w:top w:val="single" w:color="auto" w:sz="4" w:space="0"/>
              <w:left w:val="single" w:color="auto" w:sz="4" w:space="0"/>
              <w:right w:val="single" w:color="auto" w:sz="4" w:space="0"/>
            </w:tcBorders>
            <w:noWrap w:val="0"/>
            <w:vAlign w:val="center"/>
          </w:tcPr>
          <w:p>
            <w:pPr>
              <w:widowControl/>
              <w:spacing w:line="280" w:lineRule="exact"/>
              <w:jc w:val="center"/>
              <w:rPr>
                <w:rFonts w:ascii="宋体" w:hAnsi="宋体" w:cs="Arial"/>
                <w:color w:val="000000"/>
                <w:szCs w:val="21"/>
              </w:rPr>
            </w:pPr>
            <w:r>
              <w:rPr>
                <w:rFonts w:hint="eastAsia" w:ascii="宋体" w:hAnsi="宋体" w:cs="Arial"/>
                <w:color w:val="000000"/>
                <w:szCs w:val="21"/>
              </w:rPr>
              <w:t>主要指标</w:t>
            </w:r>
          </w:p>
        </w:tc>
        <w:tc>
          <w:tcPr>
            <w:tcW w:w="1526" w:type="dxa"/>
            <w:vMerge w:val="restart"/>
            <w:tcBorders>
              <w:top w:val="single" w:color="auto" w:sz="4" w:space="0"/>
              <w:left w:val="single" w:color="auto" w:sz="4" w:space="0"/>
              <w:right w:val="single" w:color="auto" w:sz="4" w:space="0"/>
            </w:tcBorders>
            <w:noWrap w:val="0"/>
            <w:vAlign w:val="center"/>
          </w:tcPr>
          <w:p>
            <w:pPr>
              <w:widowControl/>
              <w:spacing w:line="280" w:lineRule="exact"/>
              <w:jc w:val="center"/>
              <w:rPr>
                <w:rFonts w:ascii="宋体" w:hAnsi="宋体" w:cs="Arial"/>
                <w:color w:val="000000"/>
                <w:szCs w:val="21"/>
              </w:rPr>
            </w:pPr>
            <w:r>
              <w:rPr>
                <w:rFonts w:hint="eastAsia" w:ascii="宋体" w:hAnsi="宋体" w:cs="Arial"/>
                <w:color w:val="000000"/>
                <w:szCs w:val="21"/>
              </w:rPr>
              <w:t>单位</w:t>
            </w:r>
          </w:p>
        </w:tc>
        <w:tc>
          <w:tcPr>
            <w:tcW w:w="5715" w:type="dxa"/>
            <w:gridSpan w:val="3"/>
            <w:tcBorders>
              <w:top w:val="single" w:color="auto" w:sz="4" w:space="0"/>
              <w:left w:val="single" w:color="auto" w:sz="4" w:space="0"/>
              <w:right w:val="single" w:color="auto" w:sz="4" w:space="0"/>
            </w:tcBorders>
            <w:noWrap w:val="0"/>
            <w:vAlign w:val="center"/>
          </w:tcPr>
          <w:p>
            <w:pPr>
              <w:widowControl/>
              <w:spacing w:line="280" w:lineRule="exact"/>
              <w:jc w:val="center"/>
              <w:rPr>
                <w:rFonts w:ascii="宋体" w:hAnsi="宋体" w:cs="Arial"/>
                <w:color w:val="000000"/>
                <w:szCs w:val="21"/>
              </w:rPr>
            </w:pPr>
            <w:r>
              <w:rPr>
                <w:rFonts w:hint="eastAsia" w:ascii="宋体" w:hAnsi="宋体" w:cs="Arial"/>
                <w:color w:val="000000"/>
                <w:szCs w:val="21"/>
              </w:rPr>
              <w:t>近三年值</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193" w:hRule="atLeast"/>
          <w:jc w:val="center"/>
        </w:trPr>
        <w:tc>
          <w:tcPr>
            <w:tcW w:w="1758"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p>
        </w:tc>
        <w:tc>
          <w:tcPr>
            <w:tcW w:w="1526" w:type="dxa"/>
            <w:vMerge w:val="continue"/>
            <w:tcBorders>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p>
        </w:tc>
        <w:tc>
          <w:tcPr>
            <w:tcW w:w="190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Arial"/>
                <w:color w:val="000000"/>
                <w:szCs w:val="21"/>
              </w:rPr>
            </w:pPr>
            <w:r>
              <w:rPr>
                <w:rFonts w:hint="eastAsia" w:ascii="宋体" w:hAnsi="宋体" w:cs="Arial"/>
                <w:color w:val="000000"/>
                <w:szCs w:val="21"/>
              </w:rPr>
              <w:t>2016</w:t>
            </w:r>
          </w:p>
        </w:tc>
        <w:tc>
          <w:tcPr>
            <w:tcW w:w="190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Arial"/>
                <w:color w:val="000000"/>
                <w:szCs w:val="21"/>
              </w:rPr>
            </w:pPr>
            <w:r>
              <w:rPr>
                <w:rFonts w:hint="eastAsia" w:ascii="宋体" w:hAnsi="宋体" w:cs="Arial"/>
                <w:color w:val="000000"/>
                <w:szCs w:val="21"/>
              </w:rPr>
              <w:t>2017</w:t>
            </w:r>
          </w:p>
        </w:tc>
        <w:tc>
          <w:tcPr>
            <w:tcW w:w="190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ascii="宋体" w:hAnsi="宋体" w:cs="Arial"/>
                <w:color w:val="000000"/>
                <w:szCs w:val="21"/>
              </w:rPr>
            </w:pPr>
            <w:r>
              <w:rPr>
                <w:rFonts w:hint="eastAsia" w:ascii="宋体" w:hAnsi="宋体" w:cs="Arial"/>
                <w:color w:val="000000"/>
                <w:szCs w:val="21"/>
              </w:rPr>
              <w:t>2018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193" w:hRule="atLeast"/>
          <w:jc w:val="center"/>
        </w:trPr>
        <w:tc>
          <w:tcPr>
            <w:tcW w:w="175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锌回收率</w:t>
            </w:r>
          </w:p>
        </w:tc>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w:t>
            </w:r>
          </w:p>
        </w:tc>
        <w:tc>
          <w:tcPr>
            <w:tcW w:w="190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87.53</w:t>
            </w:r>
          </w:p>
        </w:tc>
        <w:tc>
          <w:tcPr>
            <w:tcW w:w="190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87.56</w:t>
            </w:r>
          </w:p>
        </w:tc>
        <w:tc>
          <w:tcPr>
            <w:tcW w:w="190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87.35</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0" w:hRule="atLeast"/>
          <w:jc w:val="center"/>
        </w:trPr>
        <w:tc>
          <w:tcPr>
            <w:tcW w:w="175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铅回收率</w:t>
            </w:r>
          </w:p>
        </w:tc>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w:t>
            </w:r>
          </w:p>
        </w:tc>
        <w:tc>
          <w:tcPr>
            <w:tcW w:w="190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87.62</w:t>
            </w:r>
          </w:p>
        </w:tc>
        <w:tc>
          <w:tcPr>
            <w:tcW w:w="190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87.63</w:t>
            </w:r>
          </w:p>
        </w:tc>
        <w:tc>
          <w:tcPr>
            <w:tcW w:w="190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87.71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193" w:hRule="atLeast"/>
          <w:jc w:val="center"/>
        </w:trPr>
        <w:tc>
          <w:tcPr>
            <w:tcW w:w="175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生产流失率</w:t>
            </w:r>
          </w:p>
        </w:tc>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w:t>
            </w:r>
          </w:p>
        </w:tc>
        <w:tc>
          <w:tcPr>
            <w:tcW w:w="190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0.178</w:t>
            </w:r>
          </w:p>
        </w:tc>
        <w:tc>
          <w:tcPr>
            <w:tcW w:w="190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0.219</w:t>
            </w:r>
          </w:p>
        </w:tc>
        <w:tc>
          <w:tcPr>
            <w:tcW w:w="190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0.181</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wBefore w:w="0" w:type="dxa"/>
          <w:trHeight w:val="200" w:hRule="atLeast"/>
          <w:jc w:val="center"/>
        </w:trPr>
        <w:tc>
          <w:tcPr>
            <w:tcW w:w="1758"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球磨时效</w:t>
            </w:r>
          </w:p>
        </w:tc>
        <w:tc>
          <w:tcPr>
            <w:tcW w:w="152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ascii="宋体" w:hAnsi="宋体" w:cs="Arial"/>
                <w:color w:val="000000"/>
                <w:szCs w:val="21"/>
              </w:rPr>
              <w:t>T</w:t>
            </w:r>
          </w:p>
        </w:tc>
        <w:tc>
          <w:tcPr>
            <w:tcW w:w="1905"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7.459</w:t>
            </w:r>
          </w:p>
        </w:tc>
        <w:tc>
          <w:tcPr>
            <w:tcW w:w="1906"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7.709</w:t>
            </w:r>
          </w:p>
        </w:tc>
        <w:tc>
          <w:tcPr>
            <w:tcW w:w="1903" w:type="dxa"/>
            <w:tcBorders>
              <w:top w:val="single" w:color="auto" w:sz="4" w:space="0"/>
              <w:left w:val="single" w:color="auto" w:sz="4" w:space="0"/>
              <w:bottom w:val="single" w:color="auto" w:sz="4" w:space="0"/>
              <w:right w:val="single" w:color="auto" w:sz="4" w:space="0"/>
            </w:tcBorders>
            <w:noWrap w:val="0"/>
            <w:vAlign w:val="center"/>
          </w:tcPr>
          <w:p>
            <w:pPr>
              <w:widowControl/>
              <w:spacing w:line="280" w:lineRule="exact"/>
              <w:jc w:val="center"/>
              <w:rPr>
                <w:rFonts w:hint="eastAsia" w:ascii="宋体" w:hAnsi="宋体" w:cs="Arial"/>
                <w:color w:val="000000"/>
                <w:szCs w:val="21"/>
              </w:rPr>
            </w:pPr>
            <w:r>
              <w:rPr>
                <w:rFonts w:hint="eastAsia" w:ascii="宋体" w:hAnsi="宋体" w:cs="Arial"/>
                <w:color w:val="000000"/>
                <w:szCs w:val="21"/>
              </w:rPr>
              <w:t>7.932</w:t>
            </w:r>
          </w:p>
        </w:tc>
      </w:tr>
    </w:tbl>
    <w:p>
      <w:pPr>
        <w:tabs>
          <w:tab w:val="left" w:pos="0"/>
        </w:tabs>
        <w:spacing w:before="240" w:beforeLines="100" w:line="360" w:lineRule="auto"/>
        <w:ind w:firstLine="482" w:firstLineChars="200"/>
        <w:rPr>
          <w:rFonts w:hint="eastAsia"/>
          <w:b/>
          <w:color w:val="000000"/>
          <w:sz w:val="24"/>
        </w:rPr>
      </w:pPr>
      <w:r>
        <w:rPr>
          <w:rFonts w:hint="eastAsia"/>
          <w:b/>
          <w:color w:val="000000"/>
          <w:sz w:val="24"/>
        </w:rPr>
        <w:t>2.3.1.2主要生产原料</w:t>
      </w:r>
    </w:p>
    <w:p>
      <w:pPr>
        <w:tabs>
          <w:tab w:val="left" w:pos="1620"/>
          <w:tab w:val="left" w:pos="2160"/>
          <w:tab w:val="left" w:pos="2520"/>
        </w:tabs>
        <w:autoSpaceDE w:val="0"/>
        <w:autoSpaceDN w:val="0"/>
        <w:adjustRightInd w:val="0"/>
        <w:spacing w:line="360" w:lineRule="auto"/>
        <w:ind w:firstLine="480" w:firstLineChars="200"/>
        <w:rPr>
          <w:rFonts w:ascii="宋体" w:hAnsi="宋体" w:cs="宋体"/>
          <w:color w:val="000000"/>
          <w:sz w:val="24"/>
          <w:szCs w:val="24"/>
          <w:lang w:val="zh-CN"/>
        </w:rPr>
      </w:pPr>
      <w:r>
        <w:rPr>
          <w:rFonts w:hint="eastAsia" w:ascii="宋体" w:hAnsi="宋体" w:cs="宋体"/>
          <w:color w:val="000000"/>
          <w:sz w:val="24"/>
          <w:szCs w:val="24"/>
          <w:lang w:val="zh-CN"/>
        </w:rPr>
        <w:t>矿山材料消耗主要是炸药，雷管等；选矿厂原料消耗主要是铅锌原矿以及选矿辅助剂</w:t>
      </w:r>
      <w:r>
        <w:rPr>
          <w:color w:val="000000"/>
          <w:sz w:val="24"/>
          <w:szCs w:val="24"/>
        </w:rPr>
        <w:t>为丁黄、乙黄、2#油、CuSO</w:t>
      </w:r>
      <w:r>
        <w:rPr>
          <w:color w:val="000000"/>
          <w:sz w:val="24"/>
          <w:szCs w:val="24"/>
          <w:vertAlign w:val="subscript"/>
        </w:rPr>
        <w:t>4</w:t>
      </w:r>
      <w:r>
        <w:rPr>
          <w:color w:val="000000"/>
          <w:sz w:val="24"/>
          <w:szCs w:val="24"/>
        </w:rPr>
        <w:t>、ZnSO</w:t>
      </w:r>
      <w:r>
        <w:rPr>
          <w:color w:val="000000"/>
          <w:sz w:val="24"/>
          <w:szCs w:val="24"/>
          <w:vertAlign w:val="subscript"/>
        </w:rPr>
        <w:t>4</w:t>
      </w:r>
      <w:r>
        <w:rPr>
          <w:color w:val="000000"/>
          <w:sz w:val="24"/>
          <w:szCs w:val="24"/>
        </w:rPr>
        <w:t>、Na</w:t>
      </w:r>
      <w:r>
        <w:rPr>
          <w:color w:val="000000"/>
          <w:sz w:val="24"/>
          <w:szCs w:val="24"/>
          <w:vertAlign w:val="subscript"/>
        </w:rPr>
        <w:t>2</w:t>
      </w:r>
      <w:r>
        <w:rPr>
          <w:color w:val="000000"/>
          <w:sz w:val="24"/>
          <w:szCs w:val="24"/>
        </w:rPr>
        <w:t>S</w:t>
      </w:r>
      <w:r>
        <w:rPr>
          <w:rFonts w:hint="eastAsia" w:ascii="宋体" w:hAnsi="宋体" w:cs="宋体"/>
          <w:color w:val="000000"/>
          <w:sz w:val="24"/>
          <w:szCs w:val="24"/>
          <w:lang w:val="zh-CN"/>
        </w:rPr>
        <w:t>等。铅锌矿石</w:t>
      </w:r>
      <w:r>
        <w:rPr>
          <w:color w:val="000000"/>
          <w:sz w:val="24"/>
          <w:szCs w:val="24"/>
        </w:rPr>
        <w:t>自有</w:t>
      </w:r>
      <w:r>
        <w:rPr>
          <w:rFonts w:hint="eastAsia" w:ascii="宋体" w:hAnsi="宋体" w:cs="宋体"/>
          <w:color w:val="000000"/>
          <w:sz w:val="24"/>
          <w:szCs w:val="24"/>
          <w:lang w:val="zh-CN"/>
        </w:rPr>
        <w:t>矿山产出</w:t>
      </w:r>
      <w:r>
        <w:rPr>
          <w:rFonts w:hint="eastAsia"/>
          <w:color w:val="000000"/>
          <w:sz w:val="24"/>
          <w:szCs w:val="24"/>
        </w:rPr>
        <w:t>。</w:t>
      </w:r>
      <w:r>
        <w:rPr>
          <w:rFonts w:hint="eastAsia" w:ascii="宋体" w:hAnsi="宋体" w:cs="宋体"/>
          <w:color w:val="000000"/>
          <w:sz w:val="24"/>
          <w:szCs w:val="24"/>
          <w:lang w:val="zh-CN"/>
        </w:rPr>
        <w:t>原料消耗情况具体见表</w:t>
      </w:r>
      <w:r>
        <w:rPr>
          <w:rFonts w:ascii="宋体" w:hAnsi="宋体" w:cs="宋体"/>
          <w:color w:val="000000"/>
          <w:sz w:val="24"/>
          <w:szCs w:val="24"/>
          <w:lang w:val="zh-CN"/>
        </w:rPr>
        <w:t>2-</w:t>
      </w:r>
      <w:r>
        <w:rPr>
          <w:rFonts w:hint="eastAsia" w:ascii="宋体" w:hAnsi="宋体" w:cs="宋体"/>
          <w:color w:val="000000"/>
          <w:sz w:val="24"/>
          <w:szCs w:val="24"/>
          <w:lang w:val="zh-CN"/>
        </w:rPr>
        <w:t>10.</w:t>
      </w:r>
    </w:p>
    <w:p>
      <w:pPr>
        <w:widowControl/>
        <w:shd w:val="clear" w:color="auto" w:fill="FFFFFF"/>
        <w:ind w:firstLine="198"/>
        <w:jc w:val="center"/>
        <w:rPr>
          <w:rFonts w:hint="eastAsia" w:ascii="宋体" w:hAnsi="宋体" w:cs="宋体"/>
          <w:color w:val="000000"/>
          <w:sz w:val="27"/>
          <w:szCs w:val="27"/>
        </w:rPr>
      </w:pPr>
      <w:r>
        <w:rPr>
          <w:rFonts w:hint="eastAsia" w:ascii="宋体" w:hAnsi="宋体" w:cs="宋体"/>
          <w:b/>
          <w:color w:val="000000"/>
          <w:kern w:val="0"/>
          <w:sz w:val="24"/>
          <w:szCs w:val="24"/>
          <w:shd w:val="clear" w:color="auto" w:fill="FFFFFF"/>
        </w:rPr>
        <w:t>表2-10  近三年原材料消耗情况统计表</w:t>
      </w:r>
    </w:p>
    <w:tbl>
      <w:tblPr>
        <w:tblStyle w:val="35"/>
        <w:tblW w:w="9368" w:type="dxa"/>
        <w:tblInd w:w="10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348"/>
        <w:gridCol w:w="992"/>
        <w:gridCol w:w="1079"/>
        <w:gridCol w:w="985"/>
        <w:gridCol w:w="1336"/>
        <w:gridCol w:w="1145"/>
        <w:gridCol w:w="1336"/>
        <w:gridCol w:w="114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wBefore w:w="0" w:type="dxa"/>
          <w:wAfter w:w="0" w:type="dxa"/>
          <w:cantSplit/>
          <w:trHeight w:val="267" w:hRule="atLeast"/>
          <w:tblHeader/>
        </w:trPr>
        <w:tc>
          <w:tcPr>
            <w:tcW w:w="1348" w:type="dxa"/>
            <w:vMerge w:val="restart"/>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原料名称</w:t>
            </w:r>
          </w:p>
        </w:tc>
        <w:tc>
          <w:tcPr>
            <w:tcW w:w="992" w:type="dxa"/>
            <w:vMerge w:val="restart"/>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单位</w:t>
            </w:r>
          </w:p>
        </w:tc>
        <w:tc>
          <w:tcPr>
            <w:tcW w:w="2064" w:type="dxa"/>
            <w:gridSpan w:val="2"/>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2016年</w:t>
            </w:r>
          </w:p>
        </w:tc>
        <w:tc>
          <w:tcPr>
            <w:tcW w:w="2481" w:type="dxa"/>
            <w:gridSpan w:val="2"/>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2017年</w:t>
            </w:r>
          </w:p>
        </w:tc>
        <w:tc>
          <w:tcPr>
            <w:tcW w:w="2483" w:type="dxa"/>
            <w:gridSpan w:val="2"/>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2018年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cantSplit/>
          <w:trHeight w:val="171" w:hRule="atLeast"/>
          <w:tblHeader/>
        </w:trPr>
        <w:tc>
          <w:tcPr>
            <w:tcW w:w="1348" w:type="dxa"/>
            <w:vMerge w:val="continue"/>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rPr>
                <w:rFonts w:hint="eastAsia" w:ascii="宋体" w:hAnsi="宋体" w:cs="宋体"/>
                <w:color w:val="000000"/>
                <w:szCs w:val="21"/>
              </w:rPr>
            </w:pPr>
          </w:p>
        </w:tc>
        <w:tc>
          <w:tcPr>
            <w:tcW w:w="992" w:type="dxa"/>
            <w:vMerge w:val="continue"/>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rPr>
                <w:rFonts w:hint="eastAsia" w:ascii="宋体" w:hAnsi="宋体" w:cs="宋体"/>
                <w:color w:val="000000"/>
                <w:szCs w:val="21"/>
              </w:rPr>
            </w:pP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总量</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 xml:space="preserve">单耗 </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总量</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单耗</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总量</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单耗</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154" w:hRule="atLeast"/>
          <w:tblHeader/>
        </w:trPr>
        <w:tc>
          <w:tcPr>
            <w:tcW w:w="9368" w:type="dxa"/>
            <w:gridSpan w:val="8"/>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top"/>
          </w:tcPr>
          <w:p>
            <w:pPr>
              <w:widowControl/>
              <w:rPr>
                <w:rFonts w:ascii="宋体" w:hAnsi="宋体"/>
                <w:color w:val="000000"/>
                <w:szCs w:val="21"/>
              </w:rPr>
            </w:pPr>
            <w:r>
              <w:rPr>
                <w:rFonts w:hint="eastAsia" w:ascii="宋体" w:hAnsi="宋体" w:cs="宋体"/>
                <w:color w:val="000000"/>
                <w:kern w:val="0"/>
                <w:szCs w:val="21"/>
              </w:rPr>
              <w:t>1、矿山原料消耗</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67"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spacing w:val="20"/>
                <w:kern w:val="0"/>
                <w:szCs w:val="21"/>
              </w:rPr>
              <w:t>炸药</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ascii="宋体" w:hAnsi="宋体"/>
                <w:color w:val="000000"/>
                <w:spacing w:val="20"/>
                <w:kern w:val="0"/>
                <w:szCs w:val="21"/>
              </w:rPr>
              <w:t>kg</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26241</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0.6</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24686</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0.6</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top"/>
          </w:tcPr>
          <w:p>
            <w:pPr>
              <w:jc w:val="center"/>
              <w:rPr>
                <w:rFonts w:hint="eastAsia"/>
                <w:color w:val="000000"/>
              </w:rPr>
            </w:pPr>
            <w:r>
              <w:rPr>
                <w:rFonts w:hint="eastAsia"/>
                <w:color w:val="000000"/>
              </w:rPr>
              <w:t>15732</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ascii="宋体" w:hAnsi="宋体"/>
                <w:color w:val="000000"/>
                <w:szCs w:val="21"/>
              </w:rPr>
              <w:t>0</w:t>
            </w:r>
            <w:r>
              <w:rPr>
                <w:rFonts w:hint="eastAsia" w:ascii="宋体" w:hAnsi="宋体"/>
                <w:color w:val="000000"/>
                <w:szCs w:val="21"/>
              </w:rPr>
              <w:t>.29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67"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spacing w:val="20"/>
                <w:kern w:val="0"/>
                <w:szCs w:val="21"/>
              </w:rPr>
              <w:t>电雷管</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spacing w:val="20"/>
                <w:kern w:val="0"/>
                <w:szCs w:val="21"/>
              </w:rPr>
              <w:t>发</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2854</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0.06</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3150</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0.06</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top"/>
          </w:tcPr>
          <w:p>
            <w:pPr>
              <w:jc w:val="center"/>
              <w:rPr>
                <w:rFonts w:hint="eastAsia"/>
                <w:color w:val="000000"/>
              </w:rPr>
            </w:pPr>
            <w:r>
              <w:rPr>
                <w:rFonts w:hint="eastAsia"/>
                <w:color w:val="000000"/>
              </w:rPr>
              <w:t>2059</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0.039</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120" w:hRule="atLeast"/>
        </w:trPr>
        <w:tc>
          <w:tcPr>
            <w:tcW w:w="9368" w:type="dxa"/>
            <w:gridSpan w:val="8"/>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top"/>
          </w:tcPr>
          <w:p>
            <w:pPr>
              <w:widowControl/>
              <w:rPr>
                <w:rFonts w:ascii="宋体" w:hAnsi="宋体"/>
                <w:color w:val="000000"/>
                <w:szCs w:val="21"/>
              </w:rPr>
            </w:pPr>
            <w:r>
              <w:rPr>
                <w:rFonts w:hint="eastAsia" w:ascii="宋体" w:hAnsi="宋体" w:cs="宋体"/>
                <w:color w:val="000000"/>
                <w:kern w:val="0"/>
                <w:szCs w:val="21"/>
              </w:rPr>
              <w:t>2、选矿厂原料消耗</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67"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spacing w:val="102"/>
                <w:kern w:val="0"/>
                <w:szCs w:val="21"/>
              </w:rPr>
              <w:t>原矿</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ascii="宋体" w:hAnsi="宋体"/>
                <w:color w:val="000000"/>
                <w:kern w:val="0"/>
                <w:szCs w:val="21"/>
              </w:rPr>
              <w:t>t/a</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54450</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3.9</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72660</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7.62</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53230</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8.04</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67"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hint="eastAsia" w:ascii="宋体" w:hAnsi="宋体" w:cs="宋体"/>
                <w:color w:val="000000"/>
                <w:kern w:val="0"/>
                <w:szCs w:val="21"/>
              </w:rPr>
              <w:t>丁基黄药</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kg</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20765</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0.4</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22940</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top"/>
          </w:tcPr>
          <w:p>
            <w:pPr>
              <w:jc w:val="center"/>
              <w:rPr>
                <w:rFonts w:hint="eastAsia"/>
                <w:color w:val="000000"/>
              </w:rPr>
            </w:pPr>
            <w:r>
              <w:rPr>
                <w:rFonts w:hint="eastAsia"/>
                <w:color w:val="000000"/>
              </w:rPr>
              <w:t>0.45</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17500</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0.36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67"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szCs w:val="21"/>
              </w:rPr>
            </w:pPr>
            <w:r>
              <w:rPr>
                <w:rFonts w:ascii="宋体" w:hAnsi="宋体"/>
                <w:color w:val="000000"/>
                <w:kern w:val="0"/>
                <w:szCs w:val="21"/>
              </w:rPr>
              <w:t>2#油</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kkg</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2563</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0.06</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5071</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0.06</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2434</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0.05</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67"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Verdana" w:hAnsi="Verdana"/>
                <w:color w:val="000000"/>
                <w:szCs w:val="21"/>
              </w:rPr>
            </w:pPr>
            <w:r>
              <w:rPr>
                <w:rFonts w:ascii="Verdana" w:hAnsi="Verdana"/>
                <w:color w:val="000000"/>
                <w:kern w:val="0"/>
                <w:szCs w:val="21"/>
              </w:rPr>
              <w:t>CuSO</w:t>
            </w:r>
            <w:r>
              <w:rPr>
                <w:rFonts w:ascii="Verdana" w:hAnsi="Verdana"/>
                <w:color w:val="000000"/>
                <w:kern w:val="0"/>
                <w:szCs w:val="21"/>
                <w:vertAlign w:val="subscript"/>
              </w:rPr>
              <w:t>4</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kg</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2150</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0.4</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23225</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0.4</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17425</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0.36</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71"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Verdana" w:hAnsi="Verdana"/>
                <w:color w:val="000000"/>
                <w:szCs w:val="21"/>
              </w:rPr>
            </w:pPr>
            <w:r>
              <w:rPr>
                <w:rFonts w:ascii="Verdana" w:hAnsi="Verdana"/>
                <w:color w:val="000000"/>
                <w:kern w:val="0"/>
                <w:szCs w:val="21"/>
              </w:rPr>
              <w:t>ZnSO</w:t>
            </w:r>
            <w:r>
              <w:rPr>
                <w:rFonts w:ascii="Verdana" w:hAnsi="Verdana"/>
                <w:color w:val="000000"/>
                <w:kern w:val="0"/>
                <w:szCs w:val="21"/>
                <w:vertAlign w:val="subscript"/>
              </w:rPr>
              <w:t>4</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kg</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9350</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0.1</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15350</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0.15</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14400</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0.2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71"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电力</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kern w:val="0"/>
                <w:szCs w:val="21"/>
              </w:rPr>
            </w:pPr>
            <w:r>
              <w:rPr>
                <w:rFonts w:hint="eastAsia" w:ascii="宋体" w:hAnsi="宋体" w:cs="宋体"/>
                <w:color w:val="000000"/>
                <w:kern w:val="0"/>
                <w:szCs w:val="21"/>
              </w:rPr>
              <w:t>kwh</w:t>
            </w:r>
            <w:r>
              <w:rPr>
                <w:rFonts w:ascii="宋体" w:hAnsi="宋体"/>
                <w:color w:val="000000"/>
                <w:kern w:val="0"/>
                <w:szCs w:val="21"/>
              </w:rPr>
              <w:t>/a</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1905750</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136.79</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2506770</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262.88</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1756590</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265.23</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71"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柴油</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kern w:val="0"/>
                <w:szCs w:val="21"/>
              </w:rPr>
            </w:pPr>
            <w:r>
              <w:rPr>
                <w:rFonts w:ascii="宋体" w:hAnsi="宋体"/>
                <w:color w:val="000000"/>
                <w:kern w:val="0"/>
                <w:szCs w:val="21"/>
              </w:rPr>
              <w:t>t/a</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18.81</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2.284</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17.1</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2.08</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15.475</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1.81</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271" w:hRule="atLeast"/>
        </w:trPr>
        <w:tc>
          <w:tcPr>
            <w:tcW w:w="134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水</w:t>
            </w:r>
          </w:p>
        </w:tc>
        <w:tc>
          <w:tcPr>
            <w:tcW w:w="992"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ascii="宋体" w:hAnsi="宋体"/>
                <w:color w:val="000000"/>
                <w:kern w:val="0"/>
                <w:szCs w:val="21"/>
              </w:rPr>
            </w:pPr>
            <w:r>
              <w:rPr>
                <w:rFonts w:ascii="宋体" w:hAnsi="宋体"/>
                <w:color w:val="000000"/>
                <w:kern w:val="0"/>
                <w:szCs w:val="21"/>
              </w:rPr>
              <w:t>t/a</w:t>
            </w:r>
          </w:p>
        </w:tc>
        <w:tc>
          <w:tcPr>
            <w:tcW w:w="1079"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highlight w:val="green"/>
              </w:rPr>
            </w:pPr>
            <w:r>
              <w:rPr>
                <w:rFonts w:hint="eastAsia"/>
                <w:color w:val="000000"/>
                <w:szCs w:val="21"/>
              </w:rPr>
              <w:t>84397</w:t>
            </w:r>
          </w:p>
        </w:tc>
        <w:tc>
          <w:tcPr>
            <w:tcW w:w="98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rPr>
            </w:pPr>
            <w:r>
              <w:rPr>
                <w:rFonts w:hint="eastAsia"/>
                <w:color w:val="000000"/>
                <w:szCs w:val="21"/>
              </w:rPr>
              <w:t>6.77</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rPr>
            </w:pPr>
            <w:r>
              <w:rPr>
                <w:rFonts w:hint="eastAsia"/>
                <w:color w:val="000000"/>
                <w:szCs w:val="21"/>
              </w:rPr>
              <w:t>110443</w:t>
            </w:r>
          </w:p>
        </w:tc>
        <w:tc>
          <w:tcPr>
            <w:tcW w:w="114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11.58</w:t>
            </w:r>
          </w:p>
        </w:tc>
        <w:tc>
          <w:tcPr>
            <w:tcW w:w="1336"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79312</w:t>
            </w:r>
          </w:p>
        </w:tc>
        <w:tc>
          <w:tcPr>
            <w:tcW w:w="1147"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jc w:val="center"/>
              <w:rPr>
                <w:rFonts w:hint="eastAsia" w:ascii="宋体" w:hAnsi="宋体"/>
                <w:color w:val="000000"/>
                <w:szCs w:val="21"/>
              </w:rPr>
            </w:pPr>
            <w:r>
              <w:rPr>
                <w:rFonts w:hint="eastAsia" w:ascii="宋体" w:hAnsi="宋体"/>
                <w:color w:val="000000"/>
                <w:szCs w:val="21"/>
              </w:rPr>
              <w:t>11.98</w:t>
            </w:r>
          </w:p>
        </w:tc>
      </w:tr>
      <w:bookmarkEnd w:id="152"/>
      <w:bookmarkEnd w:id="153"/>
    </w:tbl>
    <w:p>
      <w:pPr>
        <w:pStyle w:val="5"/>
        <w:rPr>
          <w:rFonts w:hint="eastAsia"/>
          <w:color w:val="000000"/>
        </w:rPr>
      </w:pPr>
      <w:bookmarkStart w:id="154" w:name="_Toc23000868"/>
      <w:r>
        <w:rPr>
          <w:rFonts w:hint="eastAsia"/>
          <w:color w:val="000000"/>
        </w:rPr>
        <w:t>2.3.2原辅材料消耗和能源成本分析</w:t>
      </w:r>
      <w:bookmarkEnd w:id="154"/>
    </w:p>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矿山材料消耗主要是炸药，雷管等；选矿厂原料消耗主要是铅锌原矿以及选矿辅助剂</w:t>
      </w:r>
      <w:r>
        <w:rPr>
          <w:rFonts w:ascii="宋体" w:hAnsi="宋体"/>
          <w:color w:val="000000"/>
          <w:sz w:val="24"/>
        </w:rPr>
        <w:t>为丁黄、2#油、CuSO</w:t>
      </w:r>
      <w:r>
        <w:rPr>
          <w:rFonts w:ascii="宋体" w:hAnsi="宋体"/>
          <w:color w:val="000000"/>
          <w:sz w:val="24"/>
          <w:vertAlign w:val="subscript"/>
        </w:rPr>
        <w:t>4</w:t>
      </w:r>
      <w:r>
        <w:rPr>
          <w:rFonts w:ascii="宋体" w:hAnsi="宋体"/>
          <w:color w:val="000000"/>
          <w:sz w:val="24"/>
        </w:rPr>
        <w:t>、ZnSO</w:t>
      </w:r>
      <w:r>
        <w:rPr>
          <w:rFonts w:ascii="宋体" w:hAnsi="宋体"/>
          <w:color w:val="000000"/>
          <w:sz w:val="24"/>
          <w:vertAlign w:val="subscript"/>
        </w:rPr>
        <w:t>4</w:t>
      </w:r>
      <w:r>
        <w:rPr>
          <w:rFonts w:hint="eastAsia" w:ascii="宋体" w:hAnsi="宋体"/>
          <w:color w:val="000000"/>
          <w:sz w:val="24"/>
        </w:rPr>
        <w:t>等。铅锌矿石由</w:t>
      </w:r>
      <w:r>
        <w:rPr>
          <w:rFonts w:ascii="宋体" w:hAnsi="宋体"/>
          <w:color w:val="000000"/>
          <w:sz w:val="24"/>
        </w:rPr>
        <w:t>自有</w:t>
      </w:r>
      <w:r>
        <w:rPr>
          <w:rFonts w:hint="eastAsia" w:ascii="宋体" w:hAnsi="宋体"/>
          <w:color w:val="000000"/>
          <w:sz w:val="24"/>
        </w:rPr>
        <w:t>矿山产出。原料消耗情况具体见表</w:t>
      </w:r>
      <w:r>
        <w:rPr>
          <w:rFonts w:ascii="宋体" w:hAnsi="宋体"/>
          <w:color w:val="000000"/>
          <w:sz w:val="24"/>
        </w:rPr>
        <w:t>2-</w:t>
      </w:r>
      <w:r>
        <w:rPr>
          <w:rFonts w:hint="eastAsia" w:ascii="宋体" w:hAnsi="宋体"/>
          <w:color w:val="000000"/>
          <w:sz w:val="24"/>
        </w:rPr>
        <w:t>8、表2－11.</w:t>
      </w:r>
    </w:p>
    <w:p>
      <w:pPr>
        <w:tabs>
          <w:tab w:val="left" w:pos="0"/>
        </w:tabs>
        <w:spacing w:line="300" w:lineRule="exact"/>
        <w:jc w:val="center"/>
        <w:rPr>
          <w:rFonts w:hint="eastAsia" w:ascii="宋体" w:hAnsi="宋体"/>
          <w:b/>
          <w:color w:val="000000"/>
          <w:sz w:val="24"/>
        </w:rPr>
      </w:pPr>
      <w:r>
        <w:rPr>
          <w:rFonts w:hint="eastAsia" w:ascii="宋体" w:hAnsi="宋体"/>
          <w:b/>
          <w:color w:val="000000"/>
          <w:sz w:val="24"/>
        </w:rPr>
        <w:t>表2－11  2018年原料消耗费用统计表</w:t>
      </w:r>
    </w:p>
    <w:tbl>
      <w:tblPr>
        <w:tblStyle w:val="35"/>
        <w:tblW w:w="0" w:type="auto"/>
        <w:tblInd w:w="28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Layout w:type="fixed"/>
        <w:tblCellMar>
          <w:top w:w="0" w:type="dxa"/>
          <w:left w:w="0" w:type="dxa"/>
          <w:bottom w:w="0" w:type="dxa"/>
          <w:right w:w="0" w:type="dxa"/>
        </w:tblCellMar>
      </w:tblPr>
      <w:tblGrid>
        <w:gridCol w:w="1260"/>
        <w:gridCol w:w="1800"/>
        <w:gridCol w:w="1080"/>
        <w:gridCol w:w="1440"/>
        <w:gridCol w:w="2160"/>
        <w:gridCol w:w="127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wBefore w:w="0" w:type="dxa"/>
          <w:wAfter w:w="0" w:type="dxa"/>
          <w:trHeight w:val="196" w:hRule="atLeast"/>
          <w:tblHeader/>
        </w:trPr>
        <w:tc>
          <w:tcPr>
            <w:tcW w:w="126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类别</w:t>
            </w:r>
          </w:p>
        </w:tc>
        <w:tc>
          <w:tcPr>
            <w:tcW w:w="180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原料名称</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单位</w:t>
            </w:r>
          </w:p>
        </w:tc>
        <w:tc>
          <w:tcPr>
            <w:tcW w:w="144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总量</w:t>
            </w:r>
          </w:p>
        </w:tc>
        <w:tc>
          <w:tcPr>
            <w:tcW w:w="216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平均单价（元）</w:t>
            </w:r>
          </w:p>
        </w:tc>
        <w:tc>
          <w:tcPr>
            <w:tcW w:w="1278"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费用（元）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restart"/>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矿山</w:t>
            </w:r>
          </w:p>
          <w:p>
            <w:pPr>
              <w:widowControl/>
              <w:spacing w:line="320" w:lineRule="exact"/>
              <w:jc w:val="center"/>
              <w:rPr>
                <w:rFonts w:ascii="宋体" w:hAnsi="宋体"/>
                <w:color w:val="000000"/>
                <w:szCs w:val="21"/>
              </w:rPr>
            </w:pPr>
            <w:r>
              <w:rPr>
                <w:rFonts w:hint="eastAsia" w:ascii="宋体" w:hAnsi="宋体" w:cs="宋体"/>
                <w:color w:val="000000"/>
                <w:kern w:val="0"/>
                <w:szCs w:val="21"/>
              </w:rPr>
              <w:t>2018</w:t>
            </w:r>
          </w:p>
        </w:tc>
        <w:tc>
          <w:tcPr>
            <w:tcW w:w="1800" w:type="dxa"/>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ascii="宋体" w:hAnsi="宋体" w:cs="宋体"/>
                <w:color w:val="000000"/>
                <w:spacing w:val="20"/>
                <w:kern w:val="0"/>
                <w:szCs w:val="21"/>
              </w:rPr>
              <w:t>炸药</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olor w:val="000000"/>
                <w:spacing w:val="20"/>
                <w:kern w:val="0"/>
                <w:szCs w:val="21"/>
              </w:rPr>
              <w:t>kg</w:t>
            </w:r>
          </w:p>
        </w:tc>
        <w:tc>
          <w:tcPr>
            <w:tcW w:w="1440" w:type="dxa"/>
            <w:shd w:val="clear" w:color="auto" w:fill="FFFFFF"/>
            <w:noWrap w:val="0"/>
            <w:tcMar>
              <w:left w:w="108" w:type="dxa"/>
              <w:right w:w="108" w:type="dxa"/>
            </w:tcMar>
            <w:vAlign w:val="top"/>
          </w:tcPr>
          <w:p>
            <w:pPr>
              <w:spacing w:line="320" w:lineRule="exact"/>
              <w:jc w:val="center"/>
              <w:rPr>
                <w:rFonts w:hint="eastAsia"/>
                <w:color w:val="000000"/>
                <w:szCs w:val="21"/>
              </w:rPr>
            </w:pPr>
            <w:r>
              <w:rPr>
                <w:rFonts w:hint="eastAsia"/>
                <w:color w:val="000000"/>
                <w:szCs w:val="21"/>
              </w:rPr>
              <w:t>15732</w:t>
            </w:r>
          </w:p>
        </w:tc>
        <w:tc>
          <w:tcPr>
            <w:tcW w:w="216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11.8</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185637.6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spacing w:line="320" w:lineRule="exact"/>
              <w:rPr>
                <w:rFonts w:hint="eastAsia" w:ascii="宋体" w:hAnsi="宋体" w:cs="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ascii="宋体" w:hAnsi="宋体" w:cs="宋体"/>
                <w:color w:val="000000"/>
                <w:spacing w:val="20"/>
                <w:kern w:val="0"/>
                <w:szCs w:val="21"/>
              </w:rPr>
              <w:t>电雷管</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spacing w:val="20"/>
                <w:kern w:val="0"/>
                <w:szCs w:val="21"/>
              </w:rPr>
              <w:t>发</w:t>
            </w:r>
          </w:p>
        </w:tc>
        <w:tc>
          <w:tcPr>
            <w:tcW w:w="1440" w:type="dxa"/>
            <w:shd w:val="clear" w:color="auto" w:fill="FFFFFF"/>
            <w:noWrap w:val="0"/>
            <w:tcMar>
              <w:left w:w="108" w:type="dxa"/>
              <w:right w:w="108" w:type="dxa"/>
            </w:tcMar>
            <w:vAlign w:val="top"/>
          </w:tcPr>
          <w:p>
            <w:pPr>
              <w:spacing w:line="320" w:lineRule="exact"/>
              <w:jc w:val="center"/>
              <w:rPr>
                <w:rFonts w:hint="eastAsia"/>
                <w:color w:val="000000"/>
                <w:szCs w:val="21"/>
              </w:rPr>
            </w:pPr>
            <w:r>
              <w:rPr>
                <w:rFonts w:hint="eastAsia"/>
                <w:color w:val="000000"/>
                <w:szCs w:val="21"/>
              </w:rPr>
              <w:t>2059</w:t>
            </w:r>
          </w:p>
        </w:tc>
        <w:tc>
          <w:tcPr>
            <w:tcW w:w="216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3.5</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7206.5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restart"/>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选</w:t>
            </w:r>
          </w:p>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矿</w:t>
            </w:r>
          </w:p>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厂</w:t>
            </w:r>
          </w:p>
          <w:p>
            <w:pPr>
              <w:widowControl/>
              <w:spacing w:line="320" w:lineRule="exact"/>
              <w:jc w:val="center"/>
              <w:rPr>
                <w:rFonts w:hint="eastAsia" w:ascii="宋体" w:hAnsi="宋体"/>
                <w:color w:val="000000"/>
                <w:szCs w:val="21"/>
              </w:rPr>
            </w:pPr>
            <w:r>
              <w:rPr>
                <w:rFonts w:hint="eastAsia" w:ascii="宋体" w:hAnsi="宋体" w:cs="宋体"/>
                <w:color w:val="000000"/>
                <w:kern w:val="0"/>
                <w:szCs w:val="21"/>
              </w:rPr>
              <w:t>（2014）</w:t>
            </w:r>
          </w:p>
        </w:tc>
        <w:tc>
          <w:tcPr>
            <w:tcW w:w="180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spacing w:val="102"/>
                <w:kern w:val="0"/>
                <w:szCs w:val="21"/>
              </w:rPr>
              <w:t>原矿</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olor w:val="000000"/>
                <w:kern w:val="0"/>
                <w:szCs w:val="21"/>
              </w:rPr>
              <w:t>t/a</w:t>
            </w:r>
          </w:p>
        </w:tc>
        <w:tc>
          <w:tcPr>
            <w:tcW w:w="144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olor w:val="000000"/>
                <w:szCs w:val="21"/>
              </w:rPr>
              <w:t>53230</w:t>
            </w:r>
          </w:p>
        </w:tc>
        <w:tc>
          <w:tcPr>
            <w:tcW w:w="216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800</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42584000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spacing w:line="320" w:lineRule="exact"/>
              <w:jc w:val="center"/>
              <w:rPr>
                <w:rFonts w:hint="eastAsia" w:ascii="宋体" w:hAnsi="宋体" w:cs="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s="宋体"/>
                <w:color w:val="000000"/>
                <w:kern w:val="0"/>
                <w:szCs w:val="21"/>
              </w:rPr>
              <w:t>丁基黄药</w:t>
            </w:r>
          </w:p>
        </w:tc>
        <w:tc>
          <w:tcPr>
            <w:tcW w:w="108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kg</w:t>
            </w:r>
          </w:p>
        </w:tc>
        <w:tc>
          <w:tcPr>
            <w:tcW w:w="144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olor w:val="000000"/>
                <w:szCs w:val="21"/>
              </w:rPr>
              <w:t>17500</w:t>
            </w:r>
          </w:p>
        </w:tc>
        <w:tc>
          <w:tcPr>
            <w:tcW w:w="216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245.73∕25kg</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172011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spacing w:line="320" w:lineRule="exact"/>
              <w:jc w:val="center"/>
              <w:rPr>
                <w:rFonts w:hint="eastAsia" w:ascii="宋体" w:hAnsi="宋体" w:cs="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ascii="宋体" w:hAnsi="宋体"/>
                <w:color w:val="000000"/>
                <w:kern w:val="0"/>
                <w:szCs w:val="21"/>
              </w:rPr>
              <w:t>2#油</w:t>
            </w:r>
            <w:r>
              <w:rPr>
                <w:rFonts w:hint="eastAsia" w:ascii="宋体" w:hAnsi="宋体"/>
                <w:color w:val="000000"/>
                <w:kern w:val="0"/>
                <w:szCs w:val="21"/>
              </w:rPr>
              <w:t>（松醇油）</w:t>
            </w:r>
          </w:p>
        </w:tc>
        <w:tc>
          <w:tcPr>
            <w:tcW w:w="108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kg</w:t>
            </w:r>
          </w:p>
        </w:tc>
        <w:tc>
          <w:tcPr>
            <w:tcW w:w="144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olor w:val="000000"/>
                <w:szCs w:val="21"/>
              </w:rPr>
              <w:t>2434</w:t>
            </w:r>
          </w:p>
        </w:tc>
        <w:tc>
          <w:tcPr>
            <w:tcW w:w="216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346.15kg</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842529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spacing w:line="320" w:lineRule="exact"/>
              <w:jc w:val="center"/>
              <w:rPr>
                <w:rFonts w:hint="eastAsia" w:ascii="宋体" w:hAnsi="宋体" w:cs="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rFonts w:ascii="Verdana" w:hAnsi="Verdana"/>
                <w:color w:val="000000"/>
                <w:szCs w:val="21"/>
              </w:rPr>
            </w:pPr>
            <w:r>
              <w:rPr>
                <w:rFonts w:ascii="Verdana" w:hAnsi="宋体"/>
                <w:color w:val="000000"/>
                <w:kern w:val="0"/>
                <w:szCs w:val="21"/>
              </w:rPr>
              <w:t>硫</w:t>
            </w:r>
            <w:r>
              <w:rPr>
                <w:rFonts w:hint="eastAsia" w:ascii="Verdana" w:hAnsi="宋体"/>
                <w:color w:val="000000"/>
                <w:kern w:val="0"/>
                <w:szCs w:val="21"/>
              </w:rPr>
              <w:t>酸铜</w:t>
            </w:r>
            <w:r>
              <w:rPr>
                <w:rFonts w:ascii="Verdana" w:hAnsi="宋体"/>
                <w:color w:val="000000"/>
                <w:kern w:val="0"/>
                <w:szCs w:val="21"/>
              </w:rPr>
              <w:t>（</w:t>
            </w:r>
            <w:r>
              <w:rPr>
                <w:rFonts w:ascii="Verdana" w:hAnsi="Verdana"/>
                <w:color w:val="000000"/>
                <w:kern w:val="0"/>
                <w:szCs w:val="21"/>
              </w:rPr>
              <w:t>CuSO</w:t>
            </w:r>
            <w:r>
              <w:rPr>
                <w:rFonts w:ascii="Verdana" w:hAnsi="Verdana"/>
                <w:color w:val="000000"/>
                <w:kern w:val="0"/>
                <w:szCs w:val="21"/>
                <w:vertAlign w:val="subscript"/>
              </w:rPr>
              <w:t>4</w:t>
            </w:r>
            <w:r>
              <w:rPr>
                <w:rFonts w:ascii="Verdana" w:hAnsi="宋体"/>
                <w:color w:val="000000"/>
                <w:kern w:val="0"/>
                <w:szCs w:val="21"/>
              </w:rPr>
              <w:t>）</w:t>
            </w:r>
          </w:p>
        </w:tc>
        <w:tc>
          <w:tcPr>
            <w:tcW w:w="108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kg</w:t>
            </w:r>
          </w:p>
        </w:tc>
        <w:tc>
          <w:tcPr>
            <w:tcW w:w="144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17425</w:t>
            </w:r>
          </w:p>
        </w:tc>
        <w:tc>
          <w:tcPr>
            <w:tcW w:w="216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341.88∕25kg</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238290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spacing w:line="320" w:lineRule="exact"/>
              <w:jc w:val="center"/>
              <w:rPr>
                <w:rFonts w:ascii="宋体" w:hAnsi="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rFonts w:ascii="Verdana" w:hAnsi="Verdana"/>
                <w:color w:val="000000"/>
                <w:szCs w:val="21"/>
              </w:rPr>
            </w:pPr>
            <w:r>
              <w:rPr>
                <w:rFonts w:ascii="Verdana" w:hAnsi="宋体"/>
                <w:color w:val="000000"/>
                <w:kern w:val="0"/>
                <w:szCs w:val="21"/>
              </w:rPr>
              <w:t>硫酸锌（</w:t>
            </w:r>
            <w:r>
              <w:rPr>
                <w:rFonts w:ascii="Verdana" w:hAnsi="Verdana"/>
                <w:color w:val="000000"/>
                <w:kern w:val="0"/>
                <w:szCs w:val="21"/>
              </w:rPr>
              <w:t>ZnSO</w:t>
            </w:r>
            <w:r>
              <w:rPr>
                <w:rFonts w:ascii="Verdana" w:hAnsi="Verdana"/>
                <w:color w:val="000000"/>
                <w:kern w:val="0"/>
                <w:szCs w:val="21"/>
                <w:vertAlign w:val="subscript"/>
              </w:rPr>
              <w:t>4</w:t>
            </w:r>
            <w:r>
              <w:rPr>
                <w:rFonts w:ascii="Verdana" w:hAnsi="宋体"/>
                <w:color w:val="000000"/>
                <w:kern w:val="0"/>
                <w:szCs w:val="21"/>
              </w:rPr>
              <w:t>）</w:t>
            </w:r>
          </w:p>
        </w:tc>
        <w:tc>
          <w:tcPr>
            <w:tcW w:w="108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ascii="宋体" w:hAnsi="宋体"/>
                <w:color w:val="000000"/>
                <w:kern w:val="0"/>
                <w:szCs w:val="21"/>
              </w:rPr>
              <w:t>t/</w:t>
            </w:r>
            <w:r>
              <w:rPr>
                <w:rFonts w:hint="eastAsia" w:ascii="宋体" w:hAnsi="宋体"/>
                <w:color w:val="000000"/>
                <w:kern w:val="0"/>
                <w:szCs w:val="21"/>
              </w:rPr>
              <w:t>kg</w:t>
            </w:r>
          </w:p>
        </w:tc>
        <w:tc>
          <w:tcPr>
            <w:tcW w:w="144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14400</w:t>
            </w:r>
          </w:p>
        </w:tc>
        <w:tc>
          <w:tcPr>
            <w:tcW w:w="216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74.79∕25kg</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43079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spacing w:line="320" w:lineRule="exact"/>
              <w:jc w:val="center"/>
              <w:rPr>
                <w:rFonts w:ascii="宋体" w:hAnsi="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电力</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kern w:val="0"/>
                <w:szCs w:val="21"/>
              </w:rPr>
            </w:pPr>
            <w:r>
              <w:rPr>
                <w:rFonts w:hint="eastAsia" w:ascii="宋体" w:hAnsi="宋体" w:cs="宋体"/>
                <w:color w:val="000000"/>
                <w:kern w:val="0"/>
                <w:szCs w:val="21"/>
              </w:rPr>
              <w:t>万kwh</w:t>
            </w:r>
            <w:r>
              <w:rPr>
                <w:rFonts w:ascii="宋体" w:hAnsi="宋体"/>
                <w:color w:val="000000"/>
                <w:kern w:val="0"/>
                <w:szCs w:val="21"/>
              </w:rPr>
              <w:t xml:space="preserve"> /a</w:t>
            </w:r>
          </w:p>
        </w:tc>
        <w:tc>
          <w:tcPr>
            <w:tcW w:w="144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1756590</w:t>
            </w:r>
          </w:p>
        </w:tc>
        <w:tc>
          <w:tcPr>
            <w:tcW w:w="216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0.55</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966124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spacing w:line="320" w:lineRule="exact"/>
              <w:jc w:val="center"/>
              <w:rPr>
                <w:rFonts w:ascii="宋体" w:hAnsi="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柴油</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t/a</w:t>
            </w:r>
          </w:p>
        </w:tc>
        <w:tc>
          <w:tcPr>
            <w:tcW w:w="144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15.475</w:t>
            </w:r>
          </w:p>
        </w:tc>
        <w:tc>
          <w:tcPr>
            <w:tcW w:w="216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5800</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89755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1260" w:type="dxa"/>
            <w:vMerge w:val="continue"/>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p>
        </w:tc>
        <w:tc>
          <w:tcPr>
            <w:tcW w:w="180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水</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olor w:val="000000"/>
                <w:kern w:val="0"/>
                <w:szCs w:val="21"/>
              </w:rPr>
              <w:t>t/a</w:t>
            </w:r>
          </w:p>
        </w:tc>
        <w:tc>
          <w:tcPr>
            <w:tcW w:w="144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245167</w:t>
            </w:r>
          </w:p>
        </w:tc>
        <w:tc>
          <w:tcPr>
            <w:tcW w:w="2160"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2</w:t>
            </w: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490334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196" w:hRule="atLeast"/>
        </w:trPr>
        <w:tc>
          <w:tcPr>
            <w:tcW w:w="3060" w:type="dxa"/>
            <w:gridSpan w:val="2"/>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合计</w:t>
            </w:r>
          </w:p>
        </w:tc>
        <w:tc>
          <w:tcPr>
            <w:tcW w:w="1080" w:type="dxa"/>
            <w:shd w:val="clear" w:color="auto" w:fill="FFFFFF"/>
            <w:noWrap w:val="0"/>
            <w:tcMar>
              <w:left w:w="108" w:type="dxa"/>
              <w:right w:w="108" w:type="dxa"/>
            </w:tcMar>
            <w:vAlign w:val="center"/>
          </w:tcPr>
          <w:p>
            <w:pPr>
              <w:widowControl/>
              <w:spacing w:line="320" w:lineRule="exact"/>
              <w:jc w:val="center"/>
              <w:rPr>
                <w:rFonts w:ascii="宋体" w:hAnsi="宋体"/>
                <w:color w:val="000000"/>
                <w:kern w:val="0"/>
                <w:szCs w:val="21"/>
              </w:rPr>
            </w:pPr>
          </w:p>
        </w:tc>
        <w:tc>
          <w:tcPr>
            <w:tcW w:w="144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p>
        </w:tc>
        <w:tc>
          <w:tcPr>
            <w:tcW w:w="2160"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p>
        </w:tc>
        <w:tc>
          <w:tcPr>
            <w:tcW w:w="1278"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45618966</w:t>
            </w:r>
          </w:p>
        </w:tc>
      </w:tr>
    </w:tbl>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企业使用的原辅材料经与国家《危险货物品名表》（GB12268）、《企业突发环境事件风险分级方法》（HJ941-2018）进行对照，公司矿山使用炸药、雷管属危险爆炸品，选矿厂使用柴油属环境风险物质。</w:t>
      </w:r>
    </w:p>
    <w:p>
      <w:pPr>
        <w:spacing w:line="360" w:lineRule="auto"/>
        <w:ind w:firstLine="480" w:firstLineChars="200"/>
        <w:rPr>
          <w:rFonts w:hint="eastAsia" w:ascii="宋体" w:hAnsi="宋体" w:cs="宋体"/>
          <w:color w:val="000000"/>
          <w:spacing w:val="20"/>
          <w:kern w:val="0"/>
          <w:sz w:val="24"/>
          <w:szCs w:val="24"/>
        </w:rPr>
      </w:pPr>
      <w:r>
        <w:rPr>
          <w:rFonts w:hint="eastAsia" w:ascii="宋体" w:hAnsi="宋体"/>
          <w:color w:val="000000"/>
          <w:sz w:val="24"/>
          <w:szCs w:val="24"/>
        </w:rPr>
        <w:t>矿山爆破使用的炸药（硝炸药）、电雷管、</w:t>
      </w:r>
      <w:r>
        <w:rPr>
          <w:rFonts w:hint="eastAsia" w:ascii="宋体" w:hAnsi="宋体" w:cs="宋体"/>
          <w:color w:val="000000"/>
          <w:spacing w:val="20"/>
          <w:kern w:val="0"/>
          <w:sz w:val="24"/>
          <w:szCs w:val="24"/>
        </w:rPr>
        <w:t>导爆索</w:t>
      </w:r>
      <w:r>
        <w:rPr>
          <w:rFonts w:hint="eastAsia" w:ascii="宋体" w:hAnsi="宋体"/>
          <w:color w:val="000000"/>
          <w:sz w:val="24"/>
          <w:szCs w:val="24"/>
        </w:rPr>
        <w:t>、导火索</w:t>
      </w:r>
      <w:r>
        <w:rPr>
          <w:rFonts w:hint="eastAsia" w:ascii="宋体" w:hAnsi="宋体" w:cs="宋体"/>
          <w:color w:val="000000"/>
          <w:spacing w:val="20"/>
          <w:kern w:val="0"/>
          <w:sz w:val="24"/>
          <w:szCs w:val="24"/>
        </w:rPr>
        <w:t>，这些爆破材料属危险品。详见表2-12：</w:t>
      </w:r>
    </w:p>
    <w:p>
      <w:pPr>
        <w:autoSpaceDE w:val="0"/>
        <w:autoSpaceDN w:val="0"/>
        <w:adjustRightInd w:val="0"/>
        <w:jc w:val="center"/>
        <w:rPr>
          <w:rFonts w:hint="eastAsia" w:ascii="宋体" w:hAnsi="宋体" w:cs="宋体"/>
          <w:b/>
          <w:color w:val="000000"/>
          <w:kern w:val="0"/>
          <w:sz w:val="24"/>
        </w:rPr>
      </w:pPr>
      <w:r>
        <w:rPr>
          <w:rFonts w:hint="eastAsia" w:ascii="宋体" w:hAnsi="宋体" w:cs="宋体"/>
          <w:b/>
          <w:color w:val="000000"/>
          <w:kern w:val="0"/>
          <w:sz w:val="24"/>
        </w:rPr>
        <w:t>表2－12   危险物品使用情况表</w:t>
      </w:r>
    </w:p>
    <w:tbl>
      <w:tblPr>
        <w:tblStyle w:val="36"/>
        <w:tblW w:w="9547"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0"/>
        <w:gridCol w:w="900"/>
        <w:gridCol w:w="1080"/>
        <w:gridCol w:w="66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89" w:hRule="atLeast"/>
          <w:tblHeader/>
        </w:trPr>
        <w:tc>
          <w:tcPr>
            <w:tcW w:w="900" w:type="dxa"/>
            <w:noWrap w:val="0"/>
            <w:vAlign w:val="top"/>
          </w:tcPr>
          <w:p>
            <w:pPr>
              <w:autoSpaceDE w:val="0"/>
              <w:autoSpaceDN w:val="0"/>
              <w:adjustRightInd w:val="0"/>
              <w:spacing w:line="400" w:lineRule="exact"/>
              <w:jc w:val="center"/>
              <w:rPr>
                <w:rFonts w:hint="eastAsia" w:ascii="宋体" w:hAnsi="宋体" w:cs="宋体"/>
                <w:color w:val="000000"/>
                <w:kern w:val="0"/>
                <w:szCs w:val="21"/>
              </w:rPr>
            </w:pPr>
            <w:r>
              <w:rPr>
                <w:rFonts w:hint="eastAsia" w:ascii="宋体" w:hAnsi="宋体"/>
                <w:color w:val="000000"/>
                <w:szCs w:val="21"/>
              </w:rPr>
              <w:t>危险品名称</w:t>
            </w:r>
          </w:p>
        </w:tc>
        <w:tc>
          <w:tcPr>
            <w:tcW w:w="90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危险</w:t>
            </w:r>
          </w:p>
          <w:p>
            <w:pPr>
              <w:autoSpaceDE w:val="0"/>
              <w:autoSpaceDN w:val="0"/>
              <w:adjustRightInd w:val="0"/>
              <w:spacing w:line="400" w:lineRule="exact"/>
              <w:jc w:val="center"/>
              <w:rPr>
                <w:rFonts w:hint="eastAsia" w:ascii="宋体" w:hAnsi="宋体" w:cs="宋体"/>
                <w:color w:val="000000"/>
                <w:kern w:val="0"/>
                <w:szCs w:val="21"/>
              </w:rPr>
            </w:pPr>
            <w:r>
              <w:rPr>
                <w:rFonts w:hint="eastAsia" w:ascii="宋体" w:hAnsi="宋体"/>
                <w:color w:val="000000"/>
                <w:szCs w:val="21"/>
              </w:rPr>
              <w:t>编号</w:t>
            </w:r>
          </w:p>
        </w:tc>
        <w:tc>
          <w:tcPr>
            <w:tcW w:w="1080" w:type="dxa"/>
            <w:noWrap w:val="0"/>
            <w:vAlign w:val="top"/>
          </w:tcPr>
          <w:p>
            <w:pPr>
              <w:autoSpaceDE w:val="0"/>
              <w:autoSpaceDN w:val="0"/>
              <w:adjustRightInd w:val="0"/>
              <w:spacing w:line="400" w:lineRule="exact"/>
              <w:jc w:val="center"/>
              <w:rPr>
                <w:rFonts w:hint="eastAsia" w:ascii="宋体" w:hAnsi="宋体" w:cs="宋体"/>
                <w:color w:val="000000"/>
                <w:kern w:val="0"/>
                <w:szCs w:val="21"/>
              </w:rPr>
            </w:pPr>
            <w:r>
              <w:rPr>
                <w:rFonts w:hint="eastAsia" w:ascii="宋体" w:hAnsi="宋体"/>
                <w:color w:val="000000"/>
                <w:szCs w:val="21"/>
              </w:rPr>
              <w:t>使用工序</w:t>
            </w:r>
          </w:p>
        </w:tc>
        <w:tc>
          <w:tcPr>
            <w:tcW w:w="6667" w:type="dxa"/>
            <w:noWrap w:val="0"/>
            <w:vAlign w:val="top"/>
          </w:tcPr>
          <w:p>
            <w:pPr>
              <w:autoSpaceDE w:val="0"/>
              <w:autoSpaceDN w:val="0"/>
              <w:adjustRightInd w:val="0"/>
              <w:spacing w:line="400" w:lineRule="exact"/>
              <w:jc w:val="center"/>
              <w:rPr>
                <w:rFonts w:hint="eastAsia" w:ascii="宋体" w:hAnsi="宋体" w:cs="宋体"/>
                <w:color w:val="000000"/>
                <w:kern w:val="0"/>
                <w:szCs w:val="21"/>
              </w:rPr>
            </w:pPr>
            <w:r>
              <w:rPr>
                <w:rFonts w:hint="eastAsia" w:ascii="宋体" w:hAnsi="宋体"/>
                <w:color w:val="000000"/>
                <w:szCs w:val="21"/>
              </w:rPr>
              <w:t>使用功能与危害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98" w:hRule="atLeast"/>
        </w:trPr>
        <w:tc>
          <w:tcPr>
            <w:tcW w:w="90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炸药</w:t>
            </w:r>
          </w:p>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（硝铵炸药）</w:t>
            </w:r>
          </w:p>
        </w:tc>
        <w:tc>
          <w:tcPr>
            <w:tcW w:w="900" w:type="dxa"/>
            <w:noWrap w:val="0"/>
            <w:vAlign w:val="top"/>
          </w:tcPr>
          <w:p>
            <w:pPr>
              <w:autoSpaceDE w:val="0"/>
              <w:autoSpaceDN w:val="0"/>
              <w:adjustRightInd w:val="0"/>
              <w:spacing w:line="400" w:lineRule="exact"/>
              <w:jc w:val="center"/>
              <w:rPr>
                <w:rFonts w:hint="eastAsia" w:ascii="宋体" w:hAnsi="宋体" w:cs="宋体"/>
                <w:color w:val="000000"/>
                <w:kern w:val="0"/>
                <w:szCs w:val="21"/>
              </w:rPr>
            </w:pPr>
            <w:r>
              <w:rPr>
                <w:rFonts w:hint="eastAsia" w:ascii="宋体" w:hAnsi="宋体"/>
                <w:color w:val="000000"/>
                <w:szCs w:val="21"/>
              </w:rPr>
              <w:t>11084</w:t>
            </w:r>
          </w:p>
        </w:tc>
        <w:tc>
          <w:tcPr>
            <w:tcW w:w="108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矿山采矿</w:t>
            </w:r>
          </w:p>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爆破</w:t>
            </w:r>
          </w:p>
        </w:tc>
        <w:tc>
          <w:tcPr>
            <w:tcW w:w="6667" w:type="dxa"/>
            <w:noWrap w:val="0"/>
            <w:vAlign w:val="top"/>
          </w:tcPr>
          <w:p>
            <w:pPr>
              <w:autoSpaceDE w:val="0"/>
              <w:autoSpaceDN w:val="0"/>
              <w:adjustRightInd w:val="0"/>
              <w:spacing w:line="400" w:lineRule="exact"/>
              <w:ind w:firstLine="420" w:firstLineChars="200"/>
              <w:jc w:val="left"/>
              <w:rPr>
                <w:rFonts w:hint="eastAsia" w:ascii="宋体" w:hAnsi="宋体" w:cs="宋体"/>
                <w:color w:val="000000"/>
                <w:kern w:val="0"/>
                <w:szCs w:val="21"/>
              </w:rPr>
            </w:pPr>
            <w:r>
              <w:rPr>
                <w:rFonts w:ascii="宋体" w:hAnsi="宋体" w:cs="Arial"/>
                <w:color w:val="000000"/>
                <w:szCs w:val="21"/>
                <w:shd w:val="clear" w:color="auto" w:fill="FFFFFF"/>
              </w:rPr>
              <w:t>在一定能量作用下,无需外界供氧时,能够发生快速化学反应,生成大量的热和气体产物的物质</w:t>
            </w:r>
            <w:r>
              <w:rPr>
                <w:rFonts w:hint="eastAsia" w:ascii="宋体" w:hAnsi="宋体" w:cs="Arial"/>
                <w:color w:val="000000"/>
                <w:szCs w:val="21"/>
                <w:shd w:val="clear" w:color="auto" w:fill="FFFFFF"/>
              </w:rPr>
              <w:t>。1、</w:t>
            </w:r>
            <w:r>
              <w:rPr>
                <w:rFonts w:ascii="宋体" w:hAnsi="宋体" w:cs="Arial"/>
                <w:color w:val="000000"/>
                <w:szCs w:val="21"/>
                <w:shd w:val="clear" w:color="auto" w:fill="FFFFFF"/>
              </w:rPr>
              <w:t>爆炸瞬间产生的高温</w:t>
            </w:r>
            <w:r>
              <w:rPr>
                <w:rFonts w:ascii="宋体" w:hAnsi="宋体"/>
                <w:color w:val="000000"/>
                <w:szCs w:val="21"/>
              </w:rPr>
              <w:fldChar w:fldCharType="begin"/>
            </w:r>
            <w:r>
              <w:rPr>
                <w:rFonts w:ascii="宋体" w:hAnsi="宋体"/>
                <w:color w:val="000000"/>
                <w:szCs w:val="21"/>
              </w:rPr>
              <w:instrText xml:space="preserve"> HYPERLINK "http://baike.baidu.com/view/59917.htm" \t "_blank" </w:instrText>
            </w:r>
            <w:r>
              <w:rPr>
                <w:rFonts w:ascii="宋体" w:hAnsi="宋体"/>
                <w:color w:val="000000"/>
                <w:szCs w:val="21"/>
              </w:rPr>
              <w:fldChar w:fldCharType="separate"/>
            </w:r>
            <w:r>
              <w:rPr>
                <w:rStyle w:val="42"/>
                <w:rFonts w:ascii="宋体" w:hAnsi="宋体" w:cs="Arial"/>
                <w:color w:val="000000"/>
                <w:szCs w:val="21"/>
                <w:shd w:val="clear" w:color="auto" w:fill="FFFFFF"/>
              </w:rPr>
              <w:t>火焰</w:t>
            </w:r>
            <w:r>
              <w:rPr>
                <w:rFonts w:ascii="宋体" w:hAnsi="宋体"/>
                <w:color w:val="000000"/>
                <w:szCs w:val="21"/>
              </w:rPr>
              <w:fldChar w:fldCharType="end"/>
            </w:r>
            <w:r>
              <w:rPr>
                <w:rFonts w:ascii="宋体" w:hAnsi="宋体" w:cs="Arial"/>
                <w:color w:val="000000"/>
                <w:szCs w:val="21"/>
                <w:shd w:val="clear" w:color="auto" w:fill="FFFFFF"/>
              </w:rPr>
              <w:t>，可引燃周围可燃物而酿成火灾。</w:t>
            </w:r>
            <w:r>
              <w:rPr>
                <w:rFonts w:hint="eastAsia" w:ascii="宋体" w:hAnsi="宋体" w:cs="Arial"/>
                <w:color w:val="000000"/>
                <w:szCs w:val="21"/>
                <w:shd w:val="clear" w:color="auto" w:fill="FFFFFF"/>
              </w:rPr>
              <w:t>2、</w:t>
            </w:r>
            <w:r>
              <w:rPr>
                <w:rFonts w:ascii="宋体" w:hAnsi="宋体" w:cs="Arial"/>
                <w:color w:val="000000"/>
                <w:szCs w:val="21"/>
                <w:shd w:val="clear" w:color="auto" w:fill="FFFFFF"/>
              </w:rPr>
              <w:t>爆炸产生高温高压气体所形成的空气冲击波，可造成对周围的破坏，严重的可摧毁整个建筑物及设备，也可破坏邻近建筑物，甚至离爆炸点很远的建筑物也会受到损坏并造成人员伤亡。</w:t>
            </w:r>
            <w:r>
              <w:rPr>
                <w:rFonts w:hint="eastAsia" w:ascii="宋体" w:hAnsi="宋体" w:cs="Arial"/>
                <w:color w:val="000000"/>
                <w:szCs w:val="21"/>
                <w:shd w:val="clear" w:color="auto" w:fill="FFFFFF"/>
              </w:rPr>
              <w:t>3、</w:t>
            </w:r>
            <w:r>
              <w:rPr>
                <w:rFonts w:ascii="宋体" w:hAnsi="宋体" w:cs="Arial"/>
                <w:color w:val="000000"/>
                <w:szCs w:val="21"/>
                <w:shd w:val="clear" w:color="auto" w:fill="FFFFFF"/>
              </w:rPr>
              <w:t>爆炸时产生的爆炸飞散物，向四周散射，造成人员伤亡和建筑物的破坏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93" w:hRule="atLeast"/>
        </w:trPr>
        <w:tc>
          <w:tcPr>
            <w:tcW w:w="90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电雷管</w:t>
            </w:r>
          </w:p>
        </w:tc>
        <w:tc>
          <w:tcPr>
            <w:tcW w:w="900" w:type="dxa"/>
            <w:noWrap w:val="0"/>
            <w:vAlign w:val="top"/>
          </w:tcPr>
          <w:p>
            <w:pPr>
              <w:autoSpaceDE w:val="0"/>
              <w:autoSpaceDN w:val="0"/>
              <w:adjustRightInd w:val="0"/>
              <w:spacing w:line="400" w:lineRule="exact"/>
              <w:jc w:val="center"/>
              <w:rPr>
                <w:rFonts w:hint="eastAsia" w:ascii="宋体" w:hAnsi="宋体" w:cs="宋体"/>
                <w:color w:val="000000"/>
                <w:kern w:val="0"/>
                <w:szCs w:val="21"/>
              </w:rPr>
            </w:pPr>
            <w:r>
              <w:rPr>
                <w:rFonts w:hint="eastAsia" w:ascii="宋体" w:hAnsi="宋体"/>
                <w:color w:val="000000"/>
                <w:szCs w:val="21"/>
              </w:rPr>
              <w:t>14011</w:t>
            </w:r>
          </w:p>
        </w:tc>
        <w:tc>
          <w:tcPr>
            <w:tcW w:w="108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矿山采矿</w:t>
            </w:r>
          </w:p>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爆破</w:t>
            </w:r>
          </w:p>
        </w:tc>
        <w:tc>
          <w:tcPr>
            <w:tcW w:w="6667" w:type="dxa"/>
            <w:noWrap w:val="0"/>
            <w:vAlign w:val="top"/>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20" w:firstLineChars="200"/>
              <w:jc w:val="left"/>
              <w:rPr>
                <w:rFonts w:hint="eastAsia" w:ascii="宋体" w:hAnsi="宋体" w:cs="Arial"/>
                <w:color w:val="000000"/>
                <w:kern w:val="0"/>
                <w:szCs w:val="21"/>
              </w:rPr>
            </w:pPr>
            <w:r>
              <w:rPr>
                <w:rFonts w:ascii="宋体" w:hAnsi="宋体" w:cs="Arial"/>
                <w:color w:val="000000"/>
                <w:kern w:val="0"/>
                <w:szCs w:val="21"/>
              </w:rPr>
              <w:t>能够识别外来引爆信号的雷管。</w:t>
            </w:r>
            <w:r>
              <w:rPr>
                <w:rFonts w:hint="eastAsia" w:ascii="宋体" w:hAnsi="宋体" w:cs="Arial"/>
                <w:color w:val="000000"/>
                <w:kern w:val="0"/>
                <w:szCs w:val="21"/>
              </w:rPr>
              <w:t>发火冲能2.0A2</w:t>
            </w:r>
            <w:r>
              <w:rPr>
                <w:rFonts w:hint="eastAsia" w:ascii="宋体" w:hAnsi="宋体"/>
                <w:color w:val="000000"/>
                <w:szCs w:val="21"/>
              </w:rPr>
              <w:t>·ms～7.9</w:t>
            </w:r>
            <w:r>
              <w:rPr>
                <w:rFonts w:hint="eastAsia" w:ascii="宋体" w:hAnsi="宋体" w:cs="Arial"/>
                <w:color w:val="000000"/>
                <w:kern w:val="0"/>
                <w:szCs w:val="21"/>
              </w:rPr>
              <w:t xml:space="preserve"> A2</w:t>
            </w:r>
            <w:r>
              <w:rPr>
                <w:rFonts w:hint="eastAsia" w:ascii="宋体" w:hAnsi="宋体"/>
                <w:color w:val="000000"/>
                <w:szCs w:val="21"/>
              </w:rPr>
              <w:t>·ms,起爆能力能炸穿厚度为五厘米的铅板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21" w:hRule="atLeast"/>
        </w:trPr>
        <w:tc>
          <w:tcPr>
            <w:tcW w:w="90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导爆索</w:t>
            </w:r>
          </w:p>
        </w:tc>
        <w:tc>
          <w:tcPr>
            <w:tcW w:w="90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14005</w:t>
            </w:r>
          </w:p>
        </w:tc>
        <w:tc>
          <w:tcPr>
            <w:tcW w:w="1080" w:type="dxa"/>
            <w:noWrap w:val="0"/>
            <w:vAlign w:val="top"/>
          </w:tcPr>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矿山采矿</w:t>
            </w:r>
          </w:p>
          <w:p>
            <w:pPr>
              <w:autoSpaceDE w:val="0"/>
              <w:autoSpaceDN w:val="0"/>
              <w:adjustRightInd w:val="0"/>
              <w:spacing w:line="400" w:lineRule="exact"/>
              <w:jc w:val="center"/>
              <w:rPr>
                <w:rFonts w:hint="eastAsia" w:ascii="宋体" w:hAnsi="宋体"/>
                <w:color w:val="000000"/>
                <w:szCs w:val="21"/>
              </w:rPr>
            </w:pPr>
            <w:r>
              <w:rPr>
                <w:rFonts w:hint="eastAsia" w:ascii="宋体" w:hAnsi="宋体"/>
                <w:color w:val="000000"/>
                <w:szCs w:val="21"/>
              </w:rPr>
              <w:t>爆破</w:t>
            </w:r>
          </w:p>
        </w:tc>
        <w:tc>
          <w:tcPr>
            <w:tcW w:w="6667" w:type="dxa"/>
            <w:noWrap w:val="0"/>
            <w:vAlign w:val="top"/>
          </w:tcPr>
          <w:p>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ind w:firstLine="420" w:firstLineChars="200"/>
              <w:jc w:val="left"/>
              <w:rPr>
                <w:rFonts w:hint="eastAsia" w:ascii="宋体" w:hAnsi="宋体" w:cs="Arial"/>
                <w:color w:val="000000"/>
                <w:kern w:val="0"/>
                <w:szCs w:val="21"/>
              </w:rPr>
            </w:pPr>
            <w:r>
              <w:rPr>
                <w:rFonts w:hint="eastAsia" w:ascii="宋体" w:hAnsi="宋体" w:cs="Arial"/>
                <w:color w:val="000000"/>
                <w:kern w:val="0"/>
                <w:szCs w:val="21"/>
              </w:rPr>
              <w:t>是用来传递爆轰波，并直接引爆炸药的爆破器材。它本身需要雷管引爆，它的药芯由黑索金、泰安等高威力爆药制成，它的外一为红色，国产引爆索的爆速为6500－7200m/s。导爆索能使大量炸药同时起爆，广泛用于深孔、药室和分段装药的爆破中。</w:t>
            </w:r>
          </w:p>
        </w:tc>
      </w:tr>
    </w:tbl>
    <w:p>
      <w:pPr>
        <w:autoSpaceDE w:val="0"/>
        <w:autoSpaceDN w:val="0"/>
        <w:adjustRightInd w:val="0"/>
        <w:spacing w:before="240" w:beforeLines="100" w:line="360" w:lineRule="auto"/>
        <w:ind w:firstLine="480" w:firstLineChars="200"/>
        <w:jc w:val="left"/>
        <w:rPr>
          <w:rFonts w:hint="eastAsia" w:ascii="宋体" w:hAnsi="宋体" w:cs="宋体"/>
          <w:color w:val="000000"/>
          <w:kern w:val="0"/>
          <w:sz w:val="24"/>
        </w:rPr>
      </w:pPr>
      <w:r>
        <w:rPr>
          <w:rFonts w:hint="eastAsia" w:ascii="宋体" w:hAnsi="宋体" w:cs="宋体"/>
          <w:color w:val="000000"/>
          <w:kern w:val="0"/>
          <w:sz w:val="24"/>
        </w:rPr>
        <w:t>采矿车间的炸药属于危化品中的易爆品。严格按国家爆破安全规程的有关规定加以储存，有专门的炸药库和雷管库，有专职的守库员。储量严格按爆破安全规程规定，不任意增加储量，即炸药</w:t>
      </w:r>
      <w:r>
        <w:rPr>
          <w:rFonts w:ascii="宋体" w:hAnsi="宋体" w:cs="宋体"/>
          <w:color w:val="000000"/>
          <w:kern w:val="0"/>
          <w:sz w:val="24"/>
        </w:rPr>
        <w:t>3</w:t>
      </w:r>
      <w:r>
        <w:rPr>
          <w:rFonts w:hint="eastAsia" w:ascii="宋体" w:hAnsi="宋体" w:cs="宋体"/>
          <w:color w:val="000000"/>
          <w:kern w:val="0"/>
          <w:sz w:val="24"/>
        </w:rPr>
        <w:t>吨，雷管</w:t>
      </w:r>
      <w:r>
        <w:rPr>
          <w:rFonts w:ascii="宋体" w:hAnsi="宋体" w:cs="宋体"/>
          <w:color w:val="000000"/>
          <w:kern w:val="0"/>
          <w:sz w:val="24"/>
        </w:rPr>
        <w:t>4000</w:t>
      </w:r>
      <w:r>
        <w:rPr>
          <w:rFonts w:hint="eastAsia" w:ascii="宋体" w:hAnsi="宋体" w:cs="宋体"/>
          <w:color w:val="000000"/>
          <w:kern w:val="0"/>
          <w:sz w:val="24"/>
        </w:rPr>
        <w:t>发。炸药、雷管、导火索严格执行分离存放制。严格发放管理制度，做好发放台帐，防止流失。变质、过期、实效的雷管、炸药认真收回、清理、登记造册。达到规定的数量炸药</w:t>
      </w:r>
      <w:r>
        <w:rPr>
          <w:rFonts w:ascii="宋体" w:hAnsi="宋体" w:cs="宋体"/>
          <w:color w:val="000000"/>
          <w:kern w:val="0"/>
          <w:sz w:val="24"/>
        </w:rPr>
        <w:t>100kg</w:t>
      </w:r>
      <w:r>
        <w:rPr>
          <w:rFonts w:hint="eastAsia" w:ascii="宋体" w:hAnsi="宋体" w:cs="宋体"/>
          <w:color w:val="000000"/>
          <w:kern w:val="0"/>
          <w:sz w:val="24"/>
        </w:rPr>
        <w:t>、雷管</w:t>
      </w:r>
      <w:r>
        <w:rPr>
          <w:rFonts w:ascii="宋体" w:hAnsi="宋体" w:cs="宋体"/>
          <w:color w:val="000000"/>
          <w:kern w:val="0"/>
          <w:sz w:val="24"/>
        </w:rPr>
        <w:t>500</w:t>
      </w:r>
      <w:r>
        <w:rPr>
          <w:rFonts w:hint="eastAsia" w:ascii="宋体" w:hAnsi="宋体" w:cs="宋体"/>
          <w:color w:val="000000"/>
          <w:kern w:val="0"/>
          <w:sz w:val="24"/>
        </w:rPr>
        <w:t>发，及时上报公司领导，严格按照《中华人民共和国民用爆炸物品管理条例》进行销毁。</w:t>
      </w:r>
    </w:p>
    <w:p>
      <w:pPr>
        <w:spacing w:line="360" w:lineRule="auto"/>
        <w:ind w:firstLine="720" w:firstLineChars="300"/>
        <w:rPr>
          <w:color w:val="000000"/>
          <w:sz w:val="24"/>
          <w:szCs w:val="24"/>
        </w:rPr>
      </w:pPr>
      <w:r>
        <w:rPr>
          <w:rFonts w:hint="eastAsia" w:ascii="宋体" w:hAnsi="宋体"/>
          <w:color w:val="000000"/>
          <w:sz w:val="24"/>
        </w:rPr>
        <w:t>《企业突发环境事件风险分级方法》（HJ941-2018）进行对照，</w:t>
      </w:r>
      <w:r>
        <w:rPr>
          <w:rFonts w:hint="eastAsia" w:ascii="宋体" w:hAnsi="宋体"/>
          <w:color w:val="000000"/>
          <w:sz w:val="24"/>
          <w:szCs w:val="24"/>
        </w:rPr>
        <w:t>选矿厂使用</w:t>
      </w:r>
      <w:r>
        <w:rPr>
          <w:rFonts w:hint="eastAsia" w:ascii="宋体" w:hAnsi="宋体"/>
          <w:color w:val="000000"/>
          <w:sz w:val="24"/>
        </w:rPr>
        <w:t>柴油属环境风险物质。</w:t>
      </w:r>
      <w:r>
        <w:rPr>
          <w:rFonts w:hint="eastAsia"/>
          <w:color w:val="000000"/>
          <w:sz w:val="24"/>
          <w:szCs w:val="24"/>
        </w:rPr>
        <w:t>详</w:t>
      </w:r>
      <w:r>
        <w:rPr>
          <w:color w:val="000000"/>
          <w:sz w:val="24"/>
          <w:szCs w:val="24"/>
        </w:rPr>
        <w:t>见表</w:t>
      </w:r>
      <w:r>
        <w:rPr>
          <w:rFonts w:hint="eastAsia"/>
          <w:color w:val="000000"/>
          <w:sz w:val="24"/>
          <w:szCs w:val="24"/>
        </w:rPr>
        <w:t>2</w:t>
      </w:r>
      <w:r>
        <w:rPr>
          <w:color w:val="000000"/>
          <w:sz w:val="24"/>
          <w:szCs w:val="24"/>
        </w:rPr>
        <w:t>—</w:t>
      </w:r>
      <w:r>
        <w:rPr>
          <w:rFonts w:hint="eastAsia"/>
          <w:color w:val="000000"/>
          <w:sz w:val="24"/>
          <w:szCs w:val="24"/>
        </w:rPr>
        <w:t>13</w:t>
      </w:r>
      <w:r>
        <w:rPr>
          <w:color w:val="000000"/>
          <w:sz w:val="24"/>
          <w:szCs w:val="24"/>
        </w:rPr>
        <w:t>。</w:t>
      </w:r>
    </w:p>
    <w:p>
      <w:pPr>
        <w:autoSpaceDE w:val="0"/>
        <w:autoSpaceDN w:val="0"/>
        <w:adjustRightInd w:val="0"/>
        <w:spacing w:line="360" w:lineRule="auto"/>
        <w:ind w:firstLine="480"/>
        <w:jc w:val="center"/>
        <w:rPr>
          <w:rFonts w:hint="eastAsia" w:ascii="宋体" w:hAnsi="宋体" w:cs="仿宋"/>
          <w:b/>
          <w:bCs/>
          <w:color w:val="000000"/>
          <w:sz w:val="24"/>
        </w:rPr>
      </w:pPr>
      <w:r>
        <w:rPr>
          <w:rFonts w:hint="eastAsia" w:ascii="宋体" w:hAnsi="宋体" w:cs="仿宋"/>
          <w:b/>
          <w:bCs/>
          <w:color w:val="000000"/>
          <w:spacing w:val="1"/>
          <w:kern w:val="0"/>
          <w:sz w:val="24"/>
        </w:rPr>
        <w:t>表2-13 危险物质的临界量</w:t>
      </w:r>
      <w:r>
        <w:rPr>
          <w:rFonts w:hint="eastAsia" w:ascii="宋体" w:hAnsi="宋体" w:cs="仿宋"/>
          <w:b/>
          <w:bCs/>
          <w:color w:val="000000"/>
          <w:sz w:val="24"/>
        </w:rPr>
        <w:t>与暂存量一览表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2"/>
        <w:gridCol w:w="1475"/>
        <w:gridCol w:w="2766"/>
        <w:gridCol w:w="2213"/>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9" w:hRule="atLeast"/>
          <w:jc w:val="center"/>
        </w:trPr>
        <w:tc>
          <w:tcPr>
            <w:tcW w:w="742"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序号</w:t>
            </w:r>
          </w:p>
        </w:tc>
        <w:tc>
          <w:tcPr>
            <w:tcW w:w="1475"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物质名称</w:t>
            </w:r>
          </w:p>
        </w:tc>
        <w:tc>
          <w:tcPr>
            <w:tcW w:w="2766"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厂内实际最大量q（t）</w:t>
            </w:r>
          </w:p>
        </w:tc>
        <w:tc>
          <w:tcPr>
            <w:tcW w:w="2213"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临界量Q（t）</w:t>
            </w:r>
          </w:p>
        </w:tc>
        <w:tc>
          <w:tcPr>
            <w:tcW w:w="1276"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19" w:hRule="atLeast"/>
          <w:jc w:val="center"/>
        </w:trPr>
        <w:tc>
          <w:tcPr>
            <w:tcW w:w="742"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1</w:t>
            </w:r>
          </w:p>
        </w:tc>
        <w:tc>
          <w:tcPr>
            <w:tcW w:w="1475"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柴油</w:t>
            </w:r>
          </w:p>
        </w:tc>
        <w:tc>
          <w:tcPr>
            <w:tcW w:w="2766"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2500</w:t>
            </w:r>
          </w:p>
        </w:tc>
        <w:tc>
          <w:tcPr>
            <w:tcW w:w="2213"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40</w:t>
            </w:r>
          </w:p>
        </w:tc>
        <w:tc>
          <w:tcPr>
            <w:tcW w:w="1276"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0.016</w:t>
            </w:r>
          </w:p>
        </w:tc>
      </w:tr>
    </w:tbl>
    <w:p>
      <w:pPr>
        <w:spacing w:before="240" w:beforeLines="100" w:line="360" w:lineRule="auto"/>
        <w:ind w:firstLine="480" w:firstLineChars="200"/>
        <w:rPr>
          <w:rFonts w:hint="eastAsia"/>
          <w:color w:val="000000"/>
          <w:sz w:val="24"/>
          <w:szCs w:val="24"/>
        </w:rPr>
      </w:pPr>
      <w:r>
        <w:rPr>
          <w:rFonts w:hint="eastAsia" w:ascii="宋体" w:hAnsi="宋体"/>
          <w:color w:val="000000"/>
          <w:sz w:val="24"/>
        </w:rPr>
        <w:t>柴油理化物性和环境危害见表2-14。</w:t>
      </w:r>
    </w:p>
    <w:p>
      <w:pPr>
        <w:pStyle w:val="161"/>
        <w:spacing w:beforeLines="0" w:line="280" w:lineRule="exact"/>
        <w:rPr>
          <w:rFonts w:ascii="宋体" w:hAnsi="宋体" w:cs="仿宋"/>
        </w:rPr>
      </w:pPr>
      <w:r>
        <w:rPr>
          <w:rFonts w:ascii="宋体" w:hAnsi="宋体" w:cs="仿宋"/>
        </w:rPr>
        <w:t>表2-14 柴油的理化性质及危险特性表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0"/>
        <w:gridCol w:w="2263"/>
        <w:gridCol w:w="154"/>
        <w:gridCol w:w="735"/>
        <w:gridCol w:w="1478"/>
        <w:gridCol w:w="204"/>
        <w:gridCol w:w="237"/>
        <w:gridCol w:w="2355"/>
        <w:gridCol w:w="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273" w:hRule="exact"/>
          <w:jc w:val="center"/>
        </w:trPr>
        <w:tc>
          <w:tcPr>
            <w:tcW w:w="9286" w:type="dxa"/>
            <w:gridSpan w:val="8"/>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hint="eastAsia" w:ascii="宋体" w:hAnsi="宋体"/>
                <w:color w:val="000000"/>
              </w:rPr>
            </w:pPr>
            <w:r>
              <w:rPr>
                <w:rFonts w:hint="eastAsia" w:ascii="宋体" w:hAnsi="宋体"/>
                <w:color w:val="000000"/>
              </w:rPr>
              <w:t>危险性概述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530"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危险性类别：</w:t>
            </w:r>
          </w:p>
        </w:tc>
        <w:tc>
          <w:tcPr>
            <w:tcW w:w="3152"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第3.3类高闪点 易燃液体</w:t>
            </w:r>
          </w:p>
        </w:tc>
        <w:tc>
          <w:tcPr>
            <w:tcW w:w="191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燃爆危险：</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易燃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439"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侵入途径：</w:t>
            </w:r>
          </w:p>
        </w:tc>
        <w:tc>
          <w:tcPr>
            <w:tcW w:w="3152" w:type="dxa"/>
            <w:gridSpan w:val="3"/>
            <w:tcBorders>
              <w:top w:val="single" w:color="auto" w:sz="4" w:space="0"/>
              <w:left w:val="single" w:color="auto" w:sz="4" w:space="0"/>
              <w:bottom w:val="single" w:color="auto" w:sz="4" w:space="0"/>
              <w:right w:val="single" w:color="auto" w:sz="4" w:space="0"/>
            </w:tcBorders>
            <w:noWrap w:val="0"/>
            <w:vAlign w:val="center"/>
          </w:tcPr>
          <w:p>
            <w:pPr>
              <w:pStyle w:val="33"/>
              <w:spacing w:line="280" w:lineRule="exact"/>
              <w:ind w:firstLine="0" w:firstLineChars="0"/>
              <w:jc w:val="center"/>
              <w:rPr>
                <w:color w:val="000000"/>
                <w:spacing w:val="0"/>
              </w:rPr>
            </w:pPr>
            <w:r>
              <w:rPr>
                <w:color w:val="000000"/>
                <w:spacing w:val="0"/>
              </w:rPr>
              <w:t>吸入、食入、经皮吸收</w:t>
            </w:r>
          </w:p>
        </w:tc>
        <w:tc>
          <w:tcPr>
            <w:tcW w:w="1919"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有害燃烧产物：</w:t>
            </w:r>
          </w:p>
        </w:tc>
        <w:tc>
          <w:tcPr>
            <w:tcW w:w="236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658"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环境危害：</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该物质对环境有危害，应特别注意对地表水、土壤、大气和饮用水的污染。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9286" w:type="dxa"/>
            <w:gridSpan w:val="8"/>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hint="eastAsia" w:ascii="宋体" w:hAnsi="宋体"/>
                <w:color w:val="000000"/>
              </w:rPr>
            </w:pPr>
            <w:r>
              <w:rPr>
                <w:rFonts w:hint="eastAsia" w:ascii="宋体" w:hAnsi="宋体"/>
                <w:color w:val="000000"/>
              </w:rPr>
              <w:t>理化特性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592"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外观及性状：</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稍有粘性的棕色液体。</w:t>
            </w:r>
          </w:p>
        </w:tc>
        <w:tc>
          <w:tcPr>
            <w:tcW w:w="241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主要用途：</w:t>
            </w:r>
          </w:p>
        </w:tc>
        <w:tc>
          <w:tcPr>
            <w:tcW w:w="259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用作柴油机的燃料等。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518"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闪点（℃）：</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45～55℃</w:t>
            </w:r>
          </w:p>
        </w:tc>
        <w:tc>
          <w:tcPr>
            <w:tcW w:w="241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相对密度（水＝1）：</w:t>
            </w:r>
          </w:p>
        </w:tc>
        <w:tc>
          <w:tcPr>
            <w:tcW w:w="259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0.81～0.9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505"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沸点（℃）：</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200～350℃</w:t>
            </w:r>
          </w:p>
        </w:tc>
        <w:tc>
          <w:tcPr>
            <w:tcW w:w="241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爆炸上限％（V/V）：</w:t>
            </w:r>
          </w:p>
        </w:tc>
        <w:tc>
          <w:tcPr>
            <w:tcW w:w="259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516"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自然点（℃）：</w:t>
            </w:r>
          </w:p>
        </w:tc>
        <w:tc>
          <w:tcPr>
            <w:tcW w:w="2417"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257</w:t>
            </w:r>
          </w:p>
        </w:tc>
        <w:tc>
          <w:tcPr>
            <w:tcW w:w="241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爆炸下限％（V/V）：</w:t>
            </w:r>
          </w:p>
        </w:tc>
        <w:tc>
          <w:tcPr>
            <w:tcW w:w="2592" w:type="dxa"/>
            <w:gridSpan w:val="2"/>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溶解性：</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不溶于水，易溶于苯、二硫化碳、醇，易溶于脂肪。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9286" w:type="dxa"/>
            <w:gridSpan w:val="8"/>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hint="eastAsia" w:ascii="宋体" w:hAnsi="宋体"/>
                <w:color w:val="000000"/>
              </w:rPr>
            </w:pPr>
            <w:r>
              <w:rPr>
                <w:rFonts w:hint="eastAsia" w:ascii="宋体" w:hAnsi="宋体"/>
                <w:color w:val="000000"/>
              </w:rPr>
              <w:t>稳定性及化学活性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70"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稳定性：</w:t>
            </w:r>
          </w:p>
        </w:tc>
        <w:tc>
          <w:tcPr>
            <w:tcW w:w="22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稳定</w:t>
            </w:r>
          </w:p>
        </w:tc>
        <w:tc>
          <w:tcPr>
            <w:tcW w:w="236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避免接触的条件：</w:t>
            </w:r>
          </w:p>
        </w:tc>
        <w:tc>
          <w:tcPr>
            <w:tcW w:w="279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明火、高热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6"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禁配物：</w:t>
            </w:r>
          </w:p>
        </w:tc>
        <w:tc>
          <w:tcPr>
            <w:tcW w:w="2263"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强氧化剂、卤素</w:t>
            </w:r>
          </w:p>
        </w:tc>
        <w:tc>
          <w:tcPr>
            <w:tcW w:w="2367"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聚合危害：</w:t>
            </w:r>
          </w:p>
        </w:tc>
        <w:tc>
          <w:tcPr>
            <w:tcW w:w="2796" w:type="dxa"/>
            <w:gridSpan w:val="3"/>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不聚合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分解产物：</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一氧化碳、二氧化碳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9286" w:type="dxa"/>
            <w:gridSpan w:val="8"/>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rPr>
                <w:rFonts w:hint="eastAsia" w:ascii="宋体" w:hAnsi="宋体"/>
                <w:color w:val="000000"/>
              </w:rPr>
            </w:pPr>
            <w:r>
              <w:rPr>
                <w:rFonts w:hint="eastAsia" w:ascii="宋体" w:hAnsi="宋体"/>
                <w:color w:val="000000"/>
              </w:rPr>
              <w:t>毒理学资料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急性毒性：</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LD50     LC50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612"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急性中毒：</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皮肤接触柴油可引起接触性皮炎、油性痤疮，吸入可引起吸入性肺炎，能经胎盘进入胎儿血中。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慢性中毒：</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柴油废气可引起眼、鼻刺激症状，头痛。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刺激性：</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具有刺激作用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Before w:w="0" w:type="dxa"/>
          <w:wAfter w:w="7" w:type="dxa"/>
          <w:cantSplit/>
          <w:trHeight w:val="317" w:hRule="exact"/>
          <w:jc w:val="center"/>
        </w:trPr>
        <w:tc>
          <w:tcPr>
            <w:tcW w:w="1860" w:type="dxa"/>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最高容许浓度</w:t>
            </w:r>
          </w:p>
        </w:tc>
        <w:tc>
          <w:tcPr>
            <w:tcW w:w="7426" w:type="dxa"/>
            <w:gridSpan w:val="7"/>
            <w:tcBorders>
              <w:top w:val="single" w:color="auto" w:sz="4" w:space="0"/>
              <w:left w:val="single" w:color="auto" w:sz="4" w:space="0"/>
              <w:bottom w:val="single" w:color="auto" w:sz="4" w:space="0"/>
              <w:right w:val="single" w:color="auto" w:sz="4" w:space="0"/>
            </w:tcBorders>
            <w:noWrap w:val="0"/>
            <w:vAlign w:val="center"/>
          </w:tcPr>
          <w:p>
            <w:pPr>
              <w:adjustRightInd w:val="0"/>
              <w:snapToGrid w:val="0"/>
              <w:spacing w:line="280" w:lineRule="exact"/>
              <w:jc w:val="center"/>
              <w:rPr>
                <w:rFonts w:hint="eastAsia" w:ascii="宋体" w:hAnsi="宋体"/>
                <w:color w:val="000000"/>
              </w:rPr>
            </w:pPr>
            <w:r>
              <w:rPr>
                <w:rFonts w:hint="eastAsia" w:ascii="宋体" w:hAnsi="宋体"/>
                <w:color w:val="000000"/>
              </w:rPr>
              <w:t>目前无标准</w:t>
            </w:r>
          </w:p>
        </w:tc>
      </w:tr>
    </w:tbl>
    <w:p>
      <w:pPr>
        <w:spacing w:before="120" w:beforeLines="50" w:line="360" w:lineRule="auto"/>
        <w:ind w:firstLine="480" w:firstLineChars="200"/>
        <w:rPr>
          <w:rFonts w:hint="eastAsia"/>
          <w:color w:val="000000"/>
          <w:sz w:val="24"/>
          <w:szCs w:val="24"/>
        </w:rPr>
      </w:pPr>
      <w:r>
        <w:rPr>
          <w:rFonts w:hint="eastAsia"/>
          <w:color w:val="000000"/>
          <w:sz w:val="24"/>
          <w:szCs w:val="24"/>
        </w:rPr>
        <w:t>企业</w:t>
      </w:r>
      <w:r>
        <w:rPr>
          <w:color w:val="000000"/>
          <w:sz w:val="24"/>
          <w:szCs w:val="24"/>
        </w:rPr>
        <w:t>生产过程使用的辅料为丁黄、乙黄、2#油、CuSO</w:t>
      </w:r>
      <w:r>
        <w:rPr>
          <w:color w:val="000000"/>
          <w:sz w:val="24"/>
          <w:szCs w:val="24"/>
          <w:vertAlign w:val="subscript"/>
        </w:rPr>
        <w:t>4</w:t>
      </w:r>
      <w:r>
        <w:rPr>
          <w:color w:val="000000"/>
          <w:sz w:val="24"/>
          <w:szCs w:val="24"/>
        </w:rPr>
        <w:t>、ZnSO</w:t>
      </w:r>
      <w:r>
        <w:rPr>
          <w:color w:val="000000"/>
          <w:sz w:val="24"/>
          <w:szCs w:val="24"/>
          <w:vertAlign w:val="subscript"/>
        </w:rPr>
        <w:t>4</w:t>
      </w:r>
      <w:r>
        <w:rPr>
          <w:color w:val="000000"/>
          <w:sz w:val="24"/>
          <w:szCs w:val="24"/>
        </w:rPr>
        <w:t>、Na</w:t>
      </w:r>
      <w:r>
        <w:rPr>
          <w:color w:val="000000"/>
          <w:sz w:val="24"/>
          <w:szCs w:val="24"/>
          <w:vertAlign w:val="subscript"/>
        </w:rPr>
        <w:t>2</w:t>
      </w:r>
      <w:r>
        <w:rPr>
          <w:color w:val="000000"/>
          <w:sz w:val="24"/>
          <w:szCs w:val="24"/>
        </w:rPr>
        <w:t>S，物化毒理特见表</w:t>
      </w:r>
      <w:r>
        <w:rPr>
          <w:rFonts w:hint="eastAsia"/>
          <w:color w:val="000000"/>
          <w:sz w:val="24"/>
          <w:szCs w:val="24"/>
        </w:rPr>
        <w:t>2－15</w:t>
      </w:r>
      <w:r>
        <w:rPr>
          <w:color w:val="000000"/>
          <w:sz w:val="24"/>
          <w:szCs w:val="24"/>
        </w:rPr>
        <w:t>。</w:t>
      </w:r>
    </w:p>
    <w:p>
      <w:pPr>
        <w:adjustRightInd w:val="0"/>
        <w:snapToGrid w:val="0"/>
        <w:spacing w:line="360" w:lineRule="exact"/>
        <w:jc w:val="center"/>
        <w:rPr>
          <w:rFonts w:ascii="宋体" w:hAnsi="宋体"/>
          <w:color w:val="000000"/>
          <w:sz w:val="24"/>
          <w:szCs w:val="24"/>
        </w:rPr>
      </w:pPr>
      <w:r>
        <w:rPr>
          <w:rFonts w:ascii="宋体" w:hAnsi="宋体"/>
          <w:b/>
          <w:bCs/>
          <w:color w:val="000000"/>
          <w:sz w:val="24"/>
          <w:szCs w:val="24"/>
        </w:rPr>
        <w:t>表</w:t>
      </w:r>
      <w:r>
        <w:rPr>
          <w:rFonts w:hint="eastAsia" w:ascii="宋体" w:hAnsi="宋体"/>
          <w:b/>
          <w:bCs/>
          <w:color w:val="000000"/>
          <w:sz w:val="24"/>
          <w:szCs w:val="24"/>
        </w:rPr>
        <w:t>2－15</w:t>
      </w:r>
      <w:r>
        <w:rPr>
          <w:rFonts w:ascii="宋体" w:hAnsi="宋体"/>
          <w:b/>
          <w:bCs/>
          <w:color w:val="000000"/>
          <w:sz w:val="24"/>
          <w:szCs w:val="24"/>
        </w:rPr>
        <w:t xml:space="preserve"> 选矿药剂名称、用量及成分说明表</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501"/>
        <w:gridCol w:w="944"/>
        <w:gridCol w:w="1563"/>
        <w:gridCol w:w="3816"/>
        <w:gridCol w:w="2464"/>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23" w:hRule="atLeast"/>
          <w:tblHeader/>
          <w:jc w:val="center"/>
        </w:trPr>
        <w:tc>
          <w:tcPr>
            <w:tcW w:w="501" w:type="dxa"/>
            <w:noWrap w:val="0"/>
            <w:vAlign w:val="center"/>
          </w:tcPr>
          <w:p>
            <w:pPr>
              <w:adjustRightInd w:val="0"/>
              <w:snapToGrid w:val="0"/>
              <w:spacing w:line="360" w:lineRule="exact"/>
              <w:jc w:val="center"/>
              <w:rPr>
                <w:color w:val="000000"/>
                <w:szCs w:val="21"/>
              </w:rPr>
            </w:pPr>
            <w:r>
              <w:rPr>
                <w:color w:val="000000"/>
                <w:szCs w:val="21"/>
              </w:rPr>
              <w:t>序号</w:t>
            </w:r>
          </w:p>
        </w:tc>
        <w:tc>
          <w:tcPr>
            <w:tcW w:w="944" w:type="dxa"/>
            <w:noWrap w:val="0"/>
            <w:vAlign w:val="center"/>
          </w:tcPr>
          <w:p>
            <w:pPr>
              <w:adjustRightInd w:val="0"/>
              <w:snapToGrid w:val="0"/>
              <w:spacing w:line="360" w:lineRule="exact"/>
              <w:jc w:val="center"/>
              <w:rPr>
                <w:color w:val="000000"/>
                <w:szCs w:val="21"/>
              </w:rPr>
            </w:pPr>
            <w:r>
              <w:rPr>
                <w:color w:val="000000"/>
                <w:szCs w:val="21"/>
              </w:rPr>
              <w:t>药剂名称</w:t>
            </w:r>
          </w:p>
        </w:tc>
        <w:tc>
          <w:tcPr>
            <w:tcW w:w="1563" w:type="dxa"/>
            <w:noWrap w:val="0"/>
            <w:vAlign w:val="center"/>
          </w:tcPr>
          <w:p>
            <w:pPr>
              <w:adjustRightInd w:val="0"/>
              <w:snapToGrid w:val="0"/>
              <w:spacing w:line="360" w:lineRule="exact"/>
              <w:jc w:val="center"/>
              <w:rPr>
                <w:color w:val="000000"/>
                <w:szCs w:val="21"/>
              </w:rPr>
            </w:pPr>
            <w:r>
              <w:rPr>
                <w:color w:val="000000"/>
                <w:szCs w:val="21"/>
              </w:rPr>
              <w:t>成分</w:t>
            </w:r>
          </w:p>
        </w:tc>
        <w:tc>
          <w:tcPr>
            <w:tcW w:w="3816" w:type="dxa"/>
            <w:noWrap w:val="0"/>
            <w:vAlign w:val="center"/>
          </w:tcPr>
          <w:p>
            <w:pPr>
              <w:adjustRightInd w:val="0"/>
              <w:snapToGrid w:val="0"/>
              <w:spacing w:line="360" w:lineRule="exact"/>
              <w:jc w:val="center"/>
              <w:rPr>
                <w:color w:val="000000"/>
                <w:szCs w:val="21"/>
              </w:rPr>
            </w:pPr>
            <w:r>
              <w:rPr>
                <w:color w:val="000000"/>
                <w:szCs w:val="21"/>
              </w:rPr>
              <w:t>物化毒理特性</w:t>
            </w:r>
          </w:p>
        </w:tc>
        <w:tc>
          <w:tcPr>
            <w:tcW w:w="2464" w:type="dxa"/>
            <w:noWrap w:val="0"/>
            <w:vAlign w:val="center"/>
          </w:tcPr>
          <w:p>
            <w:pPr>
              <w:adjustRightInd w:val="0"/>
              <w:snapToGrid w:val="0"/>
              <w:spacing w:line="360" w:lineRule="exact"/>
              <w:jc w:val="center"/>
              <w:rPr>
                <w:color w:val="000000"/>
                <w:szCs w:val="21"/>
              </w:rPr>
            </w:pPr>
            <w:r>
              <w:rPr>
                <w:color w:val="000000"/>
                <w:szCs w:val="21"/>
              </w:rPr>
              <w:t>备注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155" w:hRule="atLeast"/>
          <w:jc w:val="center"/>
        </w:trPr>
        <w:tc>
          <w:tcPr>
            <w:tcW w:w="501" w:type="dxa"/>
            <w:noWrap w:val="0"/>
            <w:vAlign w:val="center"/>
          </w:tcPr>
          <w:p>
            <w:pPr>
              <w:adjustRightInd w:val="0"/>
              <w:snapToGrid w:val="0"/>
              <w:spacing w:line="360" w:lineRule="exact"/>
              <w:jc w:val="center"/>
              <w:rPr>
                <w:color w:val="000000"/>
                <w:szCs w:val="21"/>
              </w:rPr>
            </w:pPr>
            <w:r>
              <w:rPr>
                <w:color w:val="000000"/>
                <w:szCs w:val="21"/>
              </w:rPr>
              <w:t>1</w:t>
            </w:r>
          </w:p>
        </w:tc>
        <w:tc>
          <w:tcPr>
            <w:tcW w:w="944" w:type="dxa"/>
            <w:noWrap w:val="0"/>
            <w:vAlign w:val="center"/>
          </w:tcPr>
          <w:p>
            <w:pPr>
              <w:adjustRightInd w:val="0"/>
              <w:snapToGrid w:val="0"/>
              <w:spacing w:line="360" w:lineRule="exact"/>
              <w:jc w:val="center"/>
              <w:rPr>
                <w:color w:val="000000"/>
                <w:szCs w:val="21"/>
              </w:rPr>
            </w:pPr>
            <w:r>
              <w:rPr>
                <w:color w:val="000000"/>
                <w:szCs w:val="21"/>
              </w:rPr>
              <w:t>黄药</w:t>
            </w:r>
          </w:p>
        </w:tc>
        <w:tc>
          <w:tcPr>
            <w:tcW w:w="1563" w:type="dxa"/>
            <w:noWrap w:val="0"/>
            <w:vAlign w:val="center"/>
          </w:tcPr>
          <w:p>
            <w:pPr>
              <w:adjustRightInd w:val="0"/>
              <w:snapToGrid w:val="0"/>
              <w:spacing w:line="360" w:lineRule="exact"/>
              <w:jc w:val="center"/>
              <w:rPr>
                <w:color w:val="000000"/>
                <w:szCs w:val="21"/>
              </w:rPr>
            </w:pPr>
            <w:r>
              <w:rPr>
                <w:color w:val="000000"/>
                <w:szCs w:val="21"/>
              </w:rPr>
              <w:t>乙基黄原酸钠：C</w:t>
            </w:r>
            <w:r>
              <w:rPr>
                <w:color w:val="000000"/>
                <w:szCs w:val="21"/>
                <w:vertAlign w:val="subscript"/>
              </w:rPr>
              <w:t>2</w:t>
            </w:r>
            <w:r>
              <w:rPr>
                <w:color w:val="000000"/>
                <w:szCs w:val="21"/>
              </w:rPr>
              <w:t>H</w:t>
            </w:r>
            <w:r>
              <w:rPr>
                <w:color w:val="000000"/>
                <w:szCs w:val="21"/>
                <w:vertAlign w:val="subscript"/>
              </w:rPr>
              <w:t>5</w:t>
            </w:r>
            <w:r>
              <w:rPr>
                <w:color w:val="000000"/>
                <w:szCs w:val="21"/>
              </w:rPr>
              <w:t>OCSSNa</w:t>
            </w:r>
          </w:p>
          <w:p>
            <w:pPr>
              <w:adjustRightInd w:val="0"/>
              <w:snapToGrid w:val="0"/>
              <w:spacing w:line="360" w:lineRule="exact"/>
              <w:jc w:val="center"/>
              <w:rPr>
                <w:color w:val="000000"/>
                <w:szCs w:val="21"/>
              </w:rPr>
            </w:pPr>
            <w:r>
              <w:rPr>
                <w:color w:val="000000"/>
                <w:szCs w:val="21"/>
              </w:rPr>
              <w:t>丁基黄原酸钠：C</w:t>
            </w:r>
            <w:r>
              <w:rPr>
                <w:color w:val="000000"/>
                <w:szCs w:val="21"/>
                <w:vertAlign w:val="subscript"/>
              </w:rPr>
              <w:t>4</w:t>
            </w:r>
            <w:r>
              <w:rPr>
                <w:color w:val="000000"/>
                <w:szCs w:val="21"/>
              </w:rPr>
              <w:t>H</w:t>
            </w:r>
            <w:r>
              <w:rPr>
                <w:color w:val="000000"/>
                <w:szCs w:val="21"/>
                <w:vertAlign w:val="subscript"/>
              </w:rPr>
              <w:t>9</w:t>
            </w:r>
            <w:r>
              <w:rPr>
                <w:color w:val="000000"/>
                <w:szCs w:val="21"/>
              </w:rPr>
              <w:t>OCSSNa</w:t>
            </w:r>
          </w:p>
        </w:tc>
        <w:tc>
          <w:tcPr>
            <w:tcW w:w="3816" w:type="dxa"/>
            <w:noWrap w:val="0"/>
            <w:vAlign w:val="center"/>
          </w:tcPr>
          <w:p>
            <w:pPr>
              <w:adjustRightInd w:val="0"/>
              <w:snapToGrid w:val="0"/>
              <w:spacing w:line="360" w:lineRule="exact"/>
              <w:rPr>
                <w:color w:val="000000"/>
                <w:kern w:val="0"/>
                <w:szCs w:val="21"/>
              </w:rPr>
            </w:pPr>
            <w:r>
              <w:rPr>
                <w:color w:val="000000"/>
                <w:kern w:val="0"/>
                <w:szCs w:val="21"/>
              </w:rPr>
              <w:t>浅黄色有刺激性气味的粉末（或颗粒），能溶于水。</w:t>
            </w:r>
            <w:r>
              <w:rPr>
                <w:color w:val="000000"/>
                <w:szCs w:val="21"/>
              </w:rPr>
              <w:t>化学性质：不稳定，热、水、酸分解、失效，氧化生成双黄药：(ROCSS)2。</w:t>
            </w:r>
            <w:r>
              <w:rPr>
                <w:color w:val="000000"/>
                <w:kern w:val="0"/>
                <w:szCs w:val="21"/>
              </w:rPr>
              <w:t>主要用于各种有色金属硫化矿浮选的捕收剂，还可用作湿法冶金的沉淀剂；也用作橡胶硫化促进剂。</w:t>
            </w:r>
          </w:p>
          <w:p>
            <w:pPr>
              <w:adjustRightInd w:val="0"/>
              <w:snapToGrid w:val="0"/>
              <w:spacing w:line="360" w:lineRule="exact"/>
              <w:rPr>
                <w:color w:val="000000"/>
                <w:szCs w:val="21"/>
              </w:rPr>
            </w:pPr>
            <w:r>
              <w:rPr>
                <w:color w:val="000000"/>
                <w:szCs w:val="21"/>
              </w:rPr>
              <w:t>本品属中等毒性药剂，但由于用量小，在尾矿中浓度很低，同时尾矿水澄清后经曝晒和自净作用，完全能达到排放标准。</w:t>
            </w:r>
          </w:p>
        </w:tc>
        <w:tc>
          <w:tcPr>
            <w:tcW w:w="2464" w:type="dxa"/>
            <w:noWrap w:val="0"/>
            <w:vAlign w:val="center"/>
          </w:tcPr>
          <w:p>
            <w:pPr>
              <w:adjustRightInd w:val="0"/>
              <w:snapToGrid w:val="0"/>
              <w:spacing w:line="360" w:lineRule="exact"/>
              <w:rPr>
                <w:color w:val="000000"/>
                <w:szCs w:val="21"/>
              </w:rPr>
            </w:pPr>
            <w:r>
              <w:rPr>
                <w:color w:val="000000"/>
                <w:szCs w:val="21"/>
              </w:rPr>
              <w:t>此二种药剂分别为铜、铜锌矿物的疏水性捕收剂，捕收剂一般分为：脂肪酸类、羟基硫酸盐、黄药、黑药及其衍生物，都为有机合成的无毒、无害无腐蚀性药剂。根据浮选药剂与矿物作用原理</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501" w:type="dxa"/>
            <w:noWrap w:val="0"/>
            <w:vAlign w:val="center"/>
          </w:tcPr>
          <w:p>
            <w:pPr>
              <w:adjustRightInd w:val="0"/>
              <w:snapToGrid w:val="0"/>
              <w:spacing w:line="360" w:lineRule="exact"/>
              <w:jc w:val="center"/>
              <w:rPr>
                <w:color w:val="000000"/>
                <w:szCs w:val="21"/>
              </w:rPr>
            </w:pPr>
            <w:r>
              <w:rPr>
                <w:color w:val="000000"/>
                <w:szCs w:val="21"/>
              </w:rPr>
              <w:t>2</w:t>
            </w:r>
          </w:p>
        </w:tc>
        <w:tc>
          <w:tcPr>
            <w:tcW w:w="944" w:type="dxa"/>
            <w:noWrap w:val="0"/>
            <w:vAlign w:val="center"/>
          </w:tcPr>
          <w:p>
            <w:pPr>
              <w:adjustRightInd w:val="0"/>
              <w:snapToGrid w:val="0"/>
              <w:spacing w:line="360" w:lineRule="exact"/>
              <w:jc w:val="center"/>
              <w:rPr>
                <w:color w:val="000000"/>
                <w:szCs w:val="21"/>
              </w:rPr>
            </w:pPr>
            <w:r>
              <w:rPr>
                <w:color w:val="000000"/>
                <w:szCs w:val="21"/>
              </w:rPr>
              <w:t>2#油(松醇油)</w:t>
            </w:r>
          </w:p>
        </w:tc>
        <w:tc>
          <w:tcPr>
            <w:tcW w:w="1563" w:type="dxa"/>
            <w:noWrap w:val="0"/>
            <w:vAlign w:val="center"/>
          </w:tcPr>
          <w:p>
            <w:pPr>
              <w:adjustRightInd w:val="0"/>
              <w:snapToGrid w:val="0"/>
              <w:spacing w:line="360" w:lineRule="exact"/>
              <w:jc w:val="center"/>
              <w:rPr>
                <w:color w:val="000000"/>
                <w:spacing w:val="-6"/>
                <w:szCs w:val="21"/>
              </w:rPr>
            </w:pPr>
            <w:r>
              <w:rPr>
                <w:color w:val="000000"/>
                <w:szCs w:val="21"/>
              </w:rPr>
              <w:t>为各种一元醇及其它萜烯衍生物，其中的α－萜烯醇为主C</w:t>
            </w:r>
            <w:r>
              <w:rPr>
                <w:color w:val="000000"/>
                <w:szCs w:val="21"/>
                <w:vertAlign w:val="subscript"/>
              </w:rPr>
              <w:t>10</w:t>
            </w:r>
            <w:r>
              <w:rPr>
                <w:color w:val="000000"/>
                <w:szCs w:val="21"/>
              </w:rPr>
              <w:t>H</w:t>
            </w:r>
            <w:r>
              <w:rPr>
                <w:color w:val="000000"/>
                <w:szCs w:val="21"/>
                <w:vertAlign w:val="subscript"/>
              </w:rPr>
              <w:t>17</w:t>
            </w:r>
            <w:r>
              <w:rPr>
                <w:color w:val="000000"/>
                <w:szCs w:val="21"/>
              </w:rPr>
              <w:t>OH。一元醇含量≥44%</w:t>
            </w:r>
          </w:p>
        </w:tc>
        <w:tc>
          <w:tcPr>
            <w:tcW w:w="3816" w:type="dxa"/>
            <w:noWrap w:val="0"/>
            <w:vAlign w:val="center"/>
          </w:tcPr>
          <w:p>
            <w:pPr>
              <w:adjustRightInd w:val="0"/>
              <w:snapToGrid w:val="0"/>
              <w:spacing w:line="360" w:lineRule="exact"/>
              <w:rPr>
                <w:color w:val="000000"/>
                <w:kern w:val="0"/>
                <w:szCs w:val="21"/>
              </w:rPr>
            </w:pPr>
            <w:r>
              <w:rPr>
                <w:color w:val="000000"/>
                <w:szCs w:val="21"/>
              </w:rPr>
              <w:t>浅黄色油状液体，密度ρ</w:t>
            </w:r>
            <w:r>
              <w:rPr>
                <w:color w:val="000000"/>
                <w:szCs w:val="21"/>
                <w:vertAlign w:val="subscript"/>
              </w:rPr>
              <w:t>20</w:t>
            </w:r>
            <w:r>
              <w:rPr>
                <w:color w:val="000000"/>
                <w:szCs w:val="21"/>
              </w:rPr>
              <w:t>≈0.90g/ml，微溶于水。</w:t>
            </w:r>
            <w:r>
              <w:rPr>
                <w:color w:val="000000"/>
                <w:kern w:val="0"/>
                <w:szCs w:val="21"/>
              </w:rPr>
              <w:t>遇酸受热时会分解而降低选矿性能。广泛地应用于各种金属或非金属矿的浮选作业中，它主要用于各种硫化矿如铜、铅、锌及铁矿和各种非硫化矿的浮选。</w:t>
            </w:r>
          </w:p>
          <w:p>
            <w:pPr>
              <w:adjustRightInd w:val="0"/>
              <w:snapToGrid w:val="0"/>
              <w:spacing w:line="360" w:lineRule="exact"/>
              <w:rPr>
                <w:color w:val="000000"/>
                <w:spacing w:val="-6"/>
                <w:szCs w:val="21"/>
              </w:rPr>
            </w:pPr>
            <w:r>
              <w:rPr>
                <w:color w:val="000000"/>
                <w:szCs w:val="21"/>
              </w:rPr>
              <w:t>萜烯醇属于无毒害药剂，同时由于用量小，在尾矿中浓度很低，对环境不构成损害。</w:t>
            </w:r>
          </w:p>
        </w:tc>
        <w:tc>
          <w:tcPr>
            <w:tcW w:w="2464" w:type="dxa"/>
            <w:noWrap w:val="0"/>
            <w:vAlign w:val="center"/>
          </w:tcPr>
          <w:p>
            <w:pPr>
              <w:adjustRightInd w:val="0"/>
              <w:snapToGrid w:val="0"/>
              <w:spacing w:line="360" w:lineRule="exact"/>
              <w:rPr>
                <w:color w:val="000000"/>
                <w:szCs w:val="21"/>
              </w:rPr>
            </w:pPr>
            <w:r>
              <w:rPr>
                <w:color w:val="000000"/>
                <w:szCs w:val="21"/>
              </w:rPr>
              <w:t>疏水性起泡剂。浮选工艺中常用酯类、醇类、酚类等起泡剂，国内现采用由松节油为原料经过化学处理得到的合成有机物作为起泡剂，为黄棕色油状透明液体，无毒、无害无腐蚀性。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501" w:type="dxa"/>
            <w:noWrap w:val="0"/>
            <w:vAlign w:val="center"/>
          </w:tcPr>
          <w:p>
            <w:pPr>
              <w:adjustRightInd w:val="0"/>
              <w:snapToGrid w:val="0"/>
              <w:spacing w:line="360" w:lineRule="exact"/>
              <w:jc w:val="center"/>
              <w:rPr>
                <w:color w:val="000000"/>
                <w:szCs w:val="21"/>
              </w:rPr>
            </w:pPr>
            <w:r>
              <w:rPr>
                <w:color w:val="000000"/>
                <w:szCs w:val="21"/>
              </w:rPr>
              <w:t>4</w:t>
            </w:r>
          </w:p>
        </w:tc>
        <w:tc>
          <w:tcPr>
            <w:tcW w:w="944" w:type="dxa"/>
            <w:noWrap w:val="0"/>
            <w:vAlign w:val="center"/>
          </w:tcPr>
          <w:p>
            <w:pPr>
              <w:adjustRightInd w:val="0"/>
              <w:snapToGrid w:val="0"/>
              <w:spacing w:line="360" w:lineRule="exact"/>
              <w:jc w:val="center"/>
              <w:rPr>
                <w:rFonts w:hint="eastAsia"/>
                <w:color w:val="000000"/>
                <w:szCs w:val="21"/>
              </w:rPr>
            </w:pPr>
            <w:r>
              <w:rPr>
                <w:color w:val="000000"/>
                <w:szCs w:val="21"/>
              </w:rPr>
              <w:t>硫酸铜</w:t>
            </w:r>
          </w:p>
        </w:tc>
        <w:tc>
          <w:tcPr>
            <w:tcW w:w="1563" w:type="dxa"/>
            <w:noWrap w:val="0"/>
            <w:vAlign w:val="center"/>
          </w:tcPr>
          <w:p>
            <w:pPr>
              <w:adjustRightInd w:val="0"/>
              <w:snapToGrid w:val="0"/>
              <w:spacing w:line="360" w:lineRule="exact"/>
              <w:jc w:val="center"/>
              <w:rPr>
                <w:color w:val="000000"/>
                <w:szCs w:val="21"/>
              </w:rPr>
            </w:pPr>
            <w:r>
              <w:rPr>
                <w:color w:val="000000"/>
                <w:szCs w:val="21"/>
              </w:rPr>
              <w:t>CuSO</w:t>
            </w:r>
            <w:r>
              <w:rPr>
                <w:color w:val="000000"/>
                <w:szCs w:val="21"/>
                <w:vertAlign w:val="subscript"/>
              </w:rPr>
              <w:t>4</w:t>
            </w:r>
          </w:p>
        </w:tc>
        <w:tc>
          <w:tcPr>
            <w:tcW w:w="3816" w:type="dxa"/>
            <w:noWrap w:val="0"/>
            <w:vAlign w:val="center"/>
          </w:tcPr>
          <w:p>
            <w:pPr>
              <w:shd w:val="clear" w:color="auto" w:fill="FFFFFF"/>
              <w:spacing w:line="360" w:lineRule="exact"/>
              <w:rPr>
                <w:color w:val="000000"/>
                <w:kern w:val="0"/>
                <w:szCs w:val="21"/>
              </w:rPr>
            </w:pPr>
            <w:r>
              <w:rPr>
                <w:color w:val="000000"/>
                <w:kern w:val="0"/>
                <w:szCs w:val="21"/>
              </w:rPr>
              <w:t>蓝色透明晶体。溶于水，微溶于乙醇。无水硫酸铜粉末无水硫酸铜为灰白色粉末，易吸水变蓝绿色的五水合硫酸铜。属于毒害品。</w:t>
            </w:r>
          </w:p>
        </w:tc>
        <w:tc>
          <w:tcPr>
            <w:tcW w:w="2464" w:type="dxa"/>
            <w:noWrap w:val="0"/>
            <w:vAlign w:val="center"/>
          </w:tcPr>
          <w:p>
            <w:pPr>
              <w:adjustRightInd w:val="0"/>
              <w:snapToGrid w:val="0"/>
              <w:spacing w:line="360" w:lineRule="exact"/>
              <w:rPr>
                <w:color w:val="000000"/>
                <w:szCs w:val="21"/>
              </w:rPr>
            </w:pPr>
            <w:r>
              <w:rPr>
                <w:color w:val="000000"/>
                <w:szCs w:val="21"/>
              </w:rPr>
              <w:t>为矿物活化剂</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947" w:hRule="atLeast"/>
          <w:jc w:val="center"/>
        </w:trPr>
        <w:tc>
          <w:tcPr>
            <w:tcW w:w="501" w:type="dxa"/>
            <w:noWrap w:val="0"/>
            <w:vAlign w:val="center"/>
          </w:tcPr>
          <w:p>
            <w:pPr>
              <w:adjustRightInd w:val="0"/>
              <w:snapToGrid w:val="0"/>
              <w:spacing w:line="360" w:lineRule="exact"/>
              <w:jc w:val="center"/>
              <w:rPr>
                <w:color w:val="000000"/>
                <w:szCs w:val="21"/>
              </w:rPr>
            </w:pPr>
            <w:r>
              <w:rPr>
                <w:color w:val="000000"/>
                <w:szCs w:val="21"/>
              </w:rPr>
              <w:t>5</w:t>
            </w:r>
          </w:p>
        </w:tc>
        <w:tc>
          <w:tcPr>
            <w:tcW w:w="944" w:type="dxa"/>
            <w:noWrap w:val="0"/>
            <w:vAlign w:val="center"/>
          </w:tcPr>
          <w:p>
            <w:pPr>
              <w:adjustRightInd w:val="0"/>
              <w:snapToGrid w:val="0"/>
              <w:spacing w:line="360" w:lineRule="exact"/>
              <w:jc w:val="center"/>
              <w:rPr>
                <w:color w:val="000000"/>
                <w:szCs w:val="21"/>
              </w:rPr>
            </w:pPr>
            <w:r>
              <w:rPr>
                <w:color w:val="000000"/>
                <w:szCs w:val="21"/>
              </w:rPr>
              <w:t>硫酸锌</w:t>
            </w:r>
          </w:p>
        </w:tc>
        <w:tc>
          <w:tcPr>
            <w:tcW w:w="1563" w:type="dxa"/>
            <w:noWrap w:val="0"/>
            <w:vAlign w:val="center"/>
          </w:tcPr>
          <w:p>
            <w:pPr>
              <w:adjustRightInd w:val="0"/>
              <w:snapToGrid w:val="0"/>
              <w:spacing w:line="360" w:lineRule="exact"/>
              <w:jc w:val="center"/>
              <w:rPr>
                <w:color w:val="000000"/>
                <w:szCs w:val="21"/>
              </w:rPr>
            </w:pPr>
            <w:r>
              <w:rPr>
                <w:color w:val="000000"/>
                <w:szCs w:val="21"/>
              </w:rPr>
              <w:t>ZnSO</w:t>
            </w:r>
            <w:r>
              <w:rPr>
                <w:color w:val="000000"/>
                <w:szCs w:val="21"/>
                <w:vertAlign w:val="subscript"/>
              </w:rPr>
              <w:t>4</w:t>
            </w:r>
          </w:p>
        </w:tc>
        <w:tc>
          <w:tcPr>
            <w:tcW w:w="3816" w:type="dxa"/>
            <w:noWrap w:val="0"/>
            <w:vAlign w:val="center"/>
          </w:tcPr>
          <w:p>
            <w:pPr>
              <w:shd w:val="clear" w:color="auto" w:fill="FFFFFF"/>
              <w:spacing w:line="360" w:lineRule="exact"/>
              <w:rPr>
                <w:color w:val="000000"/>
                <w:kern w:val="0"/>
                <w:szCs w:val="21"/>
              </w:rPr>
            </w:pPr>
            <w:r>
              <w:rPr>
                <w:color w:val="000000"/>
                <w:szCs w:val="21"/>
              </w:rPr>
              <w:t>无色斜方晶体、颗粒或粉末，无气味， 味涩。属于遇湿易燃物品。</w:t>
            </w:r>
          </w:p>
        </w:tc>
        <w:tc>
          <w:tcPr>
            <w:tcW w:w="2464" w:type="dxa"/>
            <w:noWrap w:val="0"/>
            <w:vAlign w:val="center"/>
          </w:tcPr>
          <w:p>
            <w:pPr>
              <w:adjustRightInd w:val="0"/>
              <w:snapToGrid w:val="0"/>
              <w:spacing w:line="360" w:lineRule="exact"/>
              <w:rPr>
                <w:color w:val="000000"/>
                <w:szCs w:val="21"/>
              </w:rPr>
            </w:pPr>
            <w:r>
              <w:rPr>
                <w:color w:val="000000"/>
                <w:szCs w:val="21"/>
              </w:rPr>
              <w:t>为矿物抑制剂</w:t>
            </w:r>
          </w:p>
        </w:tc>
      </w:tr>
    </w:tbl>
    <w:p>
      <w:pPr>
        <w:spacing w:before="120" w:beforeLines="50" w:line="360" w:lineRule="auto"/>
        <w:ind w:firstLine="720" w:firstLineChars="300"/>
        <w:rPr>
          <w:rFonts w:hint="eastAsia"/>
          <w:color w:val="000000"/>
          <w:sz w:val="24"/>
          <w:szCs w:val="24"/>
        </w:rPr>
      </w:pPr>
      <w:r>
        <w:rPr>
          <w:rFonts w:hint="eastAsia"/>
          <w:color w:val="000000"/>
          <w:sz w:val="24"/>
          <w:szCs w:val="24"/>
        </w:rPr>
        <w:t>选厂选矿药剂溶于选矿废水，其中大部分废水经沉清处理后，实现循环回用，不外排。剩余少部分随铅锌产品带走，部分随废渣存入尾矿库，尾矿库作“三防”处理，对环境影响不大。</w:t>
      </w:r>
    </w:p>
    <w:p>
      <w:pPr>
        <w:pStyle w:val="5"/>
        <w:rPr>
          <w:rFonts w:hint="eastAsia"/>
          <w:color w:val="000000"/>
        </w:rPr>
      </w:pPr>
      <w:bookmarkStart w:id="155" w:name="_Toc23000869"/>
      <w:r>
        <w:rPr>
          <w:color w:val="000000"/>
        </w:rPr>
        <w:t>2.3.</w:t>
      </w:r>
      <w:r>
        <w:rPr>
          <w:rFonts w:hint="eastAsia"/>
          <w:color w:val="000000"/>
        </w:rPr>
        <w:t>3资源、能源消耗对标分析</w:t>
      </w:r>
      <w:bookmarkEnd w:id="155"/>
    </w:p>
    <w:p>
      <w:pPr>
        <w:tabs>
          <w:tab w:val="left" w:pos="0"/>
        </w:tabs>
        <w:spacing w:line="360" w:lineRule="auto"/>
        <w:ind w:firstLine="482" w:firstLineChars="200"/>
        <w:rPr>
          <w:rFonts w:hint="eastAsia" w:ascii="宋体" w:hAnsi="宋体"/>
          <w:b/>
          <w:color w:val="000000"/>
          <w:sz w:val="24"/>
        </w:rPr>
      </w:pPr>
      <w:r>
        <w:rPr>
          <w:rFonts w:hint="eastAsia" w:ascii="宋体" w:hAnsi="宋体"/>
          <w:b/>
          <w:color w:val="000000"/>
          <w:sz w:val="24"/>
        </w:rPr>
        <w:t>2.3.3.1能源消耗对比分析</w:t>
      </w:r>
    </w:p>
    <w:p>
      <w:pPr>
        <w:tabs>
          <w:tab w:val="left" w:pos="0"/>
        </w:tabs>
        <w:spacing w:line="360" w:lineRule="auto"/>
        <w:ind w:firstLine="480" w:firstLineChars="200"/>
        <w:rPr>
          <w:rFonts w:hint="eastAsia" w:ascii="宋体" w:hAnsi="宋体"/>
          <w:color w:val="000000"/>
          <w:sz w:val="24"/>
        </w:rPr>
      </w:pPr>
      <w:r>
        <w:rPr>
          <w:rFonts w:hint="eastAsia" w:ascii="宋体" w:hAnsi="宋体"/>
          <w:color w:val="000000"/>
          <w:sz w:val="24"/>
        </w:rPr>
        <w:t>采矿产品为原矿,选矿主要产品为锌精矿和铅精矿，能源消耗见表2-16。</w:t>
      </w:r>
    </w:p>
    <w:p>
      <w:pPr>
        <w:widowControl/>
        <w:shd w:val="clear" w:color="auto" w:fill="FFFFFF"/>
        <w:spacing w:line="360" w:lineRule="exact"/>
        <w:ind w:firstLine="2829"/>
        <w:rPr>
          <w:rFonts w:hint="eastAsia" w:ascii="宋体" w:hAnsi="宋体" w:cs="宋体"/>
          <w:color w:val="000000"/>
          <w:sz w:val="27"/>
          <w:szCs w:val="27"/>
        </w:rPr>
      </w:pPr>
      <w:r>
        <w:rPr>
          <w:rFonts w:hint="eastAsia" w:ascii="宋体" w:hAnsi="宋体" w:cs="宋体"/>
          <w:b/>
          <w:color w:val="000000"/>
          <w:kern w:val="0"/>
          <w:sz w:val="24"/>
          <w:szCs w:val="24"/>
          <w:shd w:val="clear" w:color="auto" w:fill="FFFFFF"/>
        </w:rPr>
        <w:t>表2－16 能源消耗情况表</w:t>
      </w:r>
    </w:p>
    <w:tbl>
      <w:tblPr>
        <w:tblStyle w:val="35"/>
        <w:tblW w:w="9368" w:type="dxa"/>
        <w:tblInd w:w="-7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Layout w:type="fixed"/>
        <w:tblCellMar>
          <w:top w:w="0" w:type="dxa"/>
          <w:left w:w="0" w:type="dxa"/>
          <w:bottom w:w="0" w:type="dxa"/>
          <w:right w:w="0" w:type="dxa"/>
        </w:tblCellMar>
      </w:tblPr>
      <w:tblGrid>
        <w:gridCol w:w="2572"/>
        <w:gridCol w:w="1102"/>
        <w:gridCol w:w="1102"/>
        <w:gridCol w:w="1102"/>
        <w:gridCol w:w="1102"/>
        <w:gridCol w:w="1102"/>
        <w:gridCol w:w="128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color w:val="000000"/>
                <w:szCs w:val="21"/>
              </w:rPr>
            </w:pPr>
            <w:r>
              <w:rPr>
                <w:rFonts w:hint="eastAsia" w:ascii="宋体" w:hAnsi="宋体" w:cs="宋体"/>
                <w:color w:val="000000"/>
                <w:kern w:val="0"/>
                <w:szCs w:val="21"/>
              </w:rPr>
              <w:t>能源</w:t>
            </w:r>
          </w:p>
        </w:tc>
        <w:tc>
          <w:tcPr>
            <w:tcW w:w="2204" w:type="dxa"/>
            <w:gridSpan w:val="2"/>
            <w:shd w:val="clear" w:color="auto" w:fill="FFFFFF"/>
            <w:noWrap w:val="0"/>
            <w:tcMar>
              <w:left w:w="108" w:type="dxa"/>
              <w:right w:w="108" w:type="dxa"/>
            </w:tcMar>
            <w:vAlign w:val="center"/>
          </w:tcPr>
          <w:p>
            <w:pPr>
              <w:widowControl/>
              <w:spacing w:line="360" w:lineRule="exact"/>
              <w:jc w:val="center"/>
              <w:rPr>
                <w:color w:val="000000"/>
                <w:szCs w:val="21"/>
              </w:rPr>
            </w:pPr>
            <w:r>
              <w:rPr>
                <w:rFonts w:hint="eastAsia" w:ascii="宋体" w:hAnsi="宋体" w:cs="宋体"/>
                <w:color w:val="000000"/>
                <w:kern w:val="0"/>
                <w:szCs w:val="21"/>
              </w:rPr>
              <w:t>2016年</w:t>
            </w:r>
          </w:p>
        </w:tc>
        <w:tc>
          <w:tcPr>
            <w:tcW w:w="2204" w:type="dxa"/>
            <w:gridSpan w:val="2"/>
            <w:shd w:val="clear" w:color="auto" w:fill="FFFFFF"/>
            <w:noWrap w:val="0"/>
            <w:tcMar>
              <w:left w:w="108" w:type="dxa"/>
              <w:right w:w="108" w:type="dxa"/>
            </w:tcMar>
            <w:vAlign w:val="center"/>
          </w:tcPr>
          <w:p>
            <w:pPr>
              <w:widowControl/>
              <w:spacing w:line="360" w:lineRule="exact"/>
              <w:jc w:val="center"/>
              <w:rPr>
                <w:color w:val="000000"/>
                <w:szCs w:val="21"/>
              </w:rPr>
            </w:pPr>
            <w:r>
              <w:rPr>
                <w:rFonts w:hint="eastAsia" w:ascii="宋体" w:hAnsi="宋体" w:cs="宋体"/>
                <w:color w:val="000000"/>
                <w:kern w:val="0"/>
                <w:szCs w:val="21"/>
              </w:rPr>
              <w:t>2017年</w:t>
            </w:r>
          </w:p>
        </w:tc>
        <w:tc>
          <w:tcPr>
            <w:tcW w:w="2388" w:type="dxa"/>
            <w:gridSpan w:val="2"/>
            <w:shd w:val="clear" w:color="auto" w:fill="FFFFFF"/>
            <w:noWrap w:val="0"/>
            <w:tcMar>
              <w:left w:w="108" w:type="dxa"/>
              <w:right w:w="108" w:type="dxa"/>
            </w:tcMar>
            <w:vAlign w:val="center"/>
          </w:tcPr>
          <w:p>
            <w:pPr>
              <w:widowControl/>
              <w:spacing w:line="360" w:lineRule="exact"/>
              <w:jc w:val="center"/>
              <w:rPr>
                <w:color w:val="000000"/>
                <w:szCs w:val="21"/>
              </w:rPr>
            </w:pPr>
            <w:r>
              <w:rPr>
                <w:rFonts w:hint="eastAsia" w:ascii="宋体" w:hAnsi="宋体" w:cs="宋体"/>
                <w:color w:val="000000"/>
                <w:kern w:val="0"/>
                <w:szCs w:val="21"/>
              </w:rPr>
              <w:t>2018年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hint="eastAsia" w:ascii="宋体" w:hAnsi="宋体" w:cs="宋体"/>
                <w:color w:val="000000"/>
                <w:kern w:val="0"/>
                <w:szCs w:val="21"/>
              </w:rPr>
              <w:t>种类</w:t>
            </w:r>
          </w:p>
        </w:tc>
        <w:tc>
          <w:tcPr>
            <w:tcW w:w="110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hint="eastAsia" w:ascii="宋体" w:hAnsi="宋体" w:cs="宋体"/>
                <w:color w:val="000000"/>
                <w:kern w:val="0"/>
                <w:szCs w:val="21"/>
              </w:rPr>
              <w:t>用量</w:t>
            </w:r>
          </w:p>
        </w:tc>
        <w:tc>
          <w:tcPr>
            <w:tcW w:w="110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hint="eastAsia" w:ascii="宋体" w:hAnsi="宋体" w:cs="宋体"/>
                <w:color w:val="000000"/>
                <w:kern w:val="0"/>
                <w:szCs w:val="21"/>
              </w:rPr>
              <w:t>折标煤</w:t>
            </w:r>
          </w:p>
        </w:tc>
        <w:tc>
          <w:tcPr>
            <w:tcW w:w="110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hint="eastAsia" w:ascii="宋体" w:hAnsi="宋体" w:cs="宋体"/>
                <w:color w:val="000000"/>
                <w:kern w:val="0"/>
                <w:szCs w:val="21"/>
              </w:rPr>
              <w:t>用量</w:t>
            </w: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s="宋体"/>
                <w:color w:val="000000"/>
                <w:kern w:val="0"/>
                <w:szCs w:val="21"/>
              </w:rPr>
            </w:pPr>
            <w:r>
              <w:rPr>
                <w:rFonts w:hint="eastAsia" w:ascii="宋体" w:hAnsi="宋体" w:cs="宋体"/>
                <w:color w:val="000000"/>
                <w:kern w:val="0"/>
                <w:szCs w:val="21"/>
              </w:rPr>
              <w:t>折标煤</w:t>
            </w:r>
          </w:p>
        </w:tc>
        <w:tc>
          <w:tcPr>
            <w:tcW w:w="110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hint="eastAsia" w:ascii="宋体" w:hAnsi="宋体" w:cs="宋体"/>
                <w:color w:val="000000"/>
                <w:kern w:val="0"/>
                <w:szCs w:val="21"/>
              </w:rPr>
              <w:t>用量</w:t>
            </w:r>
          </w:p>
        </w:tc>
        <w:tc>
          <w:tcPr>
            <w:tcW w:w="1286"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hint="eastAsia" w:ascii="宋体" w:hAnsi="宋体" w:cs="宋体"/>
                <w:color w:val="000000"/>
                <w:kern w:val="0"/>
                <w:szCs w:val="21"/>
              </w:rPr>
              <w:t>折标煤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ascii="宋体" w:hAnsi="宋体" w:cs="宋体"/>
                <w:color w:val="000000"/>
                <w:kern w:val="0"/>
                <w:szCs w:val="21"/>
              </w:rPr>
              <w:t>电（kwh）</w:t>
            </w:r>
          </w:p>
        </w:tc>
        <w:tc>
          <w:tcPr>
            <w:tcW w:w="1102" w:type="dxa"/>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1905750</w:t>
            </w: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olor w:val="000000"/>
                <w:szCs w:val="21"/>
              </w:rPr>
            </w:pPr>
            <w:r>
              <w:rPr>
                <w:rFonts w:hint="eastAsia" w:ascii="宋体" w:hAnsi="宋体"/>
                <w:color w:val="000000"/>
                <w:szCs w:val="21"/>
              </w:rPr>
              <w:t>234.22</w:t>
            </w:r>
          </w:p>
        </w:tc>
        <w:tc>
          <w:tcPr>
            <w:tcW w:w="1102" w:type="dxa"/>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2506770</w:t>
            </w: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olor w:val="000000"/>
                <w:szCs w:val="21"/>
              </w:rPr>
            </w:pPr>
            <w:r>
              <w:rPr>
                <w:rFonts w:hint="eastAsia" w:ascii="宋体" w:hAnsi="宋体"/>
                <w:color w:val="000000"/>
                <w:szCs w:val="21"/>
              </w:rPr>
              <w:t>203.97</w:t>
            </w:r>
          </w:p>
        </w:tc>
        <w:tc>
          <w:tcPr>
            <w:tcW w:w="1102" w:type="dxa"/>
            <w:shd w:val="clear" w:color="auto" w:fill="FFFFFF"/>
            <w:noWrap w:val="0"/>
            <w:tcMar>
              <w:left w:w="108" w:type="dxa"/>
              <w:right w:w="108" w:type="dxa"/>
            </w:tcMar>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1756590</w:t>
            </w:r>
          </w:p>
        </w:tc>
        <w:tc>
          <w:tcPr>
            <w:tcW w:w="1286" w:type="dxa"/>
            <w:shd w:val="clear" w:color="auto" w:fill="FFFFFF"/>
            <w:noWrap w:val="0"/>
            <w:tcMar>
              <w:left w:w="108" w:type="dxa"/>
              <w:right w:w="108" w:type="dxa"/>
            </w:tcMar>
            <w:vAlign w:val="center"/>
          </w:tcPr>
          <w:p>
            <w:pPr>
              <w:widowControl/>
              <w:spacing w:line="260" w:lineRule="exact"/>
              <w:jc w:val="center"/>
              <w:rPr>
                <w:rFonts w:ascii="宋体" w:hAnsi="宋体"/>
                <w:color w:val="000000"/>
                <w:szCs w:val="21"/>
              </w:rPr>
            </w:pPr>
            <w:r>
              <w:rPr>
                <w:rFonts w:hint="eastAsia" w:ascii="宋体" w:hAnsi="宋体"/>
                <w:color w:val="000000"/>
                <w:szCs w:val="21"/>
              </w:rPr>
              <w:t>215.88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rFonts w:ascii="宋体" w:hAnsi="宋体" w:cs="宋体"/>
                <w:color w:val="000000"/>
                <w:kern w:val="0"/>
                <w:szCs w:val="21"/>
              </w:rPr>
            </w:pPr>
            <w:r>
              <w:rPr>
                <w:rFonts w:ascii="宋体" w:hAnsi="宋体" w:cs="宋体"/>
                <w:color w:val="000000"/>
                <w:kern w:val="0"/>
                <w:szCs w:val="21"/>
              </w:rPr>
              <w:t>柴油（吨）</w:t>
            </w:r>
          </w:p>
        </w:tc>
        <w:tc>
          <w:tcPr>
            <w:tcW w:w="1102" w:type="dxa"/>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18.81</w:t>
            </w: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olor w:val="000000"/>
                <w:szCs w:val="21"/>
              </w:rPr>
            </w:pPr>
            <w:r>
              <w:rPr>
                <w:rFonts w:hint="eastAsia" w:ascii="宋体" w:hAnsi="宋体"/>
                <w:color w:val="000000"/>
                <w:szCs w:val="21"/>
              </w:rPr>
              <w:t>27.41</w:t>
            </w:r>
          </w:p>
        </w:tc>
        <w:tc>
          <w:tcPr>
            <w:tcW w:w="1102" w:type="dxa"/>
            <w:shd w:val="clear" w:color="auto" w:fill="FFFFFF"/>
            <w:noWrap w:val="0"/>
            <w:tcMar>
              <w:left w:w="108" w:type="dxa"/>
              <w:right w:w="108" w:type="dxa"/>
            </w:tcMar>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17.1</w:t>
            </w: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olor w:val="000000"/>
                <w:szCs w:val="21"/>
              </w:rPr>
            </w:pPr>
            <w:r>
              <w:rPr>
                <w:rFonts w:hint="eastAsia" w:ascii="宋体" w:hAnsi="宋体"/>
                <w:color w:val="000000"/>
                <w:szCs w:val="21"/>
              </w:rPr>
              <w:t>24.92</w:t>
            </w:r>
          </w:p>
        </w:tc>
        <w:tc>
          <w:tcPr>
            <w:tcW w:w="1102" w:type="dxa"/>
            <w:shd w:val="clear" w:color="auto" w:fill="FFFFFF"/>
            <w:noWrap w:val="0"/>
            <w:tcMar>
              <w:left w:w="108" w:type="dxa"/>
              <w:right w:w="108" w:type="dxa"/>
            </w:tcMar>
            <w:vAlign w:val="center"/>
          </w:tcPr>
          <w:p>
            <w:pPr>
              <w:widowControl/>
              <w:spacing w:line="260" w:lineRule="exact"/>
              <w:jc w:val="center"/>
              <w:rPr>
                <w:rFonts w:hint="eastAsia" w:ascii="宋体" w:hAnsi="宋体" w:cs="宋体"/>
                <w:color w:val="000000"/>
                <w:kern w:val="0"/>
                <w:szCs w:val="21"/>
              </w:rPr>
            </w:pPr>
            <w:r>
              <w:rPr>
                <w:rFonts w:hint="eastAsia" w:ascii="宋体" w:hAnsi="宋体" w:cs="宋体"/>
                <w:color w:val="000000"/>
                <w:kern w:val="0"/>
                <w:szCs w:val="21"/>
              </w:rPr>
              <w:t>15.475</w:t>
            </w:r>
          </w:p>
        </w:tc>
        <w:tc>
          <w:tcPr>
            <w:tcW w:w="1286" w:type="dxa"/>
            <w:shd w:val="clear" w:color="auto" w:fill="FFFFFF"/>
            <w:noWrap w:val="0"/>
            <w:tcMar>
              <w:left w:w="108" w:type="dxa"/>
              <w:right w:w="108" w:type="dxa"/>
            </w:tcMar>
            <w:vAlign w:val="center"/>
          </w:tcPr>
          <w:p>
            <w:pPr>
              <w:widowControl/>
              <w:spacing w:line="260" w:lineRule="exact"/>
              <w:jc w:val="center"/>
              <w:rPr>
                <w:rFonts w:hint="eastAsia" w:ascii="宋体" w:hAnsi="宋体"/>
                <w:color w:val="000000"/>
                <w:szCs w:val="21"/>
              </w:rPr>
            </w:pPr>
            <w:r>
              <w:rPr>
                <w:rFonts w:hint="eastAsia" w:ascii="宋体" w:hAnsi="宋体"/>
                <w:color w:val="000000"/>
                <w:szCs w:val="21"/>
              </w:rPr>
              <w:t>22.55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ascii="宋体" w:hAnsi="宋体" w:cs="宋体"/>
                <w:color w:val="000000"/>
                <w:kern w:val="0"/>
                <w:szCs w:val="21"/>
              </w:rPr>
              <w:t>总能耗（tce)</w:t>
            </w: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s="宋体"/>
                <w:color w:val="000000"/>
                <w:kern w:val="0"/>
                <w:szCs w:val="21"/>
              </w:rPr>
            </w:pP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olor w:val="000000"/>
                <w:szCs w:val="21"/>
              </w:rPr>
            </w:pPr>
            <w:r>
              <w:rPr>
                <w:rFonts w:hint="eastAsia" w:ascii="宋体" w:hAnsi="宋体"/>
                <w:color w:val="000000"/>
                <w:szCs w:val="21"/>
              </w:rPr>
              <w:t>261.63</w:t>
            </w:r>
          </w:p>
        </w:tc>
        <w:tc>
          <w:tcPr>
            <w:tcW w:w="110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p>
        </w:tc>
        <w:tc>
          <w:tcPr>
            <w:tcW w:w="1102" w:type="dxa"/>
            <w:shd w:val="clear" w:color="auto" w:fill="FFFFFF"/>
            <w:noWrap w:val="0"/>
            <w:tcMar>
              <w:left w:w="108" w:type="dxa"/>
              <w:right w:w="108" w:type="dxa"/>
            </w:tcMar>
            <w:vAlign w:val="center"/>
          </w:tcPr>
          <w:p>
            <w:pPr>
              <w:widowControl/>
              <w:spacing w:line="360" w:lineRule="exact"/>
              <w:jc w:val="center"/>
              <w:rPr>
                <w:rFonts w:hint="eastAsia" w:ascii="宋体" w:hAnsi="宋体"/>
                <w:color w:val="000000"/>
                <w:szCs w:val="21"/>
              </w:rPr>
            </w:pPr>
            <w:r>
              <w:rPr>
                <w:rFonts w:hint="eastAsia" w:ascii="宋体" w:hAnsi="宋体"/>
                <w:color w:val="000000"/>
                <w:szCs w:val="21"/>
              </w:rPr>
              <w:t>228.89</w:t>
            </w:r>
          </w:p>
        </w:tc>
        <w:tc>
          <w:tcPr>
            <w:tcW w:w="1102" w:type="dxa"/>
            <w:shd w:val="clear" w:color="auto" w:fill="FFFFFF"/>
            <w:noWrap w:val="0"/>
            <w:tcMar>
              <w:left w:w="108" w:type="dxa"/>
              <w:right w:w="108" w:type="dxa"/>
            </w:tcMar>
            <w:vAlign w:val="center"/>
          </w:tcPr>
          <w:p>
            <w:pPr>
              <w:widowControl/>
              <w:spacing w:line="260" w:lineRule="exact"/>
              <w:jc w:val="center"/>
              <w:rPr>
                <w:rFonts w:hint="eastAsia" w:ascii="宋体" w:hAnsi="宋体" w:cs="宋体"/>
                <w:color w:val="000000"/>
                <w:kern w:val="0"/>
                <w:szCs w:val="21"/>
              </w:rPr>
            </w:pPr>
          </w:p>
        </w:tc>
        <w:tc>
          <w:tcPr>
            <w:tcW w:w="1286" w:type="dxa"/>
            <w:shd w:val="clear" w:color="auto" w:fill="FFFFFF"/>
            <w:noWrap w:val="0"/>
            <w:tcMar>
              <w:left w:w="108" w:type="dxa"/>
              <w:right w:w="108" w:type="dxa"/>
            </w:tcMar>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238.43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rFonts w:ascii="宋体" w:hAnsi="宋体" w:cs="宋体"/>
                <w:color w:val="000000"/>
                <w:kern w:val="0"/>
                <w:szCs w:val="21"/>
              </w:rPr>
            </w:pPr>
            <w:r>
              <w:rPr>
                <w:rFonts w:ascii="Verdana" w:hAnsi="宋体" w:cs="宋体"/>
                <w:color w:val="000000"/>
                <w:kern w:val="0"/>
                <w:szCs w:val="21"/>
              </w:rPr>
              <w:t>产品产量</w:t>
            </w:r>
            <w:r>
              <w:rPr>
                <w:rFonts w:hint="eastAsia" w:ascii="Verdana" w:hAnsi="宋体" w:cs="宋体"/>
                <w:color w:val="000000"/>
                <w:kern w:val="0"/>
                <w:szCs w:val="21"/>
              </w:rPr>
              <w:t>（</w:t>
            </w:r>
            <w:r>
              <w:rPr>
                <w:rFonts w:hint="eastAsia" w:ascii="Verdana" w:hAnsi="Verdana" w:cs="宋体"/>
                <w:color w:val="000000"/>
                <w:kern w:val="0"/>
                <w:szCs w:val="21"/>
              </w:rPr>
              <w:t>原矿</w:t>
            </w:r>
            <w:r>
              <w:rPr>
                <w:rFonts w:ascii="Verdana" w:hAnsi="Verdana" w:cs="宋体"/>
                <w:color w:val="000000"/>
                <w:kern w:val="0"/>
                <w:szCs w:val="21"/>
              </w:rPr>
              <w:t>t)</w:t>
            </w:r>
          </w:p>
        </w:tc>
        <w:tc>
          <w:tcPr>
            <w:tcW w:w="2204" w:type="dxa"/>
            <w:gridSpan w:val="2"/>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54450</w:t>
            </w:r>
          </w:p>
        </w:tc>
        <w:tc>
          <w:tcPr>
            <w:tcW w:w="2204" w:type="dxa"/>
            <w:gridSpan w:val="2"/>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72660</w:t>
            </w:r>
          </w:p>
        </w:tc>
        <w:tc>
          <w:tcPr>
            <w:tcW w:w="2388" w:type="dxa"/>
            <w:gridSpan w:val="2"/>
            <w:shd w:val="clear" w:color="auto" w:fill="FFFFFF"/>
            <w:noWrap w:val="0"/>
            <w:tcMar>
              <w:left w:w="108" w:type="dxa"/>
              <w:right w:w="108" w:type="dxa"/>
            </w:tcMar>
            <w:vAlign w:val="center"/>
          </w:tcPr>
          <w:p>
            <w:pPr>
              <w:widowControl/>
              <w:spacing w:before="100" w:beforeAutospacing="1" w:after="100" w:afterAutospacing="1"/>
              <w:jc w:val="center"/>
              <w:rPr>
                <w:color w:val="000000"/>
                <w:szCs w:val="21"/>
                <w:highlight w:val="green"/>
              </w:rPr>
            </w:pPr>
            <w:r>
              <w:rPr>
                <w:color w:val="000000"/>
                <w:szCs w:val="21"/>
              </w:rPr>
              <w:t>53230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rFonts w:ascii="宋体" w:hAnsi="宋体"/>
                <w:color w:val="000000"/>
                <w:szCs w:val="21"/>
              </w:rPr>
            </w:pPr>
            <w:r>
              <w:rPr>
                <w:rFonts w:hint="eastAsia" w:ascii="宋体" w:hAnsi="宋体" w:cs="宋体"/>
                <w:color w:val="000000"/>
                <w:kern w:val="0"/>
                <w:szCs w:val="21"/>
              </w:rPr>
              <w:t>综合能</w:t>
            </w:r>
            <w:r>
              <w:rPr>
                <w:rFonts w:ascii="宋体" w:hAnsi="宋体" w:cs="宋体"/>
                <w:color w:val="000000"/>
                <w:kern w:val="0"/>
                <w:szCs w:val="21"/>
              </w:rPr>
              <w:t>耗(</w:t>
            </w:r>
            <w:r>
              <w:rPr>
                <w:rFonts w:hint="eastAsia" w:ascii="宋体" w:hAnsi="宋体" w:cs="宋体"/>
                <w:color w:val="000000"/>
                <w:kern w:val="0"/>
                <w:szCs w:val="21"/>
              </w:rPr>
              <w:t>kg</w:t>
            </w:r>
            <w:r>
              <w:rPr>
                <w:rFonts w:ascii="宋体" w:hAnsi="宋体" w:cs="宋体"/>
                <w:color w:val="000000"/>
                <w:kern w:val="0"/>
                <w:szCs w:val="21"/>
              </w:rPr>
              <w:t>ce</w:t>
            </w:r>
            <w:r>
              <w:rPr>
                <w:rFonts w:hint="eastAsia" w:ascii="宋体" w:hAnsi="宋体" w:cs="宋体"/>
                <w:color w:val="000000"/>
                <w:kern w:val="0"/>
                <w:szCs w:val="21"/>
              </w:rPr>
              <w:t>/t原矿</w:t>
            </w:r>
            <w:r>
              <w:rPr>
                <w:rFonts w:ascii="宋体" w:hAnsi="宋体" w:cs="宋体"/>
                <w:color w:val="000000"/>
                <w:kern w:val="0"/>
                <w:szCs w:val="21"/>
              </w:rPr>
              <w:t>)</w:t>
            </w:r>
          </w:p>
        </w:tc>
        <w:tc>
          <w:tcPr>
            <w:tcW w:w="2204" w:type="dxa"/>
            <w:gridSpan w:val="2"/>
            <w:shd w:val="clear" w:color="auto" w:fill="FFFFFF"/>
            <w:noWrap w:val="0"/>
            <w:tcMar>
              <w:left w:w="108" w:type="dxa"/>
              <w:right w:w="108" w:type="dxa"/>
            </w:tcMar>
            <w:vAlign w:val="center"/>
          </w:tcPr>
          <w:p>
            <w:pPr>
              <w:widowControl/>
              <w:spacing w:line="360" w:lineRule="exact"/>
              <w:jc w:val="center"/>
              <w:rPr>
                <w:rFonts w:hint="eastAsia" w:ascii="宋体" w:hAnsi="宋体" w:cs="宋体"/>
                <w:color w:val="000000"/>
                <w:kern w:val="0"/>
                <w:szCs w:val="21"/>
              </w:rPr>
            </w:pPr>
            <w:r>
              <w:rPr>
                <w:rFonts w:hint="eastAsia" w:ascii="宋体" w:hAnsi="宋体" w:cs="宋体"/>
                <w:color w:val="000000"/>
                <w:kern w:val="0"/>
                <w:szCs w:val="21"/>
              </w:rPr>
              <w:t>4.8</w:t>
            </w:r>
          </w:p>
        </w:tc>
        <w:tc>
          <w:tcPr>
            <w:tcW w:w="2204" w:type="dxa"/>
            <w:gridSpan w:val="2"/>
            <w:shd w:val="clear" w:color="auto" w:fill="FFFFFF"/>
            <w:noWrap w:val="0"/>
            <w:tcMar>
              <w:left w:w="108" w:type="dxa"/>
              <w:right w:w="108" w:type="dxa"/>
            </w:tcMar>
            <w:vAlign w:val="center"/>
          </w:tcPr>
          <w:p>
            <w:pPr>
              <w:widowControl/>
              <w:spacing w:line="360" w:lineRule="exact"/>
              <w:jc w:val="center"/>
              <w:rPr>
                <w:rFonts w:hint="eastAsia" w:ascii="宋体" w:hAnsi="宋体" w:cs="宋体"/>
                <w:color w:val="000000"/>
                <w:kern w:val="0"/>
                <w:szCs w:val="21"/>
              </w:rPr>
            </w:pPr>
            <w:r>
              <w:rPr>
                <w:rFonts w:hint="eastAsia" w:ascii="宋体" w:hAnsi="宋体" w:cs="宋体"/>
                <w:color w:val="000000"/>
                <w:kern w:val="0"/>
                <w:szCs w:val="21"/>
              </w:rPr>
              <w:t>3.15</w:t>
            </w:r>
          </w:p>
        </w:tc>
        <w:tc>
          <w:tcPr>
            <w:tcW w:w="2388" w:type="dxa"/>
            <w:gridSpan w:val="2"/>
            <w:shd w:val="clear" w:color="auto" w:fill="FFFFFF"/>
            <w:noWrap w:val="0"/>
            <w:tcMar>
              <w:left w:w="108" w:type="dxa"/>
              <w:right w:w="108" w:type="dxa"/>
            </w:tcMar>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4.48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396" w:hRule="atLeast"/>
        </w:trPr>
        <w:tc>
          <w:tcPr>
            <w:tcW w:w="2572" w:type="dxa"/>
            <w:shd w:val="clear" w:color="auto" w:fill="FFFFFF"/>
            <w:noWrap w:val="0"/>
            <w:tcMar>
              <w:left w:w="108" w:type="dxa"/>
              <w:right w:w="108" w:type="dxa"/>
            </w:tcMar>
            <w:vAlign w:val="center"/>
          </w:tcPr>
          <w:p>
            <w:pPr>
              <w:widowControl/>
              <w:spacing w:line="360" w:lineRule="exact"/>
              <w:jc w:val="center"/>
              <w:rPr>
                <w:rFonts w:hint="eastAsia" w:ascii="宋体" w:hAnsi="宋体" w:cs="宋体"/>
                <w:color w:val="000000"/>
                <w:kern w:val="0"/>
                <w:szCs w:val="21"/>
                <w:highlight w:val="yellow"/>
              </w:rPr>
            </w:pPr>
            <w:r>
              <w:rPr>
                <w:color w:val="000000"/>
                <w:szCs w:val="21"/>
              </w:rPr>
              <w:t>电耗</w:t>
            </w:r>
            <w:r>
              <w:rPr>
                <w:rFonts w:hint="eastAsia" w:ascii="宋体" w:hAnsi="宋体"/>
                <w:color w:val="000000"/>
                <w:szCs w:val="21"/>
              </w:rPr>
              <w:t>（</w:t>
            </w:r>
            <w:r>
              <w:rPr>
                <w:rFonts w:ascii="宋体" w:hAnsi="宋体"/>
                <w:color w:val="000000"/>
                <w:szCs w:val="21"/>
              </w:rPr>
              <w:t>k·Wh/t原矿</w:t>
            </w:r>
            <w:r>
              <w:rPr>
                <w:rFonts w:hint="eastAsia" w:ascii="宋体" w:hAnsi="宋体"/>
                <w:color w:val="000000"/>
                <w:szCs w:val="21"/>
              </w:rPr>
              <w:t>）</w:t>
            </w:r>
          </w:p>
        </w:tc>
        <w:tc>
          <w:tcPr>
            <w:tcW w:w="2204" w:type="dxa"/>
            <w:gridSpan w:val="2"/>
            <w:shd w:val="clear" w:color="auto" w:fill="FFFFFF"/>
            <w:noWrap w:val="0"/>
            <w:tcMar>
              <w:left w:w="108" w:type="dxa"/>
              <w:right w:w="108" w:type="dxa"/>
            </w:tcMar>
            <w:vAlign w:val="center"/>
          </w:tcPr>
          <w:p>
            <w:pPr>
              <w:widowControl/>
              <w:spacing w:line="360" w:lineRule="exact"/>
              <w:jc w:val="center"/>
              <w:rPr>
                <w:rFonts w:hint="eastAsia" w:ascii="宋体" w:hAnsi="宋体" w:cs="宋体"/>
                <w:color w:val="000000"/>
                <w:kern w:val="0"/>
                <w:szCs w:val="21"/>
              </w:rPr>
            </w:pPr>
            <w:r>
              <w:rPr>
                <w:rFonts w:hint="eastAsia" w:ascii="宋体" w:hAnsi="宋体" w:cs="宋体"/>
                <w:color w:val="000000"/>
                <w:kern w:val="0"/>
                <w:szCs w:val="21"/>
              </w:rPr>
              <w:t>35</w:t>
            </w:r>
          </w:p>
        </w:tc>
        <w:tc>
          <w:tcPr>
            <w:tcW w:w="2204" w:type="dxa"/>
            <w:gridSpan w:val="2"/>
            <w:shd w:val="clear" w:color="auto" w:fill="FFFFFF"/>
            <w:noWrap w:val="0"/>
            <w:tcMar>
              <w:left w:w="108" w:type="dxa"/>
              <w:right w:w="108" w:type="dxa"/>
            </w:tcMar>
            <w:vAlign w:val="center"/>
          </w:tcPr>
          <w:p>
            <w:pPr>
              <w:widowControl/>
              <w:spacing w:line="360" w:lineRule="exact"/>
              <w:jc w:val="center"/>
              <w:rPr>
                <w:rFonts w:hint="eastAsia" w:ascii="宋体" w:hAnsi="宋体" w:cs="宋体"/>
                <w:color w:val="000000"/>
                <w:kern w:val="0"/>
                <w:szCs w:val="21"/>
              </w:rPr>
            </w:pPr>
            <w:r>
              <w:rPr>
                <w:rFonts w:hint="eastAsia" w:ascii="宋体" w:hAnsi="宋体" w:cs="宋体"/>
                <w:color w:val="000000"/>
                <w:kern w:val="0"/>
                <w:szCs w:val="21"/>
              </w:rPr>
              <w:t>34.5</w:t>
            </w:r>
          </w:p>
        </w:tc>
        <w:tc>
          <w:tcPr>
            <w:tcW w:w="2388" w:type="dxa"/>
            <w:gridSpan w:val="2"/>
            <w:shd w:val="clear" w:color="auto" w:fill="FFFFFF"/>
            <w:noWrap w:val="0"/>
            <w:tcMar>
              <w:left w:w="108" w:type="dxa"/>
              <w:right w:w="108" w:type="dxa"/>
            </w:tcMar>
            <w:vAlign w:val="center"/>
          </w:tcPr>
          <w:p>
            <w:pPr>
              <w:widowControl/>
              <w:spacing w:line="260" w:lineRule="exact"/>
              <w:jc w:val="center"/>
              <w:rPr>
                <w:rFonts w:ascii="宋体" w:hAnsi="宋体" w:cs="宋体"/>
                <w:color w:val="000000"/>
                <w:kern w:val="0"/>
                <w:szCs w:val="21"/>
              </w:rPr>
            </w:pPr>
            <w:r>
              <w:rPr>
                <w:rFonts w:hint="eastAsia" w:ascii="宋体" w:hAnsi="宋体" w:cs="宋体"/>
                <w:color w:val="000000"/>
                <w:kern w:val="0"/>
                <w:szCs w:val="21"/>
              </w:rPr>
              <w:t>33</w:t>
            </w:r>
          </w:p>
        </w:tc>
      </w:tr>
    </w:tbl>
    <w:p>
      <w:pPr>
        <w:tabs>
          <w:tab w:val="left" w:pos="2265"/>
        </w:tabs>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说明：1.能源折标按当量值计算；2.电力折标系数按1.229tce/</w:t>
      </w:r>
      <w:r>
        <w:rPr>
          <w:rFonts w:hint="eastAsia" w:ascii="宋体" w:hAnsi="宋体" w:cs="宋体"/>
          <w:color w:val="000000"/>
          <w:kern w:val="0"/>
          <w:sz w:val="24"/>
          <w:szCs w:val="24"/>
        </w:rPr>
        <w:t>万</w:t>
      </w:r>
      <w:r>
        <w:rPr>
          <w:rFonts w:hint="eastAsia" w:ascii="宋体" w:hAnsi="宋体"/>
          <w:color w:val="000000"/>
          <w:kern w:val="0"/>
          <w:sz w:val="24"/>
          <w:szCs w:val="24"/>
        </w:rPr>
        <w:t>kwh，</w:t>
      </w:r>
      <w:r>
        <w:rPr>
          <w:rFonts w:hint="eastAsia" w:ascii="宋体" w:hAnsi="宋体"/>
          <w:color w:val="000000"/>
          <w:sz w:val="24"/>
          <w:szCs w:val="24"/>
        </w:rPr>
        <w:t>柴油折标系统1.4571tce.</w:t>
      </w:r>
    </w:p>
    <w:p>
      <w:pPr>
        <w:tabs>
          <w:tab w:val="left" w:pos="2265"/>
        </w:tabs>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w:t>
      </w:r>
      <w:r>
        <w:rPr>
          <w:rFonts w:ascii="宋体" w:hAnsi="宋体"/>
          <w:color w:val="000000"/>
          <w:sz w:val="24"/>
          <w:szCs w:val="24"/>
        </w:rPr>
        <w:t>国家发展和改革委员会、环境保护部、工业和信息化部颁布的《</w:t>
      </w:r>
      <w:r>
        <w:rPr>
          <w:rFonts w:hint="eastAsia"/>
          <w:color w:val="000000"/>
          <w:sz w:val="24"/>
          <w:szCs w:val="24"/>
        </w:rPr>
        <w:t>铅锌采选行业清洁生产评价指标体系</w:t>
      </w:r>
      <w:r>
        <w:rPr>
          <w:rFonts w:ascii="宋体" w:hAnsi="宋体"/>
          <w:color w:val="000000"/>
          <w:sz w:val="24"/>
          <w:szCs w:val="24"/>
        </w:rPr>
        <w:t>》进行对比，</w:t>
      </w:r>
      <w:r>
        <w:rPr>
          <w:rFonts w:hint="eastAsia" w:ascii="宋体" w:hAnsi="宋体"/>
          <w:color w:val="000000"/>
          <w:sz w:val="24"/>
          <w:szCs w:val="24"/>
        </w:rPr>
        <w:t>选矿厂审核前三年产品综合能耗</w:t>
      </w:r>
      <w:r>
        <w:rPr>
          <w:rFonts w:ascii="宋体" w:hAnsi="宋体" w:cs="宋体"/>
          <w:color w:val="000000"/>
          <w:kern w:val="0"/>
          <w:sz w:val="24"/>
          <w:szCs w:val="24"/>
        </w:rPr>
        <w:t>(</w:t>
      </w:r>
      <w:r>
        <w:rPr>
          <w:rFonts w:hint="eastAsia" w:ascii="宋体" w:hAnsi="宋体" w:cs="宋体"/>
          <w:color w:val="000000"/>
          <w:kern w:val="0"/>
          <w:sz w:val="24"/>
          <w:szCs w:val="24"/>
        </w:rPr>
        <w:t>kg</w:t>
      </w:r>
      <w:r>
        <w:rPr>
          <w:rFonts w:ascii="宋体" w:hAnsi="宋体" w:cs="宋体"/>
          <w:color w:val="000000"/>
          <w:kern w:val="0"/>
          <w:sz w:val="24"/>
          <w:szCs w:val="24"/>
        </w:rPr>
        <w:t>ce</w:t>
      </w:r>
      <w:r>
        <w:rPr>
          <w:rFonts w:hint="eastAsia" w:ascii="宋体" w:hAnsi="宋体" w:cs="宋体"/>
          <w:color w:val="000000"/>
          <w:kern w:val="0"/>
          <w:sz w:val="24"/>
          <w:szCs w:val="24"/>
        </w:rPr>
        <w:t>/t原矿</w:t>
      </w:r>
      <w:r>
        <w:rPr>
          <w:rFonts w:ascii="宋体" w:hAnsi="宋体" w:cs="宋体"/>
          <w:color w:val="000000"/>
          <w:kern w:val="0"/>
          <w:sz w:val="24"/>
          <w:szCs w:val="24"/>
        </w:rPr>
        <w:t>)</w:t>
      </w:r>
      <w:r>
        <w:rPr>
          <w:rFonts w:hint="eastAsia" w:ascii="宋体" w:hAnsi="宋体" w:cs="宋体"/>
          <w:color w:val="000000"/>
          <w:kern w:val="0"/>
          <w:sz w:val="24"/>
          <w:szCs w:val="24"/>
        </w:rPr>
        <w:t>、</w:t>
      </w:r>
      <w:r>
        <w:rPr>
          <w:color w:val="000000"/>
          <w:sz w:val="24"/>
          <w:szCs w:val="24"/>
        </w:rPr>
        <w:t>电耗</w:t>
      </w:r>
      <w:r>
        <w:rPr>
          <w:rFonts w:hint="eastAsia" w:ascii="宋体" w:hAnsi="宋体"/>
          <w:color w:val="000000"/>
          <w:sz w:val="24"/>
          <w:szCs w:val="24"/>
        </w:rPr>
        <w:t>（</w:t>
      </w:r>
      <w:r>
        <w:rPr>
          <w:rFonts w:ascii="宋体" w:hAnsi="宋体"/>
          <w:color w:val="000000"/>
          <w:sz w:val="24"/>
          <w:szCs w:val="24"/>
        </w:rPr>
        <w:t>k·Wh/t原矿</w:t>
      </w:r>
      <w:r>
        <w:rPr>
          <w:rFonts w:hint="eastAsia" w:ascii="宋体" w:hAnsi="宋体"/>
          <w:color w:val="000000"/>
          <w:sz w:val="24"/>
          <w:szCs w:val="24"/>
        </w:rPr>
        <w:t>）均未达到国家清洁生产标准，并逐年有所降低。</w:t>
      </w:r>
    </w:p>
    <w:p>
      <w:pPr>
        <w:tabs>
          <w:tab w:val="left" w:pos="0"/>
        </w:tabs>
        <w:spacing w:line="360" w:lineRule="auto"/>
        <w:ind w:firstLine="482" w:firstLineChars="200"/>
        <w:rPr>
          <w:rFonts w:hint="eastAsia" w:ascii="宋体" w:hAnsi="宋体"/>
          <w:b/>
          <w:color w:val="000000"/>
          <w:sz w:val="24"/>
        </w:rPr>
      </w:pPr>
      <w:r>
        <w:rPr>
          <w:rFonts w:hint="eastAsia" w:ascii="宋体" w:hAnsi="宋体"/>
          <w:b/>
          <w:color w:val="000000"/>
          <w:sz w:val="24"/>
        </w:rPr>
        <w:t>2.3.3.2水资源消耗对比分析</w:t>
      </w:r>
    </w:p>
    <w:p>
      <w:pPr>
        <w:spacing w:line="360" w:lineRule="auto"/>
        <w:ind w:firstLine="480" w:firstLineChars="200"/>
        <w:rPr>
          <w:rFonts w:hint="eastAsia" w:ascii="宋体" w:hAnsi="宋体"/>
          <w:color w:val="000000"/>
          <w:sz w:val="24"/>
        </w:rPr>
      </w:pPr>
      <w:r>
        <w:rPr>
          <w:rFonts w:hint="eastAsia" w:hAnsi="宋体"/>
          <w:color w:val="000000"/>
          <w:sz w:val="24"/>
          <w:szCs w:val="24"/>
        </w:rPr>
        <w:t>水源来深井水，水直接输入高位水池，再供至车间各用水点。选矿厂生产用水主要来源于循环用水，选矿废渣经陶瓷过滤机脱水后，实现渣水分离，水打至沉清池进行循环利用，损耗部分用鲜水补充</w:t>
      </w:r>
      <w:r>
        <w:rPr>
          <w:rFonts w:hint="eastAsia" w:ascii="宋体" w:hAnsi="宋体"/>
          <w:color w:val="000000"/>
          <w:sz w:val="24"/>
        </w:rPr>
        <w:t>。近三年消耗情况见表2-17.</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widowControl/>
        <w:shd w:val="clear" w:color="auto" w:fill="FFFFFF"/>
        <w:spacing w:line="360" w:lineRule="auto"/>
        <w:jc w:val="center"/>
        <w:rPr>
          <w:rFonts w:hint="eastAsia" w:ascii="宋体" w:hAnsi="宋体" w:cs="宋体"/>
          <w:color w:val="000000"/>
          <w:sz w:val="24"/>
          <w:szCs w:val="24"/>
        </w:rPr>
      </w:pPr>
      <w:r>
        <w:rPr>
          <w:rFonts w:hint="eastAsia" w:ascii="宋体" w:hAnsi="宋体" w:cs="宋体"/>
          <w:b/>
          <w:color w:val="000000"/>
          <w:kern w:val="0"/>
          <w:sz w:val="24"/>
          <w:szCs w:val="24"/>
          <w:shd w:val="clear" w:color="auto" w:fill="FFFFFF"/>
        </w:rPr>
        <w:t>表2-17      水源耗用情况表</w:t>
      </w:r>
    </w:p>
    <w:tbl>
      <w:tblPr>
        <w:tblStyle w:val="35"/>
        <w:tblW w:w="0" w:type="auto"/>
        <w:tblInd w:w="108" w:type="dxa"/>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1440"/>
        <w:gridCol w:w="2600"/>
        <w:gridCol w:w="1788"/>
        <w:gridCol w:w="1705"/>
        <w:gridCol w:w="1833"/>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wBefore w:w="0" w:type="dxa"/>
          <w:wAfter w:w="0" w:type="dxa"/>
          <w:trHeight w:val="370" w:hRule="atLeast"/>
        </w:trPr>
        <w:tc>
          <w:tcPr>
            <w:tcW w:w="4040" w:type="dxa"/>
            <w:gridSpan w:val="2"/>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消耗类型</w:t>
            </w:r>
          </w:p>
        </w:tc>
        <w:tc>
          <w:tcPr>
            <w:tcW w:w="178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2016年</w:t>
            </w:r>
          </w:p>
        </w:tc>
        <w:tc>
          <w:tcPr>
            <w:tcW w:w="170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2017年</w:t>
            </w:r>
          </w:p>
        </w:tc>
        <w:tc>
          <w:tcPr>
            <w:tcW w:w="1833"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ascii="宋体" w:hAnsi="宋体" w:cs="宋体"/>
                <w:color w:val="000000"/>
                <w:kern w:val="0"/>
                <w:szCs w:val="21"/>
              </w:rPr>
              <w:t>2018年</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332" w:hRule="atLeast"/>
        </w:trPr>
        <w:tc>
          <w:tcPr>
            <w:tcW w:w="1440" w:type="dxa"/>
            <w:vMerge w:val="restart"/>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ascii="宋体" w:hAnsi="宋体" w:cs="宋体"/>
                <w:color w:val="000000"/>
                <w:kern w:val="0"/>
                <w:szCs w:val="21"/>
              </w:rPr>
            </w:pPr>
            <w:r>
              <w:rPr>
                <w:rFonts w:hint="eastAsia" w:ascii="宋体" w:hAnsi="宋体" w:cs="宋体"/>
                <w:color w:val="000000"/>
                <w:kern w:val="0"/>
                <w:szCs w:val="21"/>
              </w:rPr>
              <w:t>水耗</w:t>
            </w:r>
          </w:p>
          <w:p>
            <w:pPr>
              <w:widowControl/>
              <w:spacing w:before="100" w:beforeAutospacing="1" w:after="100" w:afterAutospacing="1"/>
              <w:jc w:val="center"/>
              <w:rPr>
                <w:color w:val="000000"/>
                <w:szCs w:val="21"/>
              </w:rPr>
            </w:pPr>
            <w:r>
              <w:rPr>
                <w:rFonts w:hint="eastAsia" w:ascii="宋体" w:hAnsi="宋体" w:cs="宋体"/>
                <w:color w:val="000000"/>
                <w:kern w:val="0"/>
                <w:szCs w:val="21"/>
              </w:rPr>
              <w:t>（吨）</w:t>
            </w:r>
          </w:p>
        </w:tc>
        <w:tc>
          <w:tcPr>
            <w:tcW w:w="2600"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ascii="Verdana" w:hAnsi="Verdana"/>
                <w:color w:val="000000"/>
                <w:szCs w:val="21"/>
              </w:rPr>
            </w:pPr>
            <w:r>
              <w:rPr>
                <w:rFonts w:ascii="Verdana" w:hAnsi="宋体" w:cs="宋体"/>
                <w:color w:val="000000"/>
                <w:kern w:val="0"/>
                <w:szCs w:val="21"/>
              </w:rPr>
              <w:t>选矿生产用水</w:t>
            </w:r>
            <w:r>
              <w:rPr>
                <w:rFonts w:ascii="Verdana" w:hAnsi="Verdana" w:cs="宋体"/>
                <w:color w:val="000000"/>
                <w:kern w:val="0"/>
                <w:szCs w:val="21"/>
              </w:rPr>
              <w:t>(</w:t>
            </w:r>
            <w:r>
              <w:rPr>
                <w:rFonts w:ascii="Verdana" w:hAnsi="Verdana"/>
                <w:color w:val="000000"/>
                <w:szCs w:val="21"/>
              </w:rPr>
              <w:t>m</w:t>
            </w:r>
            <w:r>
              <w:rPr>
                <w:rFonts w:ascii="Verdana" w:hAnsi="Verdana"/>
                <w:color w:val="000000"/>
                <w:szCs w:val="21"/>
                <w:vertAlign w:val="superscript"/>
              </w:rPr>
              <w:t>3</w:t>
            </w:r>
            <w:r>
              <w:rPr>
                <w:rFonts w:ascii="Verdana" w:hAnsi="Verdana"/>
                <w:color w:val="000000"/>
                <w:szCs w:val="21"/>
              </w:rPr>
              <w:t>)</w:t>
            </w:r>
          </w:p>
        </w:tc>
        <w:tc>
          <w:tcPr>
            <w:tcW w:w="178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highlight w:val="green"/>
              </w:rPr>
            </w:pPr>
            <w:r>
              <w:rPr>
                <w:rFonts w:hint="eastAsia"/>
                <w:color w:val="000000"/>
                <w:szCs w:val="21"/>
              </w:rPr>
              <w:t>84397</w:t>
            </w:r>
          </w:p>
        </w:tc>
        <w:tc>
          <w:tcPr>
            <w:tcW w:w="170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rFonts w:hint="eastAsia"/>
                <w:color w:val="000000"/>
                <w:szCs w:val="21"/>
              </w:rPr>
              <w:t>110443</w:t>
            </w:r>
          </w:p>
        </w:tc>
        <w:tc>
          <w:tcPr>
            <w:tcW w:w="1833"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rPr>
            </w:pPr>
            <w:r>
              <w:rPr>
                <w:rFonts w:hint="eastAsia" w:ascii="宋体" w:hAnsi="宋体" w:cs="宋体"/>
                <w:color w:val="000000"/>
                <w:kern w:val="0"/>
                <w:szCs w:val="21"/>
              </w:rPr>
              <w:t>79312</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310" w:hRule="atLeast"/>
        </w:trPr>
        <w:tc>
          <w:tcPr>
            <w:tcW w:w="1440" w:type="dxa"/>
            <w:vMerge w:val="continue"/>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rPr>
                <w:rFonts w:hint="eastAsia" w:ascii="宋体" w:hAnsi="宋体" w:cs="宋体"/>
                <w:color w:val="000000"/>
                <w:szCs w:val="21"/>
              </w:rPr>
            </w:pPr>
          </w:p>
        </w:tc>
        <w:tc>
          <w:tcPr>
            <w:tcW w:w="2600"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ascii="Verdana" w:hAnsi="Verdana"/>
                <w:color w:val="000000"/>
                <w:szCs w:val="21"/>
              </w:rPr>
            </w:pPr>
            <w:r>
              <w:rPr>
                <w:rFonts w:ascii="Verdana"/>
                <w:color w:val="000000"/>
                <w:szCs w:val="21"/>
              </w:rPr>
              <w:t>原矿产量（</w:t>
            </w:r>
            <w:r>
              <w:rPr>
                <w:rFonts w:ascii="Verdana" w:hAnsi="Verdana"/>
                <w:color w:val="000000"/>
                <w:szCs w:val="21"/>
              </w:rPr>
              <w:t>t</w:t>
            </w:r>
            <w:r>
              <w:rPr>
                <w:rFonts w:ascii="Verdana"/>
                <w:color w:val="000000"/>
                <w:szCs w:val="21"/>
              </w:rPr>
              <w:t>）</w:t>
            </w:r>
          </w:p>
        </w:tc>
        <w:tc>
          <w:tcPr>
            <w:tcW w:w="178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54450</w:t>
            </w:r>
          </w:p>
        </w:tc>
        <w:tc>
          <w:tcPr>
            <w:tcW w:w="170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72660</w:t>
            </w:r>
          </w:p>
        </w:tc>
        <w:tc>
          <w:tcPr>
            <w:tcW w:w="1833"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color w:val="000000"/>
                <w:szCs w:val="21"/>
              </w:rPr>
            </w:pPr>
            <w:r>
              <w:rPr>
                <w:color w:val="000000"/>
                <w:szCs w:val="21"/>
              </w:rPr>
              <w:t>53230</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wBefore w:w="0" w:type="dxa"/>
          <w:wAfter w:w="0" w:type="dxa"/>
          <w:trHeight w:val="324" w:hRule="atLeast"/>
        </w:trPr>
        <w:tc>
          <w:tcPr>
            <w:tcW w:w="1440" w:type="dxa"/>
            <w:vMerge w:val="continue"/>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rPr>
                <w:rFonts w:hint="eastAsia" w:ascii="宋体" w:hAnsi="宋体" w:cs="宋体"/>
                <w:color w:val="000000"/>
                <w:szCs w:val="21"/>
              </w:rPr>
            </w:pPr>
          </w:p>
        </w:tc>
        <w:tc>
          <w:tcPr>
            <w:tcW w:w="2600"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ascii="Verdana" w:hAnsi="Verdana"/>
                <w:color w:val="000000"/>
                <w:szCs w:val="21"/>
              </w:rPr>
            </w:pPr>
            <w:r>
              <w:rPr>
                <w:rFonts w:ascii="Verdana" w:hAnsi="宋体" w:cs="宋体"/>
                <w:color w:val="000000"/>
                <w:szCs w:val="21"/>
              </w:rPr>
              <w:t>※</w:t>
            </w:r>
            <w:r>
              <w:rPr>
                <w:rFonts w:ascii="Verdana"/>
                <w:color w:val="000000"/>
                <w:szCs w:val="21"/>
              </w:rPr>
              <w:t>新水用量</w:t>
            </w:r>
            <w:r>
              <w:rPr>
                <w:rFonts w:ascii="Verdana" w:hAnsi="Verdana"/>
                <w:color w:val="000000"/>
                <w:szCs w:val="21"/>
              </w:rPr>
              <w:t>(m</w:t>
            </w:r>
            <w:r>
              <w:rPr>
                <w:rFonts w:ascii="Verdana" w:hAnsi="Verdana"/>
                <w:color w:val="000000"/>
                <w:szCs w:val="21"/>
                <w:vertAlign w:val="superscript"/>
              </w:rPr>
              <w:t>3</w:t>
            </w:r>
            <w:r>
              <w:rPr>
                <w:rFonts w:ascii="Verdana" w:hAnsi="Verdana"/>
                <w:color w:val="000000"/>
                <w:szCs w:val="21"/>
              </w:rPr>
              <w:t>/t)</w:t>
            </w:r>
          </w:p>
        </w:tc>
        <w:tc>
          <w:tcPr>
            <w:tcW w:w="1788"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rPr>
            </w:pPr>
            <w:r>
              <w:rPr>
                <w:rFonts w:hint="eastAsia"/>
                <w:color w:val="000000"/>
                <w:szCs w:val="21"/>
              </w:rPr>
              <w:t>1.55</w:t>
            </w:r>
          </w:p>
        </w:tc>
        <w:tc>
          <w:tcPr>
            <w:tcW w:w="1705"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rPr>
            </w:pPr>
            <w:r>
              <w:rPr>
                <w:rFonts w:hint="eastAsia"/>
                <w:color w:val="000000"/>
                <w:szCs w:val="21"/>
              </w:rPr>
              <w:t>1.52</w:t>
            </w:r>
          </w:p>
        </w:tc>
        <w:tc>
          <w:tcPr>
            <w:tcW w:w="1833" w:type="dxa"/>
            <w:tcBorders>
              <w:top w:val="single" w:color="auto" w:sz="8" w:space="0"/>
              <w:left w:val="single" w:color="auto" w:sz="8" w:space="0"/>
              <w:bottom w:val="single" w:color="auto" w:sz="8" w:space="0"/>
              <w:right w:val="single" w:color="auto" w:sz="8" w:space="0"/>
            </w:tcBorders>
            <w:shd w:val="clear" w:color="auto" w:fill="FFFFFF"/>
            <w:noWrap w:val="0"/>
            <w:tcMar>
              <w:left w:w="108" w:type="dxa"/>
              <w:right w:w="108" w:type="dxa"/>
            </w:tcMar>
            <w:vAlign w:val="center"/>
          </w:tcPr>
          <w:p>
            <w:pPr>
              <w:widowControl/>
              <w:spacing w:before="100" w:beforeAutospacing="1" w:after="100" w:afterAutospacing="1"/>
              <w:jc w:val="center"/>
              <w:rPr>
                <w:rFonts w:hint="eastAsia"/>
                <w:color w:val="000000"/>
                <w:szCs w:val="21"/>
              </w:rPr>
            </w:pPr>
            <w:r>
              <w:rPr>
                <w:rFonts w:hint="eastAsia"/>
                <w:color w:val="000000"/>
                <w:szCs w:val="21"/>
              </w:rPr>
              <w:t>1.49</w:t>
            </w:r>
          </w:p>
        </w:tc>
      </w:tr>
    </w:tbl>
    <w:p>
      <w:pPr>
        <w:tabs>
          <w:tab w:val="left" w:pos="2265"/>
        </w:tabs>
        <w:spacing w:before="120" w:beforeLines="50" w:line="360" w:lineRule="auto"/>
        <w:ind w:firstLine="480" w:firstLineChars="200"/>
        <w:rPr>
          <w:rFonts w:hint="eastAsia" w:ascii="宋体" w:hAnsi="宋体"/>
          <w:color w:val="000000"/>
          <w:sz w:val="24"/>
          <w:szCs w:val="24"/>
        </w:rPr>
      </w:pPr>
      <w:r>
        <w:rPr>
          <w:rFonts w:hint="eastAsia" w:ascii="宋体" w:hAnsi="宋体"/>
          <w:color w:val="000000"/>
          <w:sz w:val="24"/>
          <w:szCs w:val="24"/>
        </w:rPr>
        <w:t>根据</w:t>
      </w:r>
      <w:r>
        <w:rPr>
          <w:rFonts w:ascii="宋体" w:hAnsi="宋体"/>
          <w:color w:val="000000"/>
          <w:sz w:val="24"/>
          <w:szCs w:val="24"/>
        </w:rPr>
        <w:t>国家发展和改革委员会、环境保护部、工业和信息化部颁布的《</w:t>
      </w:r>
      <w:r>
        <w:rPr>
          <w:rFonts w:hint="eastAsia"/>
          <w:color w:val="000000"/>
          <w:sz w:val="24"/>
          <w:szCs w:val="24"/>
        </w:rPr>
        <w:t>铅锌选矿行业清洁生产评价指标体系</w:t>
      </w:r>
      <w:r>
        <w:rPr>
          <w:rFonts w:ascii="宋体" w:hAnsi="宋体"/>
          <w:color w:val="000000"/>
          <w:sz w:val="24"/>
          <w:szCs w:val="24"/>
        </w:rPr>
        <w:t>》进行对比，</w:t>
      </w:r>
      <w:r>
        <w:rPr>
          <w:rFonts w:hint="eastAsia" w:ascii="宋体" w:hAnsi="宋体"/>
          <w:color w:val="000000"/>
          <w:sz w:val="24"/>
          <w:szCs w:val="24"/>
        </w:rPr>
        <w:t>选矿厂2018年新水用量达到国家清洁生产三标准。</w:t>
      </w:r>
    </w:p>
    <w:bookmarkEnd w:id="146"/>
    <w:p>
      <w:pPr>
        <w:pStyle w:val="4"/>
        <w:rPr>
          <w:rFonts w:hint="eastAsia"/>
          <w:color w:val="000000"/>
        </w:rPr>
      </w:pPr>
      <w:bookmarkStart w:id="156" w:name="_Toc23000870"/>
      <w:bookmarkStart w:id="157" w:name="_Toc422252473"/>
      <w:bookmarkStart w:id="158" w:name="_Toc404988084"/>
      <w:bookmarkStart w:id="159" w:name="_Toc404795009"/>
      <w:bookmarkStart w:id="160" w:name="_Toc367782200"/>
      <w:r>
        <w:rPr>
          <w:rFonts w:hint="eastAsia"/>
          <w:color w:val="000000"/>
        </w:rPr>
        <w:t>2.4企业环境保护状况</w:t>
      </w:r>
      <w:bookmarkEnd w:id="156"/>
      <w:bookmarkEnd w:id="157"/>
      <w:bookmarkEnd w:id="158"/>
      <w:bookmarkEnd w:id="159"/>
      <w:bookmarkEnd w:id="160"/>
    </w:p>
    <w:p>
      <w:pPr>
        <w:pStyle w:val="5"/>
        <w:rPr>
          <w:rFonts w:hint="eastAsia"/>
          <w:color w:val="000000"/>
        </w:rPr>
      </w:pPr>
      <w:bookmarkStart w:id="161" w:name="_Toc23000871"/>
      <w:bookmarkStart w:id="162" w:name="_Toc422252474"/>
      <w:r>
        <w:rPr>
          <w:rFonts w:hint="eastAsia"/>
          <w:color w:val="000000"/>
        </w:rPr>
        <w:t>2.4.1建设项目产业政策符合性</w:t>
      </w:r>
      <w:bookmarkEnd w:id="161"/>
      <w:bookmarkEnd w:id="162"/>
    </w:p>
    <w:p>
      <w:pPr>
        <w:shd w:val="clear" w:color="auto" w:fill="FFFFFF"/>
        <w:spacing w:line="360" w:lineRule="auto"/>
        <w:ind w:firstLine="472" w:firstLineChars="196"/>
        <w:rPr>
          <w:rFonts w:hint="eastAsia" w:ascii="宋体" w:hAnsi="宋体"/>
          <w:b/>
          <w:color w:val="000000"/>
          <w:sz w:val="24"/>
          <w:szCs w:val="24"/>
        </w:rPr>
      </w:pPr>
      <w:r>
        <w:rPr>
          <w:rFonts w:hint="eastAsia" w:ascii="宋体" w:hAnsi="宋体"/>
          <w:b/>
          <w:color w:val="000000"/>
          <w:sz w:val="24"/>
          <w:szCs w:val="24"/>
        </w:rPr>
        <w:t>2.4.1.1产业政策</w:t>
      </w:r>
    </w:p>
    <w:p>
      <w:pPr>
        <w:spacing w:line="360" w:lineRule="auto"/>
        <w:ind w:firstLine="480" w:firstLineChars="200"/>
        <w:rPr>
          <w:color w:val="000000"/>
          <w:sz w:val="24"/>
          <w:szCs w:val="24"/>
        </w:rPr>
      </w:pPr>
      <w:r>
        <w:rPr>
          <w:rFonts w:hint="eastAsia"/>
          <w:color w:val="000000"/>
          <w:sz w:val="24"/>
          <w:szCs w:val="24"/>
        </w:rPr>
        <w:t>企业使用</w:t>
      </w:r>
      <w:r>
        <w:rPr>
          <w:rFonts w:hint="eastAsia"/>
          <w:color w:val="000000"/>
          <w:sz w:val="24"/>
          <w:szCs w:val="24"/>
          <w:shd w:val="clear" w:color="auto" w:fill="FFFFFF"/>
        </w:rPr>
        <w:t>铅锌原矿为原料、采用浮选工艺生产</w:t>
      </w:r>
      <w:r>
        <w:rPr>
          <w:rFonts w:hint="eastAsia" w:ascii="宋体" w:hAnsi="宋体"/>
          <w:color w:val="000000"/>
          <w:sz w:val="24"/>
          <w:szCs w:val="24"/>
        </w:rPr>
        <w:t>铅精矿</w:t>
      </w:r>
      <w:r>
        <w:rPr>
          <w:rFonts w:hint="eastAsia"/>
          <w:color w:val="000000"/>
          <w:sz w:val="24"/>
          <w:szCs w:val="24"/>
        </w:rPr>
        <w:t>、</w:t>
      </w:r>
      <w:r>
        <w:rPr>
          <w:rFonts w:hint="eastAsia" w:ascii="宋体" w:hAnsi="宋体"/>
          <w:color w:val="000000"/>
          <w:sz w:val="24"/>
          <w:szCs w:val="24"/>
        </w:rPr>
        <w:t>硫化锌</w:t>
      </w:r>
      <w:r>
        <w:rPr>
          <w:rFonts w:hint="eastAsia"/>
          <w:color w:val="000000"/>
          <w:sz w:val="24"/>
          <w:szCs w:val="24"/>
        </w:rPr>
        <w:t>、</w:t>
      </w:r>
      <w:r>
        <w:rPr>
          <w:rFonts w:hint="eastAsia" w:ascii="宋体" w:hAnsi="宋体"/>
          <w:color w:val="000000"/>
          <w:sz w:val="24"/>
          <w:szCs w:val="24"/>
        </w:rPr>
        <w:t>氧化锌</w:t>
      </w:r>
      <w:r>
        <w:rPr>
          <w:rFonts w:hint="eastAsia"/>
          <w:color w:val="000000"/>
          <w:sz w:val="24"/>
          <w:szCs w:val="24"/>
        </w:rPr>
        <w:t>，</w:t>
      </w:r>
      <w:r>
        <w:rPr>
          <w:color w:val="000000"/>
          <w:sz w:val="24"/>
          <w:szCs w:val="24"/>
        </w:rPr>
        <w:t>配套有相应的废水</w:t>
      </w:r>
      <w:r>
        <w:rPr>
          <w:rFonts w:hint="eastAsia"/>
          <w:color w:val="000000"/>
          <w:sz w:val="24"/>
          <w:szCs w:val="24"/>
        </w:rPr>
        <w:t>、废渣</w:t>
      </w:r>
      <w:r>
        <w:rPr>
          <w:color w:val="000000"/>
          <w:sz w:val="24"/>
          <w:szCs w:val="24"/>
        </w:rPr>
        <w:t>处理设施，各项废弃物综合利用或达标排放，对照《产业结构调整指导目录（2011本）》国家发改委2011第9号，（2013年修订），</w:t>
      </w:r>
      <w:r>
        <w:rPr>
          <w:bCs/>
          <w:color w:val="000000"/>
          <w:sz w:val="24"/>
          <w:szCs w:val="24"/>
        </w:rPr>
        <w:t>铅锌矿洗选不属于限制和淘汰类，属于允许类项目，符合国家的产业政策</w:t>
      </w:r>
      <w:r>
        <w:rPr>
          <w:color w:val="000000"/>
          <w:sz w:val="24"/>
          <w:szCs w:val="24"/>
        </w:rPr>
        <w:t>。</w:t>
      </w:r>
    </w:p>
    <w:p>
      <w:pPr>
        <w:shd w:val="clear" w:color="auto" w:fill="FFFFFF"/>
        <w:spacing w:line="360" w:lineRule="auto"/>
        <w:ind w:firstLine="472" w:firstLineChars="196"/>
        <w:rPr>
          <w:rFonts w:hint="eastAsia" w:ascii="宋体" w:hAnsi="宋体"/>
          <w:b/>
          <w:color w:val="000000"/>
          <w:sz w:val="24"/>
          <w:szCs w:val="24"/>
        </w:rPr>
      </w:pPr>
      <w:bookmarkStart w:id="163" w:name="_Toc428180733"/>
      <w:r>
        <w:rPr>
          <w:rFonts w:hint="eastAsia" w:ascii="宋体" w:hAnsi="宋体"/>
          <w:b/>
          <w:color w:val="000000"/>
          <w:sz w:val="24"/>
          <w:szCs w:val="24"/>
        </w:rPr>
        <w:t>2.4.1.2行业准入条件</w:t>
      </w:r>
    </w:p>
    <w:p>
      <w:pPr>
        <w:spacing w:before="120" w:beforeLines="50" w:after="120" w:afterLines="50" w:line="360" w:lineRule="auto"/>
        <w:ind w:firstLine="480" w:firstLineChars="200"/>
        <w:rPr>
          <w:color w:val="000000"/>
          <w:sz w:val="24"/>
          <w:szCs w:val="24"/>
        </w:rPr>
      </w:pPr>
      <w:r>
        <w:rPr>
          <w:color w:val="000000"/>
          <w:sz w:val="24"/>
          <w:szCs w:val="24"/>
        </w:rPr>
        <w:t>项目与《铅锌行业准入条件》符合性分析见表</w:t>
      </w:r>
      <w:r>
        <w:rPr>
          <w:rFonts w:hint="eastAsia"/>
          <w:color w:val="000000"/>
          <w:sz w:val="24"/>
          <w:szCs w:val="24"/>
        </w:rPr>
        <w:t>2</w:t>
      </w:r>
      <w:r>
        <w:rPr>
          <w:color w:val="000000"/>
          <w:sz w:val="24"/>
          <w:szCs w:val="24"/>
        </w:rPr>
        <w:t>—</w:t>
      </w:r>
      <w:r>
        <w:rPr>
          <w:rFonts w:hint="eastAsia"/>
          <w:color w:val="000000"/>
          <w:sz w:val="24"/>
          <w:szCs w:val="24"/>
        </w:rPr>
        <w:t>18</w:t>
      </w:r>
      <w:r>
        <w:rPr>
          <w:color w:val="000000"/>
          <w:sz w:val="24"/>
          <w:szCs w:val="24"/>
        </w:rPr>
        <w:t>。</w:t>
      </w:r>
    </w:p>
    <w:p>
      <w:pPr>
        <w:spacing w:line="320" w:lineRule="exact"/>
        <w:jc w:val="center"/>
        <w:rPr>
          <w:rFonts w:ascii="宋体" w:hAnsi="宋体"/>
          <w:color w:val="000000"/>
          <w:sz w:val="24"/>
          <w:szCs w:val="24"/>
        </w:rPr>
      </w:pPr>
      <w:r>
        <w:rPr>
          <w:rFonts w:ascii="宋体" w:hAnsi="宋体"/>
          <w:b/>
          <w:color w:val="000000"/>
          <w:sz w:val="24"/>
          <w:szCs w:val="24"/>
        </w:rPr>
        <w:t>表</w:t>
      </w:r>
      <w:r>
        <w:rPr>
          <w:rFonts w:hint="eastAsia" w:ascii="宋体" w:hAnsi="宋体"/>
          <w:b/>
          <w:color w:val="000000"/>
          <w:sz w:val="24"/>
          <w:szCs w:val="24"/>
        </w:rPr>
        <w:t>2－18</w:t>
      </w:r>
      <w:r>
        <w:rPr>
          <w:rFonts w:ascii="宋体" w:hAnsi="宋体"/>
          <w:b/>
          <w:color w:val="000000"/>
          <w:sz w:val="24"/>
          <w:szCs w:val="24"/>
        </w:rPr>
        <w:t xml:space="preserve"> 与《铅锌行业准入条件》符合性分析表</w:t>
      </w:r>
    </w:p>
    <w:tbl>
      <w:tblPr>
        <w:tblStyle w:val="35"/>
        <w:tblW w:w="0" w:type="auto"/>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1446"/>
        <w:gridCol w:w="4787"/>
        <w:gridCol w:w="1980"/>
        <w:gridCol w:w="1006"/>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85" w:hRule="atLeast"/>
          <w:tblHeader/>
          <w:jc w:val="center"/>
        </w:trPr>
        <w:tc>
          <w:tcPr>
            <w:tcW w:w="1446" w:type="dxa"/>
            <w:noWrap w:val="0"/>
            <w:vAlign w:val="center"/>
          </w:tcPr>
          <w:p>
            <w:pPr>
              <w:spacing w:line="320" w:lineRule="exact"/>
              <w:jc w:val="center"/>
              <w:rPr>
                <w:color w:val="000000"/>
                <w:szCs w:val="21"/>
              </w:rPr>
            </w:pPr>
          </w:p>
        </w:tc>
        <w:tc>
          <w:tcPr>
            <w:tcW w:w="4787" w:type="dxa"/>
            <w:noWrap w:val="0"/>
            <w:vAlign w:val="top"/>
          </w:tcPr>
          <w:p>
            <w:pPr>
              <w:spacing w:line="320" w:lineRule="exact"/>
              <w:jc w:val="center"/>
              <w:rPr>
                <w:color w:val="000000"/>
                <w:szCs w:val="21"/>
              </w:rPr>
            </w:pPr>
            <w:r>
              <w:rPr>
                <w:color w:val="000000"/>
                <w:szCs w:val="21"/>
              </w:rPr>
              <w:t>铅锌行业准入条件</w:t>
            </w:r>
          </w:p>
        </w:tc>
        <w:tc>
          <w:tcPr>
            <w:tcW w:w="1980" w:type="dxa"/>
            <w:noWrap w:val="0"/>
            <w:vAlign w:val="top"/>
          </w:tcPr>
          <w:p>
            <w:pPr>
              <w:spacing w:line="320" w:lineRule="exact"/>
              <w:jc w:val="center"/>
              <w:rPr>
                <w:color w:val="000000"/>
                <w:szCs w:val="21"/>
              </w:rPr>
            </w:pPr>
            <w:r>
              <w:rPr>
                <w:color w:val="000000"/>
                <w:szCs w:val="21"/>
              </w:rPr>
              <w:t>本项目实际情况</w:t>
            </w:r>
          </w:p>
        </w:tc>
        <w:tc>
          <w:tcPr>
            <w:tcW w:w="1006" w:type="dxa"/>
            <w:noWrap w:val="0"/>
            <w:vAlign w:val="top"/>
          </w:tcPr>
          <w:p>
            <w:pPr>
              <w:spacing w:line="320" w:lineRule="exact"/>
              <w:jc w:val="center"/>
              <w:rPr>
                <w:color w:val="000000"/>
                <w:szCs w:val="21"/>
              </w:rPr>
            </w:pPr>
            <w:r>
              <w:rPr>
                <w:color w:val="000000"/>
                <w:szCs w:val="21"/>
              </w:rPr>
              <w:t>符合性</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210" w:hRule="atLeast"/>
          <w:jc w:val="center"/>
        </w:trPr>
        <w:tc>
          <w:tcPr>
            <w:tcW w:w="1446" w:type="dxa"/>
            <w:noWrap w:val="0"/>
            <w:vAlign w:val="center"/>
          </w:tcPr>
          <w:p>
            <w:pPr>
              <w:spacing w:line="320" w:lineRule="exact"/>
              <w:jc w:val="center"/>
              <w:rPr>
                <w:color w:val="000000"/>
                <w:szCs w:val="21"/>
              </w:rPr>
            </w:pPr>
            <w:r>
              <w:rPr>
                <w:color w:val="000000"/>
                <w:szCs w:val="21"/>
              </w:rPr>
              <w:t>1、企业布局及规模和外部条件要求</w:t>
            </w:r>
          </w:p>
        </w:tc>
        <w:tc>
          <w:tcPr>
            <w:tcW w:w="4787" w:type="dxa"/>
            <w:noWrap w:val="0"/>
            <w:vAlign w:val="center"/>
          </w:tcPr>
          <w:p>
            <w:pPr>
              <w:spacing w:line="320" w:lineRule="exact"/>
              <w:rPr>
                <w:color w:val="000000"/>
                <w:szCs w:val="21"/>
              </w:rPr>
            </w:pPr>
            <w:r>
              <w:rPr>
                <w:color w:val="000000"/>
                <w:kern w:val="0"/>
                <w:szCs w:val="21"/>
              </w:rPr>
              <w:t>采用浮选法选矿工艺的选矿企业处理矿量必须在1000吨/日以上。</w:t>
            </w:r>
          </w:p>
        </w:tc>
        <w:tc>
          <w:tcPr>
            <w:tcW w:w="1980" w:type="dxa"/>
            <w:noWrap w:val="0"/>
            <w:vAlign w:val="center"/>
          </w:tcPr>
          <w:p>
            <w:pPr>
              <w:spacing w:line="320" w:lineRule="exact"/>
              <w:rPr>
                <w:color w:val="000000"/>
                <w:szCs w:val="21"/>
              </w:rPr>
            </w:pPr>
            <w:r>
              <w:rPr>
                <w:color w:val="000000"/>
                <w:szCs w:val="21"/>
              </w:rPr>
              <w:t>处理矿量</w:t>
            </w:r>
            <w:r>
              <w:rPr>
                <w:rFonts w:hint="eastAsia"/>
                <w:color w:val="000000"/>
                <w:szCs w:val="21"/>
              </w:rPr>
              <w:t>4</w:t>
            </w:r>
            <w:r>
              <w:rPr>
                <w:color w:val="000000"/>
                <w:szCs w:val="21"/>
              </w:rPr>
              <w:t>00吨/日</w:t>
            </w:r>
          </w:p>
        </w:tc>
        <w:tc>
          <w:tcPr>
            <w:tcW w:w="1006" w:type="dxa"/>
            <w:noWrap w:val="0"/>
            <w:vAlign w:val="center"/>
          </w:tcPr>
          <w:p>
            <w:pPr>
              <w:spacing w:line="320" w:lineRule="exact"/>
              <w:jc w:val="center"/>
              <w:rPr>
                <w:color w:val="000000"/>
                <w:szCs w:val="21"/>
              </w:rPr>
            </w:pPr>
            <w:r>
              <w:rPr>
                <w:color w:val="000000"/>
                <w:szCs w:val="21"/>
              </w:rPr>
              <w:t>不符合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46" w:type="dxa"/>
            <w:noWrap w:val="0"/>
            <w:vAlign w:val="center"/>
          </w:tcPr>
          <w:p>
            <w:pPr>
              <w:spacing w:line="320" w:lineRule="exact"/>
              <w:jc w:val="center"/>
              <w:rPr>
                <w:color w:val="000000"/>
                <w:szCs w:val="21"/>
              </w:rPr>
            </w:pPr>
            <w:r>
              <w:rPr>
                <w:color w:val="000000"/>
                <w:szCs w:val="21"/>
              </w:rPr>
              <w:t>2、工艺和装备</w:t>
            </w:r>
          </w:p>
        </w:tc>
        <w:tc>
          <w:tcPr>
            <w:tcW w:w="4787" w:type="dxa"/>
            <w:noWrap w:val="0"/>
            <w:vAlign w:val="center"/>
          </w:tcPr>
          <w:p>
            <w:pPr>
              <w:spacing w:line="320" w:lineRule="exact"/>
              <w:rPr>
                <w:color w:val="000000"/>
                <w:szCs w:val="21"/>
              </w:rPr>
            </w:pPr>
            <w:r>
              <w:rPr>
                <w:bCs/>
                <w:color w:val="000000"/>
                <w:szCs w:val="21"/>
              </w:rPr>
              <w:t>选矿须采用浮选工艺</w:t>
            </w:r>
          </w:p>
        </w:tc>
        <w:tc>
          <w:tcPr>
            <w:tcW w:w="1980" w:type="dxa"/>
            <w:noWrap w:val="0"/>
            <w:vAlign w:val="center"/>
          </w:tcPr>
          <w:p>
            <w:pPr>
              <w:spacing w:line="320" w:lineRule="exact"/>
              <w:jc w:val="center"/>
              <w:rPr>
                <w:color w:val="000000"/>
                <w:szCs w:val="21"/>
              </w:rPr>
            </w:pPr>
            <w:r>
              <w:rPr>
                <w:color w:val="000000"/>
                <w:szCs w:val="21"/>
              </w:rPr>
              <w:t>采用浮选工艺</w:t>
            </w:r>
          </w:p>
        </w:tc>
        <w:tc>
          <w:tcPr>
            <w:tcW w:w="1006" w:type="dxa"/>
            <w:noWrap w:val="0"/>
            <w:vAlign w:val="center"/>
          </w:tcPr>
          <w:p>
            <w:pPr>
              <w:spacing w:line="320" w:lineRule="exact"/>
              <w:jc w:val="center"/>
              <w:rPr>
                <w:color w:val="000000"/>
                <w:szCs w:val="21"/>
              </w:rPr>
            </w:pPr>
            <w:r>
              <w:rPr>
                <w:color w:val="00000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46" w:type="dxa"/>
            <w:noWrap w:val="0"/>
            <w:vAlign w:val="center"/>
          </w:tcPr>
          <w:p>
            <w:pPr>
              <w:spacing w:line="320" w:lineRule="exact"/>
              <w:jc w:val="center"/>
              <w:rPr>
                <w:color w:val="000000"/>
                <w:szCs w:val="21"/>
              </w:rPr>
            </w:pPr>
            <w:r>
              <w:rPr>
                <w:color w:val="000000"/>
                <w:szCs w:val="21"/>
              </w:rPr>
              <w:t>3、能源消耗</w:t>
            </w:r>
          </w:p>
        </w:tc>
        <w:tc>
          <w:tcPr>
            <w:tcW w:w="4787" w:type="dxa"/>
            <w:noWrap w:val="0"/>
            <w:vAlign w:val="center"/>
          </w:tcPr>
          <w:p>
            <w:pPr>
              <w:spacing w:line="320" w:lineRule="exact"/>
              <w:rPr>
                <w:color w:val="000000"/>
                <w:szCs w:val="21"/>
              </w:rPr>
            </w:pPr>
            <w:r>
              <w:rPr>
                <w:color w:val="000000"/>
                <w:szCs w:val="21"/>
              </w:rPr>
              <w:t>铅锌选矿综合能耗要低于14千克标准煤/吨矿。</w:t>
            </w:r>
          </w:p>
        </w:tc>
        <w:tc>
          <w:tcPr>
            <w:tcW w:w="1980" w:type="dxa"/>
            <w:noWrap w:val="0"/>
            <w:vAlign w:val="center"/>
          </w:tcPr>
          <w:p>
            <w:pPr>
              <w:spacing w:line="320" w:lineRule="exact"/>
              <w:rPr>
                <w:rFonts w:hint="eastAsia"/>
                <w:color w:val="000000"/>
                <w:szCs w:val="21"/>
              </w:rPr>
            </w:pPr>
            <w:r>
              <w:rPr>
                <w:color w:val="000000"/>
                <w:szCs w:val="21"/>
              </w:rPr>
              <w:t>综合能耗</w:t>
            </w:r>
            <w:r>
              <w:rPr>
                <w:rFonts w:hint="eastAsia"/>
                <w:color w:val="000000"/>
                <w:szCs w:val="21"/>
              </w:rPr>
              <w:t>4.4</w:t>
            </w:r>
            <w:r>
              <w:rPr>
                <w:color w:val="000000"/>
                <w:szCs w:val="21"/>
              </w:rPr>
              <w:t xml:space="preserve"> kgce/t原矿</w:t>
            </w:r>
          </w:p>
        </w:tc>
        <w:tc>
          <w:tcPr>
            <w:tcW w:w="1006" w:type="dxa"/>
            <w:noWrap w:val="0"/>
            <w:vAlign w:val="center"/>
          </w:tcPr>
          <w:p>
            <w:pPr>
              <w:spacing w:line="320" w:lineRule="exact"/>
              <w:jc w:val="center"/>
              <w:rPr>
                <w:color w:val="000000"/>
                <w:szCs w:val="21"/>
              </w:rPr>
            </w:pPr>
            <w:r>
              <w:rPr>
                <w:color w:val="00000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jc w:val="center"/>
        </w:trPr>
        <w:tc>
          <w:tcPr>
            <w:tcW w:w="1446" w:type="dxa"/>
            <w:noWrap w:val="0"/>
            <w:vAlign w:val="center"/>
          </w:tcPr>
          <w:p>
            <w:pPr>
              <w:spacing w:line="320" w:lineRule="exact"/>
              <w:jc w:val="center"/>
              <w:rPr>
                <w:color w:val="000000"/>
                <w:szCs w:val="21"/>
              </w:rPr>
            </w:pPr>
            <w:r>
              <w:rPr>
                <w:color w:val="000000"/>
                <w:szCs w:val="21"/>
              </w:rPr>
              <w:t>4、资源综合利用</w:t>
            </w:r>
          </w:p>
        </w:tc>
        <w:tc>
          <w:tcPr>
            <w:tcW w:w="4787" w:type="dxa"/>
            <w:noWrap w:val="0"/>
            <w:vAlign w:val="center"/>
          </w:tcPr>
          <w:p>
            <w:pPr>
              <w:spacing w:line="320" w:lineRule="exact"/>
              <w:rPr>
                <w:color w:val="000000"/>
                <w:szCs w:val="21"/>
              </w:rPr>
            </w:pPr>
            <w:r>
              <w:rPr>
                <w:color w:val="000000"/>
                <w:szCs w:val="21"/>
              </w:rPr>
              <w:t>混合矿铅、锌金属回收率均在85%以上，平均每吨矿石耗用电量低于35千瓦时，耗用水量低于4吨/吨矿，废水循环利用率大于75%。</w:t>
            </w:r>
          </w:p>
        </w:tc>
        <w:tc>
          <w:tcPr>
            <w:tcW w:w="1980" w:type="dxa"/>
            <w:noWrap w:val="0"/>
            <w:vAlign w:val="center"/>
          </w:tcPr>
          <w:p>
            <w:pPr>
              <w:spacing w:line="320" w:lineRule="exact"/>
              <w:rPr>
                <w:color w:val="000000"/>
                <w:szCs w:val="21"/>
              </w:rPr>
            </w:pPr>
            <w:r>
              <w:rPr>
                <w:color w:val="000000"/>
                <w:szCs w:val="21"/>
              </w:rPr>
              <w:t>铅、锌金属回收率均为</w:t>
            </w:r>
            <w:r>
              <w:rPr>
                <w:rFonts w:hint="eastAsia"/>
                <w:color w:val="000000"/>
                <w:szCs w:val="21"/>
              </w:rPr>
              <w:t>85</w:t>
            </w:r>
            <w:r>
              <w:rPr>
                <w:color w:val="000000"/>
                <w:szCs w:val="21"/>
              </w:rPr>
              <w:t>%</w:t>
            </w:r>
            <w:r>
              <w:rPr>
                <w:rFonts w:hint="eastAsia"/>
                <w:color w:val="000000"/>
                <w:szCs w:val="21"/>
              </w:rPr>
              <w:t>以上</w:t>
            </w:r>
            <w:r>
              <w:rPr>
                <w:color w:val="000000"/>
                <w:szCs w:val="21"/>
              </w:rPr>
              <w:t>，平均每吨矿石耗用电量</w:t>
            </w:r>
            <w:r>
              <w:rPr>
                <w:rFonts w:hint="eastAsia"/>
                <w:color w:val="000000"/>
                <w:szCs w:val="21"/>
              </w:rPr>
              <w:t>33</w:t>
            </w:r>
            <w:r>
              <w:rPr>
                <w:color w:val="000000"/>
                <w:szCs w:val="21"/>
              </w:rPr>
              <w:t>千瓦时，耗用水量</w:t>
            </w:r>
            <w:r>
              <w:rPr>
                <w:rFonts w:hint="eastAsia"/>
                <w:color w:val="000000"/>
                <w:szCs w:val="21"/>
              </w:rPr>
              <w:t>1.5</w:t>
            </w:r>
            <w:r>
              <w:rPr>
                <w:color w:val="000000"/>
                <w:szCs w:val="21"/>
              </w:rPr>
              <w:t>吨/吨矿，废水循环利用率</w:t>
            </w:r>
            <w:r>
              <w:rPr>
                <w:rFonts w:hint="eastAsia"/>
                <w:color w:val="000000"/>
                <w:szCs w:val="21"/>
              </w:rPr>
              <w:t>82</w:t>
            </w:r>
            <w:r>
              <w:rPr>
                <w:color w:val="000000"/>
                <w:szCs w:val="21"/>
              </w:rPr>
              <w:t>%。</w:t>
            </w:r>
          </w:p>
        </w:tc>
        <w:tc>
          <w:tcPr>
            <w:tcW w:w="1006" w:type="dxa"/>
            <w:noWrap w:val="0"/>
            <w:vAlign w:val="center"/>
          </w:tcPr>
          <w:p>
            <w:pPr>
              <w:spacing w:line="320" w:lineRule="exact"/>
              <w:jc w:val="center"/>
              <w:rPr>
                <w:color w:val="000000"/>
                <w:szCs w:val="21"/>
              </w:rPr>
            </w:pPr>
            <w:r>
              <w:rPr>
                <w:color w:val="00000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488" w:hRule="atLeast"/>
          <w:jc w:val="center"/>
        </w:trPr>
        <w:tc>
          <w:tcPr>
            <w:tcW w:w="1446" w:type="dxa"/>
            <w:vMerge w:val="restart"/>
            <w:noWrap w:val="0"/>
            <w:vAlign w:val="center"/>
          </w:tcPr>
          <w:p>
            <w:pPr>
              <w:spacing w:line="320" w:lineRule="exact"/>
              <w:jc w:val="center"/>
              <w:rPr>
                <w:color w:val="000000"/>
                <w:szCs w:val="21"/>
              </w:rPr>
            </w:pPr>
            <w:r>
              <w:rPr>
                <w:color w:val="000000"/>
                <w:szCs w:val="21"/>
              </w:rPr>
              <w:t>5、环境保护</w:t>
            </w:r>
          </w:p>
        </w:tc>
        <w:tc>
          <w:tcPr>
            <w:tcW w:w="4787" w:type="dxa"/>
            <w:noWrap w:val="0"/>
            <w:vAlign w:val="center"/>
          </w:tcPr>
          <w:p>
            <w:pPr>
              <w:spacing w:line="320" w:lineRule="exact"/>
              <w:rPr>
                <w:color w:val="000000"/>
                <w:szCs w:val="21"/>
              </w:rPr>
            </w:pPr>
            <w:r>
              <w:rPr>
                <w:color w:val="000000"/>
                <w:szCs w:val="21"/>
              </w:rPr>
              <w:t>矿山采选污染物排放要符合国家《大气污染物综合排放标准》（GB16297-1996）、《污水综合排放标准》（GB8978-1996）、固体废物污染防治法律法规、危险废物处理处置的有关要求和有关地方标准的规定；</w:t>
            </w:r>
          </w:p>
        </w:tc>
        <w:tc>
          <w:tcPr>
            <w:tcW w:w="1980" w:type="dxa"/>
            <w:noWrap w:val="0"/>
            <w:vAlign w:val="center"/>
          </w:tcPr>
          <w:p>
            <w:pPr>
              <w:spacing w:line="320" w:lineRule="exact"/>
              <w:rPr>
                <w:color w:val="000000"/>
                <w:szCs w:val="21"/>
              </w:rPr>
            </w:pPr>
            <w:r>
              <w:rPr>
                <w:color w:val="000000"/>
                <w:szCs w:val="21"/>
              </w:rPr>
              <w:t>生产过程产生的粉尘能够达标排放，废水处理后循环使用不外排，固废处置符合相关要求。</w:t>
            </w:r>
          </w:p>
        </w:tc>
        <w:tc>
          <w:tcPr>
            <w:tcW w:w="1006" w:type="dxa"/>
            <w:noWrap w:val="0"/>
            <w:vAlign w:val="center"/>
          </w:tcPr>
          <w:p>
            <w:pPr>
              <w:spacing w:line="320" w:lineRule="exact"/>
              <w:jc w:val="center"/>
              <w:rPr>
                <w:color w:val="000000"/>
                <w:szCs w:val="21"/>
              </w:rPr>
            </w:pPr>
            <w:r>
              <w:rPr>
                <w:color w:val="00000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1215" w:hRule="atLeast"/>
          <w:jc w:val="center"/>
        </w:trPr>
        <w:tc>
          <w:tcPr>
            <w:tcW w:w="1446" w:type="dxa"/>
            <w:vMerge w:val="continue"/>
            <w:noWrap w:val="0"/>
            <w:vAlign w:val="center"/>
          </w:tcPr>
          <w:p>
            <w:pPr>
              <w:spacing w:line="320" w:lineRule="exact"/>
              <w:jc w:val="center"/>
              <w:rPr>
                <w:color w:val="000000"/>
                <w:szCs w:val="21"/>
              </w:rPr>
            </w:pPr>
          </w:p>
        </w:tc>
        <w:tc>
          <w:tcPr>
            <w:tcW w:w="4787" w:type="dxa"/>
            <w:noWrap w:val="0"/>
            <w:vAlign w:val="center"/>
          </w:tcPr>
          <w:p>
            <w:pPr>
              <w:spacing w:line="320" w:lineRule="exact"/>
              <w:rPr>
                <w:color w:val="000000"/>
                <w:szCs w:val="21"/>
              </w:rPr>
            </w:pPr>
            <w:r>
              <w:rPr>
                <w:color w:val="000000"/>
                <w:szCs w:val="21"/>
              </w:rPr>
              <w:t>根据《中华人民共和国环境保护法》等有关法律法规，所有新、改、扩建项目必须严格执行环境影响评价制度，持证排污（尚未实行排污许可证制度的地区除外），达标排放。</w:t>
            </w:r>
          </w:p>
        </w:tc>
        <w:tc>
          <w:tcPr>
            <w:tcW w:w="1980" w:type="dxa"/>
            <w:noWrap w:val="0"/>
            <w:vAlign w:val="center"/>
          </w:tcPr>
          <w:p>
            <w:pPr>
              <w:spacing w:line="320" w:lineRule="exact"/>
              <w:rPr>
                <w:color w:val="000000"/>
                <w:szCs w:val="21"/>
              </w:rPr>
            </w:pPr>
            <w:r>
              <w:rPr>
                <w:rFonts w:hint="eastAsia"/>
                <w:color w:val="000000"/>
                <w:szCs w:val="21"/>
              </w:rPr>
              <w:t>进行环境影响评价</w:t>
            </w:r>
            <w:r>
              <w:rPr>
                <w:color w:val="000000"/>
                <w:szCs w:val="21"/>
              </w:rPr>
              <w:t>，</w:t>
            </w:r>
            <w:r>
              <w:rPr>
                <w:rFonts w:hint="eastAsia"/>
                <w:color w:val="000000"/>
                <w:szCs w:val="21"/>
              </w:rPr>
              <w:t>排污许可证由总公司办理</w:t>
            </w:r>
            <w:r>
              <w:rPr>
                <w:color w:val="000000"/>
                <w:szCs w:val="21"/>
              </w:rPr>
              <w:t>。</w:t>
            </w:r>
          </w:p>
        </w:tc>
        <w:tc>
          <w:tcPr>
            <w:tcW w:w="1006" w:type="dxa"/>
            <w:noWrap w:val="0"/>
            <w:vAlign w:val="center"/>
          </w:tcPr>
          <w:p>
            <w:pPr>
              <w:spacing w:line="320" w:lineRule="exact"/>
              <w:jc w:val="center"/>
              <w:rPr>
                <w:color w:val="000000"/>
                <w:szCs w:val="21"/>
              </w:rPr>
            </w:pPr>
            <w:r>
              <w:rPr>
                <w:color w:val="00000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317" w:hRule="atLeast"/>
          <w:jc w:val="center"/>
        </w:trPr>
        <w:tc>
          <w:tcPr>
            <w:tcW w:w="1446" w:type="dxa"/>
            <w:vMerge w:val="continue"/>
            <w:noWrap w:val="0"/>
            <w:vAlign w:val="center"/>
          </w:tcPr>
          <w:p>
            <w:pPr>
              <w:spacing w:line="320" w:lineRule="exact"/>
              <w:jc w:val="center"/>
              <w:rPr>
                <w:color w:val="000000"/>
                <w:szCs w:val="21"/>
              </w:rPr>
            </w:pPr>
          </w:p>
        </w:tc>
        <w:tc>
          <w:tcPr>
            <w:tcW w:w="4787" w:type="dxa"/>
            <w:noWrap w:val="0"/>
            <w:vAlign w:val="center"/>
          </w:tcPr>
          <w:p>
            <w:pPr>
              <w:spacing w:line="320" w:lineRule="exact"/>
              <w:rPr>
                <w:color w:val="000000"/>
                <w:szCs w:val="21"/>
              </w:rPr>
            </w:pPr>
            <w:r>
              <w:rPr>
                <w:color w:val="000000"/>
                <w:szCs w:val="21"/>
              </w:rPr>
              <w:t>现有铅锌采选、冶炼企业必须依法实施强制性清洁生产审核。</w:t>
            </w:r>
          </w:p>
        </w:tc>
        <w:tc>
          <w:tcPr>
            <w:tcW w:w="1980" w:type="dxa"/>
            <w:noWrap w:val="0"/>
            <w:vAlign w:val="center"/>
          </w:tcPr>
          <w:p>
            <w:pPr>
              <w:spacing w:line="320" w:lineRule="exact"/>
              <w:rPr>
                <w:color w:val="000000"/>
                <w:szCs w:val="21"/>
              </w:rPr>
            </w:pPr>
            <w:r>
              <w:rPr>
                <w:color w:val="000000"/>
                <w:szCs w:val="21"/>
              </w:rPr>
              <w:t>正在开展清洁生产审核工作</w:t>
            </w:r>
          </w:p>
        </w:tc>
        <w:tc>
          <w:tcPr>
            <w:tcW w:w="1006" w:type="dxa"/>
            <w:noWrap w:val="0"/>
            <w:vAlign w:val="center"/>
          </w:tcPr>
          <w:p>
            <w:pPr>
              <w:spacing w:line="320" w:lineRule="exact"/>
              <w:jc w:val="center"/>
              <w:rPr>
                <w:color w:val="000000"/>
                <w:szCs w:val="21"/>
              </w:rPr>
            </w:pPr>
            <w:r>
              <w:rPr>
                <w:color w:val="00000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834" w:hRule="atLeast"/>
          <w:jc w:val="center"/>
        </w:trPr>
        <w:tc>
          <w:tcPr>
            <w:tcW w:w="1446" w:type="dxa"/>
            <w:vMerge w:val="continue"/>
            <w:noWrap w:val="0"/>
            <w:vAlign w:val="center"/>
          </w:tcPr>
          <w:p>
            <w:pPr>
              <w:spacing w:line="320" w:lineRule="exact"/>
              <w:jc w:val="center"/>
              <w:rPr>
                <w:color w:val="000000"/>
                <w:szCs w:val="21"/>
              </w:rPr>
            </w:pPr>
          </w:p>
        </w:tc>
        <w:tc>
          <w:tcPr>
            <w:tcW w:w="4787" w:type="dxa"/>
            <w:noWrap w:val="0"/>
            <w:vAlign w:val="center"/>
          </w:tcPr>
          <w:p>
            <w:pPr>
              <w:spacing w:line="320" w:lineRule="exact"/>
              <w:rPr>
                <w:color w:val="000000"/>
                <w:szCs w:val="21"/>
              </w:rPr>
            </w:pPr>
            <w:r>
              <w:rPr>
                <w:color w:val="000000"/>
                <w:kern w:val="0"/>
                <w:szCs w:val="21"/>
              </w:rPr>
              <w:t>要认真履行环境影响评价文件审批和环保设施</w:t>
            </w:r>
            <w:r>
              <w:rPr>
                <w:rFonts w:hint="eastAsia"/>
                <w:color w:val="000000"/>
                <w:kern w:val="0"/>
                <w:szCs w:val="21"/>
              </w:rPr>
              <w:t>“</w:t>
            </w:r>
            <w:r>
              <w:rPr>
                <w:color w:val="000000"/>
                <w:kern w:val="0"/>
                <w:szCs w:val="21"/>
              </w:rPr>
              <w:t>三同时</w:t>
            </w:r>
            <w:r>
              <w:rPr>
                <w:rFonts w:hint="eastAsia"/>
                <w:color w:val="000000"/>
                <w:kern w:val="0"/>
                <w:szCs w:val="21"/>
              </w:rPr>
              <w:t>”</w:t>
            </w:r>
            <w:r>
              <w:rPr>
                <w:color w:val="000000"/>
                <w:kern w:val="0"/>
                <w:szCs w:val="21"/>
              </w:rPr>
              <w:t>验收程序。对废渣、废水要进行再利用，弃渣应进行固化、无害化处理,污水全部回收利用。</w:t>
            </w:r>
          </w:p>
        </w:tc>
        <w:tc>
          <w:tcPr>
            <w:tcW w:w="1980" w:type="dxa"/>
            <w:noWrap w:val="0"/>
            <w:vAlign w:val="center"/>
          </w:tcPr>
          <w:p>
            <w:pPr>
              <w:spacing w:line="320" w:lineRule="exact"/>
              <w:rPr>
                <w:color w:val="000000"/>
                <w:szCs w:val="21"/>
              </w:rPr>
            </w:pPr>
            <w:r>
              <w:rPr>
                <w:color w:val="000000"/>
                <w:szCs w:val="21"/>
              </w:rPr>
              <w:t>严格执行三同时制度，废水处理后回用，废渣妥善处置。</w:t>
            </w:r>
          </w:p>
        </w:tc>
        <w:tc>
          <w:tcPr>
            <w:tcW w:w="1006" w:type="dxa"/>
            <w:noWrap w:val="0"/>
            <w:vAlign w:val="center"/>
          </w:tcPr>
          <w:p>
            <w:pPr>
              <w:spacing w:line="320" w:lineRule="exact"/>
              <w:jc w:val="center"/>
              <w:rPr>
                <w:color w:val="000000"/>
                <w:szCs w:val="21"/>
              </w:rPr>
            </w:pPr>
            <w:r>
              <w:rPr>
                <w:color w:val="000000"/>
                <w:szCs w:val="21"/>
              </w:rPr>
              <w:t>符合</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wBefore w:w="0" w:type="dxa"/>
          <w:wAfter w:w="0" w:type="dxa"/>
          <w:trHeight w:val="446" w:hRule="atLeast"/>
          <w:jc w:val="center"/>
        </w:trPr>
        <w:tc>
          <w:tcPr>
            <w:tcW w:w="1446" w:type="dxa"/>
            <w:noWrap w:val="0"/>
            <w:vAlign w:val="center"/>
          </w:tcPr>
          <w:p>
            <w:pPr>
              <w:spacing w:line="320" w:lineRule="exact"/>
              <w:jc w:val="center"/>
              <w:rPr>
                <w:color w:val="000000"/>
                <w:szCs w:val="21"/>
              </w:rPr>
            </w:pPr>
            <w:r>
              <w:rPr>
                <w:color w:val="000000"/>
                <w:szCs w:val="21"/>
              </w:rPr>
              <w:t>6、安全生产与职业危害</w:t>
            </w:r>
          </w:p>
        </w:tc>
        <w:tc>
          <w:tcPr>
            <w:tcW w:w="4787" w:type="dxa"/>
            <w:noWrap w:val="0"/>
            <w:vAlign w:val="center"/>
          </w:tcPr>
          <w:p>
            <w:pPr>
              <w:snapToGrid w:val="0"/>
              <w:spacing w:line="320" w:lineRule="exact"/>
              <w:ind w:firstLine="420" w:firstLineChars="200"/>
              <w:rPr>
                <w:color w:val="000000"/>
                <w:szCs w:val="21"/>
              </w:rPr>
            </w:pPr>
            <w:r>
              <w:rPr>
                <w:color w:val="000000"/>
                <w:szCs w:val="21"/>
              </w:rPr>
              <w:t>铅锌建设项目必须符合《安全生产法》、《矿山安全法》、《职业病防治法》等法律法规规定，具备相应的安全生产和职业危害防治条件，并建立、健全安全生产责任制。必须建立职业危害防治设施，配备符合国家有关标准的个人劳动防护用品，配备火灾、雷击、设备故障、机械伤害、人体坠落等事故防范设施，以及安全供电、供水装置和消除有毒有害物质设施，建立健全相关制度，必须通过地方行政主管部门组织的专项验收。</w:t>
            </w:r>
          </w:p>
          <w:p>
            <w:pPr>
              <w:spacing w:line="320" w:lineRule="exact"/>
              <w:rPr>
                <w:color w:val="000000"/>
                <w:szCs w:val="21"/>
              </w:rPr>
            </w:pPr>
            <w:r>
              <w:rPr>
                <w:color w:val="000000"/>
                <w:szCs w:val="21"/>
              </w:rPr>
              <w:t>铅锌矿山企业要依照《安全生产许可证条例》（国务院令第397号）等有关规定，依法取得安全生产许可证后方可从事生产活动</w:t>
            </w:r>
          </w:p>
        </w:tc>
        <w:tc>
          <w:tcPr>
            <w:tcW w:w="1980" w:type="dxa"/>
            <w:noWrap w:val="0"/>
            <w:vAlign w:val="center"/>
          </w:tcPr>
          <w:p>
            <w:pPr>
              <w:spacing w:line="320" w:lineRule="exact"/>
              <w:rPr>
                <w:color w:val="000000"/>
                <w:szCs w:val="21"/>
              </w:rPr>
            </w:pPr>
            <w:r>
              <w:rPr>
                <w:color w:val="000000"/>
                <w:szCs w:val="21"/>
              </w:rPr>
              <w:t>具备相应的安全生产和职业危害防治条件，并建立了安全生产责任制。</w:t>
            </w:r>
          </w:p>
          <w:p>
            <w:pPr>
              <w:spacing w:line="320" w:lineRule="exact"/>
              <w:rPr>
                <w:color w:val="000000"/>
                <w:szCs w:val="21"/>
              </w:rPr>
            </w:pPr>
            <w:r>
              <w:rPr>
                <w:color w:val="000000"/>
                <w:szCs w:val="21"/>
              </w:rPr>
              <w:t>依法取得安全生产许可证。</w:t>
            </w:r>
          </w:p>
        </w:tc>
        <w:tc>
          <w:tcPr>
            <w:tcW w:w="1006" w:type="dxa"/>
            <w:noWrap w:val="0"/>
            <w:vAlign w:val="center"/>
          </w:tcPr>
          <w:p>
            <w:pPr>
              <w:spacing w:line="320" w:lineRule="exact"/>
              <w:jc w:val="center"/>
              <w:rPr>
                <w:color w:val="000000"/>
                <w:szCs w:val="21"/>
              </w:rPr>
            </w:pPr>
            <w:r>
              <w:rPr>
                <w:color w:val="000000"/>
                <w:szCs w:val="21"/>
              </w:rPr>
              <w:t>符合</w:t>
            </w:r>
          </w:p>
        </w:tc>
      </w:tr>
    </w:tbl>
    <w:p>
      <w:pPr>
        <w:spacing w:before="240" w:beforeLines="100" w:line="360" w:lineRule="auto"/>
        <w:ind w:firstLine="480" w:firstLineChars="200"/>
        <w:rPr>
          <w:color w:val="000000"/>
          <w:sz w:val="24"/>
          <w:szCs w:val="24"/>
        </w:rPr>
      </w:pPr>
      <w:r>
        <w:rPr>
          <w:color w:val="000000"/>
          <w:sz w:val="24"/>
          <w:szCs w:val="24"/>
        </w:rPr>
        <w:t>从上表可以看出，</w:t>
      </w:r>
      <w:r>
        <w:rPr>
          <w:rFonts w:hint="eastAsia"/>
          <w:color w:val="000000"/>
          <w:sz w:val="24"/>
          <w:szCs w:val="24"/>
        </w:rPr>
        <w:t>企业</w:t>
      </w:r>
      <w:r>
        <w:rPr>
          <w:color w:val="000000"/>
          <w:sz w:val="24"/>
          <w:szCs w:val="24"/>
        </w:rPr>
        <w:t>在生产规模等方面达不到《铅锌行业准入条件》的要求</w:t>
      </w:r>
      <w:r>
        <w:rPr>
          <w:rFonts w:hint="eastAsia"/>
          <w:color w:val="000000"/>
          <w:sz w:val="24"/>
          <w:szCs w:val="24"/>
        </w:rPr>
        <w:t>，其余均达到。</w:t>
      </w:r>
      <w:r>
        <w:rPr>
          <w:color w:val="000000"/>
          <w:sz w:val="24"/>
          <w:szCs w:val="24"/>
        </w:rPr>
        <w:t>《铅锌行业准入条件》于2007年颁布实施</w:t>
      </w:r>
      <w:r>
        <w:rPr>
          <w:rFonts w:hint="eastAsia"/>
          <w:color w:val="000000"/>
          <w:sz w:val="24"/>
          <w:szCs w:val="24"/>
        </w:rPr>
        <w:t>。</w:t>
      </w:r>
    </w:p>
    <w:p>
      <w:pPr>
        <w:pStyle w:val="5"/>
        <w:rPr>
          <w:rFonts w:hint="eastAsia"/>
          <w:color w:val="000000"/>
        </w:rPr>
      </w:pPr>
      <w:bookmarkStart w:id="164" w:name="_Toc23000872"/>
      <w:r>
        <w:rPr>
          <w:rFonts w:hint="eastAsia"/>
          <w:color w:val="000000"/>
        </w:rPr>
        <w:t>2.4.2“环境影响评价”与“三同时”制度执行情况</w:t>
      </w:r>
      <w:bookmarkEnd w:id="163"/>
      <w:bookmarkEnd w:id="164"/>
    </w:p>
    <w:p>
      <w:pPr>
        <w:spacing w:line="360" w:lineRule="auto"/>
        <w:ind w:firstLine="482" w:firstLineChars="200"/>
        <w:rPr>
          <w:rFonts w:hint="eastAsia"/>
          <w:b/>
          <w:color w:val="000000"/>
          <w:sz w:val="24"/>
          <w:szCs w:val="24"/>
        </w:rPr>
      </w:pPr>
      <w:r>
        <w:rPr>
          <w:rFonts w:hint="eastAsia"/>
          <w:b/>
          <w:color w:val="000000"/>
          <w:sz w:val="24"/>
          <w:szCs w:val="24"/>
        </w:rPr>
        <w:t>2.4.2.1“环境影响评价”与“三同时”制度执行情况</w:t>
      </w:r>
    </w:p>
    <w:p>
      <w:pPr>
        <w:spacing w:line="360" w:lineRule="auto"/>
        <w:ind w:firstLine="480" w:firstLineChars="200"/>
        <w:rPr>
          <w:rFonts w:hint="eastAsia"/>
          <w:color w:val="000000"/>
          <w:sz w:val="24"/>
          <w:szCs w:val="24"/>
        </w:rPr>
      </w:pPr>
      <w:r>
        <w:rPr>
          <w:rFonts w:hint="eastAsia"/>
          <w:color w:val="000000"/>
          <w:sz w:val="24"/>
          <w:szCs w:val="24"/>
        </w:rPr>
        <w:t>2013年3月由曲靖市环境科学研究所编制了《云南罗平锌电股份有限公司富乐铅锌矿采选项目环境影响后评价报告书》。</w:t>
      </w:r>
    </w:p>
    <w:p>
      <w:pPr>
        <w:spacing w:line="360" w:lineRule="auto"/>
        <w:ind w:firstLine="480" w:firstLineChars="200"/>
        <w:rPr>
          <w:rFonts w:hint="eastAsia"/>
          <w:color w:val="000000"/>
          <w:sz w:val="24"/>
          <w:szCs w:val="24"/>
        </w:rPr>
      </w:pPr>
      <w:r>
        <w:rPr>
          <w:rFonts w:hint="eastAsia"/>
          <w:color w:val="000000"/>
          <w:sz w:val="24"/>
          <w:szCs w:val="24"/>
        </w:rPr>
        <w:t>2013年10月14日，曲靖市环保局对《云南罗平锌电股份有限公司富乐铅锌矿采选项目环境影响后评价报告书》进行批复（曲环审[2013]206号）。</w:t>
      </w:r>
    </w:p>
    <w:p>
      <w:pPr>
        <w:spacing w:line="360" w:lineRule="auto"/>
        <w:ind w:firstLine="480" w:firstLineChars="200"/>
        <w:rPr>
          <w:rFonts w:hint="eastAsia"/>
          <w:color w:val="000000"/>
          <w:sz w:val="24"/>
          <w:szCs w:val="24"/>
        </w:rPr>
      </w:pPr>
      <w:r>
        <w:rPr>
          <w:rFonts w:hint="eastAsia"/>
          <w:color w:val="000000"/>
          <w:sz w:val="24"/>
          <w:szCs w:val="24"/>
        </w:rPr>
        <w:t>2.4.2.2环评批复要点</w:t>
      </w:r>
    </w:p>
    <w:p>
      <w:pPr>
        <w:spacing w:line="360" w:lineRule="auto"/>
        <w:ind w:firstLine="480" w:firstLineChars="200"/>
        <w:rPr>
          <w:color w:val="000000"/>
          <w:sz w:val="24"/>
          <w:szCs w:val="24"/>
        </w:rPr>
      </w:pPr>
      <w:r>
        <w:rPr>
          <w:color w:val="000000"/>
          <w:sz w:val="24"/>
          <w:szCs w:val="24"/>
        </w:rPr>
        <w:t>2013</w:t>
      </w:r>
      <w:r>
        <w:rPr>
          <w:rFonts w:hint="eastAsia"/>
          <w:color w:val="000000"/>
          <w:sz w:val="24"/>
          <w:szCs w:val="24"/>
        </w:rPr>
        <w:t>年</w:t>
      </w:r>
      <w:r>
        <w:rPr>
          <w:color w:val="000000"/>
          <w:sz w:val="24"/>
          <w:szCs w:val="24"/>
        </w:rPr>
        <w:t>10</w:t>
      </w:r>
      <w:r>
        <w:rPr>
          <w:rFonts w:hint="eastAsia"/>
          <w:color w:val="000000"/>
          <w:sz w:val="24"/>
          <w:szCs w:val="24"/>
        </w:rPr>
        <w:t>月</w:t>
      </w:r>
      <w:r>
        <w:rPr>
          <w:color w:val="000000"/>
          <w:sz w:val="24"/>
          <w:szCs w:val="24"/>
        </w:rPr>
        <w:t>14</w:t>
      </w:r>
      <w:r>
        <w:rPr>
          <w:rFonts w:hint="eastAsia"/>
          <w:color w:val="000000"/>
          <w:sz w:val="24"/>
          <w:szCs w:val="24"/>
        </w:rPr>
        <w:t>日，曲靖市环境保护局以曲环审﹝</w:t>
      </w:r>
      <w:r>
        <w:rPr>
          <w:color w:val="000000"/>
          <w:sz w:val="24"/>
          <w:szCs w:val="24"/>
        </w:rPr>
        <w:t>2013</w:t>
      </w:r>
      <w:r>
        <w:rPr>
          <w:rFonts w:hint="eastAsia"/>
          <w:color w:val="000000"/>
          <w:sz w:val="24"/>
          <w:szCs w:val="24"/>
        </w:rPr>
        <w:t>﹞</w:t>
      </w:r>
      <w:r>
        <w:rPr>
          <w:color w:val="000000"/>
          <w:sz w:val="24"/>
          <w:szCs w:val="24"/>
        </w:rPr>
        <w:t>206</w:t>
      </w:r>
      <w:r>
        <w:rPr>
          <w:rFonts w:hint="eastAsia"/>
          <w:color w:val="000000"/>
          <w:sz w:val="24"/>
          <w:szCs w:val="24"/>
        </w:rPr>
        <w:t>号文对《云南罗平锌电股份有限公司富乐铅锌矿采选项目环境影响后评价报告书》进行了批复，批复主要内容如下：</w:t>
      </w:r>
    </w:p>
    <w:p>
      <w:pPr>
        <w:spacing w:line="360" w:lineRule="auto"/>
        <w:ind w:firstLine="482" w:firstLineChars="200"/>
        <w:rPr>
          <w:rFonts w:hint="eastAsia"/>
          <w:b/>
          <w:color w:val="000000"/>
          <w:sz w:val="24"/>
          <w:szCs w:val="24"/>
        </w:rPr>
      </w:pPr>
      <w:r>
        <w:rPr>
          <w:rFonts w:hint="eastAsia"/>
          <w:b/>
          <w:color w:val="000000"/>
          <w:sz w:val="24"/>
          <w:szCs w:val="24"/>
        </w:rPr>
        <w:t>2.4.2.2环评批复的落实情况</w:t>
      </w:r>
    </w:p>
    <w:p>
      <w:pPr>
        <w:spacing w:line="360" w:lineRule="auto"/>
        <w:ind w:firstLine="480" w:firstLineChars="200"/>
        <w:rPr>
          <w:rFonts w:hint="eastAsia"/>
          <w:color w:val="000000"/>
          <w:sz w:val="24"/>
          <w:szCs w:val="24"/>
        </w:rPr>
      </w:pPr>
      <w:r>
        <w:rPr>
          <w:rFonts w:hint="eastAsia"/>
          <w:color w:val="000000"/>
          <w:sz w:val="24"/>
          <w:szCs w:val="24"/>
        </w:rPr>
        <w:t>经调查，本项目环评及批复中硫化矿系统相关环保措施基本得到落实，具体落实情况详见表2-19：</w:t>
      </w:r>
    </w:p>
    <w:p>
      <w:pPr>
        <w:spacing w:line="360" w:lineRule="exact"/>
        <w:jc w:val="center"/>
        <w:rPr>
          <w:b/>
          <w:color w:val="000000"/>
          <w:sz w:val="24"/>
          <w:szCs w:val="24"/>
        </w:rPr>
      </w:pPr>
      <w:r>
        <w:rPr>
          <w:rFonts w:hint="eastAsia"/>
          <w:b/>
          <w:color w:val="000000"/>
          <w:sz w:val="24"/>
          <w:szCs w:val="24"/>
        </w:rPr>
        <w:t>表2</w:t>
      </w:r>
      <w:r>
        <w:rPr>
          <w:b/>
          <w:color w:val="000000"/>
          <w:sz w:val="24"/>
          <w:szCs w:val="24"/>
        </w:rPr>
        <w:t>-1</w:t>
      </w:r>
      <w:r>
        <w:rPr>
          <w:rFonts w:hint="eastAsia"/>
          <w:b/>
          <w:color w:val="000000"/>
          <w:sz w:val="24"/>
          <w:szCs w:val="24"/>
        </w:rPr>
        <w:t>9  环保措施落实情况一览表</w:t>
      </w:r>
    </w:p>
    <w:tbl>
      <w:tblPr>
        <w:tblStyle w:val="35"/>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04"/>
        <w:gridCol w:w="2273"/>
        <w:gridCol w:w="64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rFonts w:hint="eastAsia"/>
                <w:color w:val="000000"/>
                <w:szCs w:val="21"/>
              </w:rPr>
              <w:t>序号</w:t>
            </w:r>
          </w:p>
        </w:tc>
        <w:tc>
          <w:tcPr>
            <w:tcW w:w="2273" w:type="dxa"/>
            <w:noWrap w:val="0"/>
            <w:vAlign w:val="center"/>
          </w:tcPr>
          <w:p>
            <w:pPr>
              <w:snapToGrid w:val="0"/>
              <w:spacing w:line="360" w:lineRule="exact"/>
              <w:rPr>
                <w:color w:val="000000"/>
                <w:szCs w:val="21"/>
              </w:rPr>
            </w:pPr>
            <w:r>
              <w:rPr>
                <w:rFonts w:hint="eastAsia"/>
                <w:color w:val="000000"/>
                <w:szCs w:val="21"/>
              </w:rPr>
              <w:t>环评及批复要求</w:t>
            </w:r>
          </w:p>
        </w:tc>
        <w:tc>
          <w:tcPr>
            <w:tcW w:w="6491" w:type="dxa"/>
            <w:noWrap w:val="0"/>
            <w:vAlign w:val="center"/>
          </w:tcPr>
          <w:p>
            <w:pPr>
              <w:snapToGrid w:val="0"/>
              <w:spacing w:line="360" w:lineRule="exact"/>
              <w:rPr>
                <w:color w:val="000000"/>
                <w:szCs w:val="21"/>
              </w:rPr>
            </w:pPr>
            <w:r>
              <w:rPr>
                <w:rFonts w:hint="eastAsia"/>
                <w:color w:val="000000"/>
                <w:szCs w:val="21"/>
              </w:rPr>
              <w:t>实际落实情况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1</w:t>
            </w:r>
          </w:p>
        </w:tc>
        <w:tc>
          <w:tcPr>
            <w:tcW w:w="2273" w:type="dxa"/>
            <w:noWrap w:val="0"/>
            <w:vAlign w:val="center"/>
          </w:tcPr>
          <w:p>
            <w:pPr>
              <w:snapToGrid w:val="0"/>
              <w:spacing w:line="360" w:lineRule="exact"/>
              <w:rPr>
                <w:color w:val="000000"/>
                <w:szCs w:val="21"/>
              </w:rPr>
            </w:pPr>
            <w:r>
              <w:rPr>
                <w:rFonts w:hint="eastAsia"/>
                <w:color w:val="000000"/>
                <w:szCs w:val="21"/>
              </w:rPr>
              <w:t>公司制定环境污染事故应急预案，成立环境风险应急管理机构</w:t>
            </w:r>
          </w:p>
        </w:tc>
        <w:tc>
          <w:tcPr>
            <w:tcW w:w="6491" w:type="dxa"/>
            <w:noWrap w:val="0"/>
            <w:vAlign w:val="center"/>
          </w:tcPr>
          <w:p>
            <w:pPr>
              <w:snapToGrid w:val="0"/>
              <w:spacing w:line="360" w:lineRule="exact"/>
              <w:rPr>
                <w:color w:val="000000"/>
                <w:szCs w:val="21"/>
              </w:rPr>
            </w:pPr>
            <w:r>
              <w:rPr>
                <w:rFonts w:hint="eastAsia"/>
                <w:color w:val="000000"/>
                <w:szCs w:val="21"/>
              </w:rPr>
              <w:t>建设单位编制完成了《罗平锌电股份有限公司采选厂</w:t>
            </w:r>
            <w:r>
              <w:rPr>
                <w:color w:val="000000"/>
                <w:szCs w:val="21"/>
              </w:rPr>
              <w:t>-</w:t>
            </w:r>
            <w:r>
              <w:rPr>
                <w:rFonts w:hint="eastAsia"/>
                <w:color w:val="000000"/>
                <w:szCs w:val="21"/>
              </w:rPr>
              <w:t>突发环境事件应急预案》，并于</w:t>
            </w:r>
            <w:r>
              <w:rPr>
                <w:color w:val="000000"/>
                <w:szCs w:val="21"/>
              </w:rPr>
              <w:t>2019</w:t>
            </w:r>
            <w:r>
              <w:rPr>
                <w:rFonts w:hint="eastAsia"/>
                <w:color w:val="000000"/>
                <w:szCs w:val="21"/>
              </w:rPr>
              <w:t>年</w:t>
            </w:r>
            <w:r>
              <w:rPr>
                <w:color w:val="000000"/>
                <w:szCs w:val="21"/>
              </w:rPr>
              <w:t>1</w:t>
            </w:r>
            <w:r>
              <w:rPr>
                <w:rFonts w:hint="eastAsia"/>
                <w:color w:val="000000"/>
                <w:szCs w:val="21"/>
              </w:rPr>
              <w:t>月</w:t>
            </w:r>
            <w:r>
              <w:rPr>
                <w:color w:val="000000"/>
                <w:szCs w:val="21"/>
              </w:rPr>
              <w:t>7</w:t>
            </w:r>
            <w:r>
              <w:rPr>
                <w:rFonts w:hint="eastAsia"/>
                <w:color w:val="000000"/>
                <w:szCs w:val="21"/>
              </w:rPr>
              <w:t>日在罗平县环保局完成了备案工作（</w:t>
            </w:r>
            <w:r>
              <w:rPr>
                <w:color w:val="000000"/>
                <w:szCs w:val="21"/>
              </w:rPr>
              <w:t>530324-2019-002-L</w:t>
            </w:r>
            <w:r>
              <w:rPr>
                <w:rFonts w:hint="eastAsia"/>
                <w:color w:val="000000"/>
                <w:szCs w:val="21"/>
              </w:rPr>
              <w:t>）；采选厂已经成立以厂长为领导的风险应急管理机构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2</w:t>
            </w:r>
          </w:p>
        </w:tc>
        <w:tc>
          <w:tcPr>
            <w:tcW w:w="2273" w:type="dxa"/>
            <w:noWrap w:val="0"/>
            <w:vAlign w:val="center"/>
          </w:tcPr>
          <w:p>
            <w:pPr>
              <w:snapToGrid w:val="0"/>
              <w:spacing w:line="360" w:lineRule="exact"/>
              <w:rPr>
                <w:color w:val="000000"/>
                <w:szCs w:val="21"/>
              </w:rPr>
            </w:pPr>
            <w:r>
              <w:rPr>
                <w:rFonts w:hint="eastAsia"/>
                <w:color w:val="000000"/>
                <w:szCs w:val="21"/>
              </w:rPr>
              <w:t>改进工艺、设备，推行清洁生产，提高选矿废水利用率</w:t>
            </w:r>
          </w:p>
        </w:tc>
        <w:tc>
          <w:tcPr>
            <w:tcW w:w="6491" w:type="dxa"/>
            <w:noWrap w:val="0"/>
            <w:vAlign w:val="center"/>
          </w:tcPr>
          <w:p>
            <w:pPr>
              <w:snapToGrid w:val="0"/>
              <w:spacing w:line="360" w:lineRule="exact"/>
              <w:rPr>
                <w:color w:val="000000"/>
                <w:szCs w:val="21"/>
              </w:rPr>
            </w:pPr>
            <w:r>
              <w:rPr>
                <w:rFonts w:hint="eastAsia"/>
                <w:color w:val="000000"/>
                <w:szCs w:val="21"/>
              </w:rPr>
              <w:t>建设单位于</w:t>
            </w:r>
            <w:r>
              <w:rPr>
                <w:color w:val="000000"/>
                <w:szCs w:val="21"/>
              </w:rPr>
              <w:t>2014</w:t>
            </w:r>
            <w:r>
              <w:rPr>
                <w:rFonts w:hint="eastAsia"/>
                <w:color w:val="000000"/>
                <w:szCs w:val="21"/>
              </w:rPr>
              <w:t>年筹建污水处理站，于</w:t>
            </w:r>
            <w:r>
              <w:rPr>
                <w:color w:val="000000"/>
                <w:szCs w:val="21"/>
              </w:rPr>
              <w:t>2015</w:t>
            </w:r>
            <w:r>
              <w:rPr>
                <w:rFonts w:hint="eastAsia"/>
                <w:color w:val="000000"/>
                <w:szCs w:val="21"/>
              </w:rPr>
              <w:t>年</w:t>
            </w:r>
            <w:r>
              <w:rPr>
                <w:color w:val="000000"/>
                <w:szCs w:val="21"/>
              </w:rPr>
              <w:t>2</w:t>
            </w:r>
            <w:r>
              <w:rPr>
                <w:rFonts w:hint="eastAsia"/>
                <w:color w:val="000000"/>
                <w:szCs w:val="21"/>
              </w:rPr>
              <w:t>月取得了罗平县环保局关于污水处理站建设的环评批复（罗环审﹝</w:t>
            </w:r>
            <w:r>
              <w:rPr>
                <w:color w:val="000000"/>
                <w:szCs w:val="21"/>
              </w:rPr>
              <w:t>2015</w:t>
            </w:r>
            <w:r>
              <w:rPr>
                <w:rFonts w:hint="eastAsia"/>
                <w:color w:val="000000"/>
                <w:szCs w:val="21"/>
              </w:rPr>
              <w:t>﹞</w:t>
            </w:r>
            <w:r>
              <w:rPr>
                <w:color w:val="000000"/>
                <w:szCs w:val="21"/>
              </w:rPr>
              <w:t>17</w:t>
            </w:r>
            <w:r>
              <w:rPr>
                <w:rFonts w:hint="eastAsia"/>
                <w:color w:val="000000"/>
                <w:szCs w:val="21"/>
              </w:rPr>
              <w:t>号），同时，于</w:t>
            </w:r>
            <w:r>
              <w:rPr>
                <w:color w:val="000000"/>
                <w:szCs w:val="21"/>
              </w:rPr>
              <w:t>2015</w:t>
            </w:r>
            <w:r>
              <w:rPr>
                <w:rFonts w:hint="eastAsia"/>
                <w:color w:val="000000"/>
                <w:szCs w:val="21"/>
              </w:rPr>
              <w:t>年十月由曲靖市环境监测站完成了竣工验收工作，调查期间正常运营，能处置本项目产生的选矿废水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3</w:t>
            </w:r>
          </w:p>
        </w:tc>
        <w:tc>
          <w:tcPr>
            <w:tcW w:w="2273" w:type="dxa"/>
            <w:noWrap w:val="0"/>
            <w:vAlign w:val="center"/>
          </w:tcPr>
          <w:p>
            <w:pPr>
              <w:snapToGrid w:val="0"/>
              <w:spacing w:line="360" w:lineRule="exact"/>
              <w:rPr>
                <w:color w:val="000000"/>
                <w:szCs w:val="21"/>
              </w:rPr>
            </w:pPr>
            <w:r>
              <w:rPr>
                <w:rFonts w:hint="eastAsia"/>
                <w:color w:val="000000"/>
                <w:szCs w:val="21"/>
              </w:rPr>
              <w:t>进一步优化选矿废水处理工艺，尽快对拟采取的尾矿处置进行环境影响评价，批准后尽快推进建设，确保尾矿得到妥善处置</w:t>
            </w:r>
          </w:p>
        </w:tc>
        <w:tc>
          <w:tcPr>
            <w:tcW w:w="6491" w:type="dxa"/>
            <w:noWrap w:val="0"/>
            <w:vAlign w:val="center"/>
          </w:tcPr>
          <w:p>
            <w:pPr>
              <w:snapToGrid w:val="0"/>
              <w:spacing w:line="360" w:lineRule="exact"/>
              <w:rPr>
                <w:color w:val="000000"/>
                <w:szCs w:val="21"/>
              </w:rPr>
            </w:pPr>
            <w:r>
              <w:rPr>
                <w:rFonts w:hint="eastAsia"/>
                <w:color w:val="000000"/>
                <w:szCs w:val="21"/>
              </w:rPr>
              <w:t>选矿废水处置系统已建设完成，鸡西尾矿库于</w:t>
            </w:r>
            <w:r>
              <w:rPr>
                <w:color w:val="000000"/>
                <w:szCs w:val="21"/>
              </w:rPr>
              <w:t>2014</w:t>
            </w:r>
            <w:r>
              <w:rPr>
                <w:rFonts w:hint="eastAsia"/>
                <w:color w:val="000000"/>
                <w:szCs w:val="21"/>
              </w:rPr>
              <w:t>年开始筹建，于</w:t>
            </w:r>
            <w:r>
              <w:rPr>
                <w:color w:val="000000"/>
                <w:szCs w:val="21"/>
              </w:rPr>
              <w:t>2015</w:t>
            </w:r>
            <w:r>
              <w:rPr>
                <w:rFonts w:hint="eastAsia"/>
                <w:color w:val="000000"/>
                <w:szCs w:val="21"/>
              </w:rPr>
              <w:t>年</w:t>
            </w:r>
            <w:r>
              <w:rPr>
                <w:color w:val="000000"/>
                <w:szCs w:val="21"/>
              </w:rPr>
              <w:t>6</w:t>
            </w:r>
            <w:r>
              <w:rPr>
                <w:rFonts w:hint="eastAsia"/>
                <w:color w:val="000000"/>
                <w:szCs w:val="21"/>
              </w:rPr>
              <w:t>月取得了云南省环境保护厅下发的环评批复（云环审﹝</w:t>
            </w:r>
            <w:r>
              <w:rPr>
                <w:color w:val="000000"/>
                <w:szCs w:val="21"/>
              </w:rPr>
              <w:t>2015</w:t>
            </w:r>
            <w:r>
              <w:rPr>
                <w:rFonts w:hint="eastAsia"/>
                <w:color w:val="000000"/>
                <w:szCs w:val="21"/>
              </w:rPr>
              <w:t>﹞</w:t>
            </w:r>
            <w:r>
              <w:rPr>
                <w:color w:val="000000"/>
                <w:szCs w:val="21"/>
              </w:rPr>
              <w:t>70</w:t>
            </w:r>
            <w:r>
              <w:rPr>
                <w:rFonts w:hint="eastAsia"/>
                <w:color w:val="000000"/>
                <w:szCs w:val="21"/>
              </w:rPr>
              <w:t>号），并于</w:t>
            </w:r>
            <w:r>
              <w:rPr>
                <w:color w:val="000000"/>
                <w:szCs w:val="21"/>
              </w:rPr>
              <w:t>2018</w:t>
            </w:r>
            <w:r>
              <w:rPr>
                <w:rFonts w:hint="eastAsia"/>
                <w:color w:val="000000"/>
                <w:szCs w:val="21"/>
              </w:rPr>
              <w:t>年由云南省环境监测中心站完成了项目一期工程竣工环境保护验收（云环监字（技）﹝</w:t>
            </w:r>
            <w:r>
              <w:rPr>
                <w:color w:val="000000"/>
                <w:szCs w:val="21"/>
              </w:rPr>
              <w:t>2018</w:t>
            </w:r>
            <w:r>
              <w:rPr>
                <w:rFonts w:hint="eastAsia"/>
                <w:color w:val="000000"/>
                <w:szCs w:val="21"/>
              </w:rPr>
              <w:t>﹞</w:t>
            </w:r>
            <w:r>
              <w:rPr>
                <w:color w:val="000000"/>
                <w:szCs w:val="21"/>
              </w:rPr>
              <w:t>-002</w:t>
            </w:r>
            <w:r>
              <w:rPr>
                <w:rFonts w:hint="eastAsia"/>
                <w:color w:val="000000"/>
                <w:szCs w:val="21"/>
              </w:rPr>
              <w:t>号），调查期间，运行稳定，能有效处置本项目产生的尾矿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4</w:t>
            </w:r>
          </w:p>
        </w:tc>
        <w:tc>
          <w:tcPr>
            <w:tcW w:w="2273" w:type="dxa"/>
            <w:noWrap w:val="0"/>
            <w:vAlign w:val="center"/>
          </w:tcPr>
          <w:p>
            <w:pPr>
              <w:snapToGrid w:val="0"/>
              <w:spacing w:line="360" w:lineRule="exact"/>
              <w:rPr>
                <w:color w:val="000000"/>
                <w:szCs w:val="21"/>
              </w:rPr>
            </w:pPr>
            <w:r>
              <w:rPr>
                <w:rFonts w:hint="eastAsia"/>
                <w:color w:val="000000"/>
                <w:szCs w:val="21"/>
              </w:rPr>
              <w:t>硫化矿破碎系统安装除尘设施</w:t>
            </w:r>
          </w:p>
        </w:tc>
        <w:tc>
          <w:tcPr>
            <w:tcW w:w="6491" w:type="dxa"/>
            <w:noWrap w:val="0"/>
            <w:vAlign w:val="center"/>
          </w:tcPr>
          <w:p>
            <w:pPr>
              <w:snapToGrid w:val="0"/>
              <w:spacing w:line="360" w:lineRule="exact"/>
              <w:rPr>
                <w:color w:val="000000"/>
                <w:szCs w:val="21"/>
              </w:rPr>
            </w:pPr>
            <w:r>
              <w:rPr>
                <w:rFonts w:hint="eastAsia"/>
                <w:color w:val="000000"/>
                <w:szCs w:val="21"/>
              </w:rPr>
              <w:t>硫化矿破碎系统已将安装完成一套集气抽风除尘系统，采用湿式除尘，能有效处置破碎系统产生的废气，调查期间，运行正常</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5</w:t>
            </w:r>
          </w:p>
        </w:tc>
        <w:tc>
          <w:tcPr>
            <w:tcW w:w="2273" w:type="dxa"/>
            <w:noWrap w:val="0"/>
            <w:vAlign w:val="center"/>
          </w:tcPr>
          <w:p>
            <w:pPr>
              <w:snapToGrid w:val="0"/>
              <w:spacing w:line="360" w:lineRule="exact"/>
              <w:rPr>
                <w:color w:val="000000"/>
                <w:szCs w:val="21"/>
              </w:rPr>
            </w:pPr>
            <w:r>
              <w:rPr>
                <w:rFonts w:hint="eastAsia"/>
                <w:color w:val="000000"/>
                <w:szCs w:val="21"/>
              </w:rPr>
              <w:t>原矿堆场安装洒水设施</w:t>
            </w:r>
          </w:p>
        </w:tc>
        <w:tc>
          <w:tcPr>
            <w:tcW w:w="6491" w:type="dxa"/>
            <w:noWrap w:val="0"/>
            <w:vAlign w:val="center"/>
          </w:tcPr>
          <w:p>
            <w:pPr>
              <w:snapToGrid w:val="0"/>
              <w:spacing w:line="360" w:lineRule="exact"/>
              <w:rPr>
                <w:color w:val="000000"/>
                <w:szCs w:val="21"/>
              </w:rPr>
            </w:pPr>
            <w:r>
              <w:rPr>
                <w:rFonts w:hint="eastAsia"/>
                <w:color w:val="000000"/>
                <w:szCs w:val="21"/>
              </w:rPr>
              <w:t>原矿堆场接通洒管道，采取人工洒水方式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6</w:t>
            </w:r>
          </w:p>
        </w:tc>
        <w:tc>
          <w:tcPr>
            <w:tcW w:w="2273" w:type="dxa"/>
            <w:noWrap w:val="0"/>
            <w:vAlign w:val="center"/>
          </w:tcPr>
          <w:p>
            <w:pPr>
              <w:snapToGrid w:val="0"/>
              <w:spacing w:line="360" w:lineRule="exact"/>
              <w:rPr>
                <w:color w:val="000000"/>
                <w:szCs w:val="21"/>
              </w:rPr>
            </w:pPr>
            <w:r>
              <w:rPr>
                <w:rFonts w:hint="eastAsia"/>
                <w:color w:val="000000"/>
                <w:szCs w:val="21"/>
              </w:rPr>
              <w:t>建设浓密废水和产品库渗漏水收集池</w:t>
            </w:r>
          </w:p>
        </w:tc>
        <w:tc>
          <w:tcPr>
            <w:tcW w:w="6491" w:type="dxa"/>
            <w:noWrap w:val="0"/>
            <w:vAlign w:val="center"/>
          </w:tcPr>
          <w:p>
            <w:pPr>
              <w:snapToGrid w:val="0"/>
              <w:spacing w:line="360" w:lineRule="exact"/>
              <w:rPr>
                <w:color w:val="000000"/>
                <w:szCs w:val="21"/>
              </w:rPr>
            </w:pPr>
            <w:r>
              <w:rPr>
                <w:rFonts w:hint="eastAsia"/>
                <w:color w:val="000000"/>
                <w:szCs w:val="21"/>
              </w:rPr>
              <w:t>已经在产品库下方建设完成污水收集池，污水收集池容积为</w:t>
            </w:r>
            <w:r>
              <w:rPr>
                <w:color w:val="000000"/>
                <w:szCs w:val="21"/>
              </w:rPr>
              <w:t>100m3</w:t>
            </w:r>
            <w:r>
              <w:rPr>
                <w:rFonts w:hint="eastAsia"/>
                <w:color w:val="000000"/>
                <w:szCs w:val="21"/>
              </w:rPr>
              <w:t>，同时在污水处理站旁建设两个</w:t>
            </w:r>
            <w:r>
              <w:rPr>
                <w:color w:val="000000"/>
                <w:szCs w:val="21"/>
              </w:rPr>
              <w:t>150m3</w:t>
            </w:r>
            <w:r>
              <w:rPr>
                <w:rFonts w:hint="eastAsia"/>
                <w:color w:val="000000"/>
                <w:szCs w:val="21"/>
              </w:rPr>
              <w:t>的污水收集池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6</w:t>
            </w:r>
          </w:p>
        </w:tc>
        <w:tc>
          <w:tcPr>
            <w:tcW w:w="2273" w:type="dxa"/>
            <w:noWrap w:val="0"/>
            <w:vAlign w:val="center"/>
          </w:tcPr>
          <w:p>
            <w:pPr>
              <w:snapToGrid w:val="0"/>
              <w:spacing w:line="360" w:lineRule="exact"/>
              <w:rPr>
                <w:color w:val="000000"/>
                <w:szCs w:val="21"/>
              </w:rPr>
            </w:pPr>
            <w:r>
              <w:rPr>
                <w:rFonts w:hint="eastAsia"/>
                <w:color w:val="000000"/>
                <w:szCs w:val="21"/>
              </w:rPr>
              <w:t>采矿废石堆场建设防洪沟和拦渣坝</w:t>
            </w:r>
          </w:p>
        </w:tc>
        <w:tc>
          <w:tcPr>
            <w:tcW w:w="6491" w:type="dxa"/>
            <w:noWrap w:val="0"/>
            <w:vAlign w:val="center"/>
          </w:tcPr>
          <w:p>
            <w:pPr>
              <w:snapToGrid w:val="0"/>
              <w:spacing w:line="360" w:lineRule="exact"/>
              <w:rPr>
                <w:color w:val="000000"/>
                <w:szCs w:val="21"/>
              </w:rPr>
            </w:pPr>
            <w:r>
              <w:rPr>
                <w:rFonts w:hint="eastAsia"/>
                <w:color w:val="000000"/>
                <w:szCs w:val="21"/>
              </w:rPr>
              <w:t>建设单位已经完成拦渣坝和防洪沟的建设，并与</w:t>
            </w:r>
            <w:r>
              <w:rPr>
                <w:color w:val="000000"/>
                <w:szCs w:val="21"/>
              </w:rPr>
              <w:t>2018</w:t>
            </w:r>
            <w:r>
              <w:rPr>
                <w:rFonts w:hint="eastAsia"/>
                <w:color w:val="000000"/>
                <w:szCs w:val="21"/>
              </w:rPr>
              <w:t>年</w:t>
            </w:r>
            <w:r>
              <w:rPr>
                <w:color w:val="000000"/>
                <w:szCs w:val="21"/>
              </w:rPr>
              <w:t>3</w:t>
            </w:r>
            <w:r>
              <w:rPr>
                <w:rFonts w:hint="eastAsia"/>
                <w:color w:val="000000"/>
                <w:szCs w:val="21"/>
              </w:rPr>
              <w:t>月</w:t>
            </w:r>
            <w:r>
              <w:rPr>
                <w:color w:val="000000"/>
                <w:szCs w:val="21"/>
              </w:rPr>
              <w:t>30</w:t>
            </w:r>
            <w:r>
              <w:rPr>
                <w:rFonts w:hint="eastAsia"/>
                <w:color w:val="000000"/>
                <w:szCs w:val="21"/>
              </w:rPr>
              <w:t>日完成了水土保持设施的验收工作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7</w:t>
            </w:r>
          </w:p>
        </w:tc>
        <w:tc>
          <w:tcPr>
            <w:tcW w:w="2273" w:type="dxa"/>
            <w:noWrap w:val="0"/>
            <w:vAlign w:val="center"/>
          </w:tcPr>
          <w:p>
            <w:pPr>
              <w:snapToGrid w:val="0"/>
              <w:spacing w:line="360" w:lineRule="exact"/>
              <w:rPr>
                <w:color w:val="000000"/>
                <w:szCs w:val="21"/>
              </w:rPr>
            </w:pPr>
            <w:r>
              <w:rPr>
                <w:rFonts w:hint="eastAsia"/>
                <w:color w:val="000000"/>
                <w:szCs w:val="21"/>
              </w:rPr>
              <w:t>在原矿堆场下游建设一个污水雨水收集池</w:t>
            </w:r>
          </w:p>
        </w:tc>
        <w:tc>
          <w:tcPr>
            <w:tcW w:w="6491" w:type="dxa"/>
            <w:noWrap w:val="0"/>
            <w:vAlign w:val="center"/>
          </w:tcPr>
          <w:p>
            <w:pPr>
              <w:snapToGrid w:val="0"/>
              <w:spacing w:line="360" w:lineRule="exact"/>
              <w:rPr>
                <w:color w:val="000000"/>
                <w:szCs w:val="21"/>
              </w:rPr>
            </w:pPr>
            <w:r>
              <w:rPr>
                <w:rFonts w:hint="eastAsia"/>
                <w:color w:val="000000"/>
                <w:szCs w:val="21"/>
              </w:rPr>
              <w:t>已经在硫化矿原矿堆场下方建设完成一个容积为</w:t>
            </w:r>
            <w:r>
              <w:rPr>
                <w:color w:val="000000"/>
                <w:szCs w:val="21"/>
              </w:rPr>
              <w:t>100m3</w:t>
            </w:r>
            <w:r>
              <w:rPr>
                <w:rFonts w:hint="eastAsia"/>
                <w:color w:val="000000"/>
                <w:szCs w:val="21"/>
              </w:rPr>
              <w:t>的初期雨水收集池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Pr>
        <w:tc>
          <w:tcPr>
            <w:tcW w:w="704" w:type="dxa"/>
            <w:noWrap w:val="0"/>
            <w:vAlign w:val="center"/>
          </w:tcPr>
          <w:p>
            <w:pPr>
              <w:snapToGrid w:val="0"/>
              <w:spacing w:line="360" w:lineRule="exact"/>
              <w:jc w:val="center"/>
              <w:rPr>
                <w:color w:val="000000"/>
                <w:szCs w:val="21"/>
              </w:rPr>
            </w:pPr>
            <w:r>
              <w:rPr>
                <w:color w:val="000000"/>
                <w:szCs w:val="21"/>
              </w:rPr>
              <w:t>8</w:t>
            </w:r>
          </w:p>
        </w:tc>
        <w:tc>
          <w:tcPr>
            <w:tcW w:w="2273" w:type="dxa"/>
            <w:noWrap w:val="0"/>
            <w:vAlign w:val="center"/>
          </w:tcPr>
          <w:p>
            <w:pPr>
              <w:snapToGrid w:val="0"/>
              <w:spacing w:line="360" w:lineRule="exact"/>
              <w:rPr>
                <w:color w:val="000000"/>
                <w:szCs w:val="21"/>
              </w:rPr>
            </w:pPr>
            <w:r>
              <w:rPr>
                <w:rFonts w:hint="eastAsia"/>
                <w:color w:val="000000"/>
                <w:szCs w:val="21"/>
              </w:rPr>
              <w:t>进一步完善厂内雨污分流</w:t>
            </w:r>
          </w:p>
        </w:tc>
        <w:tc>
          <w:tcPr>
            <w:tcW w:w="6491" w:type="dxa"/>
            <w:noWrap w:val="0"/>
            <w:vAlign w:val="center"/>
          </w:tcPr>
          <w:p>
            <w:pPr>
              <w:snapToGrid w:val="0"/>
              <w:spacing w:line="360" w:lineRule="exact"/>
              <w:rPr>
                <w:color w:val="000000"/>
                <w:szCs w:val="21"/>
              </w:rPr>
            </w:pPr>
            <w:r>
              <w:rPr>
                <w:rFonts w:hint="eastAsia"/>
                <w:color w:val="000000"/>
                <w:szCs w:val="21"/>
              </w:rPr>
              <w:t>厂内设置有一个容积为</w:t>
            </w:r>
            <w:r>
              <w:rPr>
                <w:color w:val="000000"/>
                <w:szCs w:val="21"/>
              </w:rPr>
              <w:t>100m3</w:t>
            </w:r>
            <w:r>
              <w:rPr>
                <w:rFonts w:hint="eastAsia"/>
                <w:color w:val="000000"/>
                <w:szCs w:val="21"/>
              </w:rPr>
              <w:t>的初期雨水，项目区域内污水大多采用管道由泵进行转运，且建设单位于</w:t>
            </w:r>
            <w:r>
              <w:rPr>
                <w:color w:val="000000"/>
                <w:szCs w:val="21"/>
              </w:rPr>
              <w:t>2019</w:t>
            </w:r>
            <w:r>
              <w:rPr>
                <w:rFonts w:hint="eastAsia"/>
                <w:color w:val="000000"/>
                <w:szCs w:val="21"/>
              </w:rPr>
              <w:t>年</w:t>
            </w:r>
            <w:r>
              <w:rPr>
                <w:color w:val="000000"/>
                <w:szCs w:val="21"/>
              </w:rPr>
              <w:t>8</w:t>
            </w:r>
            <w:r>
              <w:rPr>
                <w:rFonts w:hint="eastAsia"/>
                <w:color w:val="000000"/>
                <w:szCs w:val="21"/>
              </w:rPr>
              <w:t>月委托云南协同环保工程有限公司编制完成了《罗平锌电股份有限公司富乐铅锌矿雨污分流完善项目实施方案》，已经于</w:t>
            </w:r>
            <w:r>
              <w:rPr>
                <w:color w:val="000000"/>
                <w:szCs w:val="21"/>
              </w:rPr>
              <w:t>2019</w:t>
            </w:r>
            <w:r>
              <w:rPr>
                <w:rFonts w:hint="eastAsia"/>
                <w:color w:val="000000"/>
                <w:szCs w:val="21"/>
              </w:rPr>
              <w:t>年</w:t>
            </w:r>
            <w:r>
              <w:rPr>
                <w:color w:val="000000"/>
                <w:szCs w:val="21"/>
              </w:rPr>
              <w:t>8</w:t>
            </w:r>
            <w:r>
              <w:rPr>
                <w:rFonts w:hint="eastAsia"/>
                <w:color w:val="000000"/>
                <w:szCs w:val="21"/>
              </w:rPr>
              <w:t>月</w:t>
            </w:r>
            <w:r>
              <w:rPr>
                <w:color w:val="000000"/>
                <w:szCs w:val="21"/>
              </w:rPr>
              <w:t>2</w:t>
            </w:r>
            <w:r>
              <w:rPr>
                <w:rFonts w:hint="eastAsia"/>
                <w:color w:val="000000"/>
                <w:szCs w:val="21"/>
              </w:rPr>
              <w:t>日通过了专家评审，工程实施后，厂内雨污分流将进一步得到完善</w:t>
            </w:r>
          </w:p>
        </w:tc>
      </w:tr>
    </w:tbl>
    <w:p>
      <w:pPr>
        <w:spacing w:line="360" w:lineRule="auto"/>
        <w:ind w:firstLine="482" w:firstLineChars="200"/>
        <w:rPr>
          <w:rFonts w:hint="eastAsia"/>
          <w:b/>
          <w:color w:val="000000"/>
          <w:sz w:val="24"/>
          <w:szCs w:val="24"/>
        </w:rPr>
      </w:pPr>
      <w:r>
        <w:rPr>
          <w:rFonts w:hint="eastAsia"/>
          <w:b/>
          <w:color w:val="000000"/>
          <w:sz w:val="24"/>
          <w:szCs w:val="24"/>
        </w:rPr>
        <w:t>2.4.2.3竣工验收的落实情况</w:t>
      </w:r>
    </w:p>
    <w:p>
      <w:pPr>
        <w:spacing w:line="360" w:lineRule="auto"/>
        <w:ind w:firstLine="480" w:firstLineChars="200"/>
        <w:rPr>
          <w:color w:val="000000"/>
          <w:sz w:val="24"/>
          <w:szCs w:val="24"/>
        </w:rPr>
      </w:pPr>
      <w:r>
        <w:rPr>
          <w:rFonts w:hint="eastAsia"/>
          <w:color w:val="000000"/>
          <w:sz w:val="24"/>
          <w:szCs w:val="24"/>
        </w:rPr>
        <w:t>云南罗平锌电股份有限公司富乐铅锌矿采选项目于2019年4月1日委托云南京诚检测技术有限公司进行竣工验收监测，2019年8月组织省冶金研究院等部门专家进行环境保护验收。根据要求完成《云南罗平锌电股份有限公司富乐铅锌矿采选项目硫化矿系统竣工环境保护验收自检自查报告》，将相关的验收手续提效生态环境管理部门。</w:t>
      </w:r>
    </w:p>
    <w:p>
      <w:pPr>
        <w:pStyle w:val="5"/>
        <w:rPr>
          <w:rFonts w:hint="eastAsia"/>
          <w:color w:val="000000"/>
        </w:rPr>
      </w:pPr>
      <w:bookmarkStart w:id="165" w:name="_Toc23000873"/>
      <w:r>
        <w:rPr>
          <w:rFonts w:hint="eastAsia"/>
          <w:color w:val="000000"/>
        </w:rPr>
        <w:t>2.4.3 排污许可证的领取情况</w:t>
      </w:r>
      <w:bookmarkEnd w:id="165"/>
    </w:p>
    <w:p>
      <w:pPr>
        <w:spacing w:line="360" w:lineRule="auto"/>
        <w:ind w:firstLine="570"/>
        <w:rPr>
          <w:rFonts w:hint="eastAsia" w:ascii="宋体" w:hAnsi="宋体"/>
          <w:b/>
          <w:color w:val="000000"/>
          <w:sz w:val="24"/>
          <w:szCs w:val="24"/>
        </w:rPr>
      </w:pPr>
      <w:r>
        <w:rPr>
          <w:rFonts w:hint="eastAsia" w:ascii="宋体" w:hAnsi="宋体"/>
          <w:b/>
          <w:color w:val="000000"/>
          <w:sz w:val="24"/>
          <w:szCs w:val="24"/>
        </w:rPr>
        <w:t>2.4.3.1排污申报制度执行情况</w:t>
      </w:r>
    </w:p>
    <w:p>
      <w:pPr>
        <w:spacing w:line="360" w:lineRule="auto"/>
        <w:ind w:firstLine="570"/>
        <w:rPr>
          <w:rFonts w:hint="eastAsia" w:ascii="宋体" w:hAnsi="宋体"/>
          <w:color w:val="000000"/>
          <w:sz w:val="24"/>
          <w:szCs w:val="24"/>
        </w:rPr>
      </w:pPr>
      <w:r>
        <w:rPr>
          <w:rFonts w:hint="eastAsia" w:ascii="宋体" w:hAnsi="宋体"/>
          <w:color w:val="000000"/>
          <w:sz w:val="24"/>
          <w:szCs w:val="24"/>
        </w:rPr>
        <w:t>公司每年均进行了排污申报登记，并得到了环保部门的确认。</w:t>
      </w:r>
    </w:p>
    <w:p>
      <w:pPr>
        <w:spacing w:line="360" w:lineRule="auto"/>
        <w:ind w:firstLine="570"/>
        <w:rPr>
          <w:rFonts w:hint="eastAsia" w:ascii="宋体" w:hAnsi="宋体"/>
          <w:b/>
          <w:color w:val="000000"/>
          <w:sz w:val="24"/>
          <w:szCs w:val="24"/>
        </w:rPr>
      </w:pPr>
      <w:r>
        <w:rPr>
          <w:rFonts w:hint="eastAsia" w:ascii="宋体" w:hAnsi="宋体"/>
          <w:b/>
          <w:color w:val="000000"/>
          <w:sz w:val="24"/>
          <w:szCs w:val="24"/>
        </w:rPr>
        <w:t>2.4.3.2排污许可证制度执行情况</w:t>
      </w:r>
    </w:p>
    <w:p>
      <w:pPr>
        <w:spacing w:line="360" w:lineRule="auto"/>
        <w:ind w:firstLine="570"/>
        <w:rPr>
          <w:rFonts w:hint="eastAsia" w:ascii="宋体" w:hAnsi="宋体"/>
          <w:color w:val="000000"/>
          <w:sz w:val="24"/>
          <w:szCs w:val="24"/>
        </w:rPr>
      </w:pPr>
      <w:r>
        <w:rPr>
          <w:rFonts w:ascii="宋体" w:hAnsi="宋体"/>
          <w:color w:val="000000"/>
          <w:sz w:val="24"/>
          <w:szCs w:val="24"/>
        </w:rPr>
        <w:t>201</w:t>
      </w:r>
      <w:r>
        <w:rPr>
          <w:rFonts w:hint="eastAsia" w:ascii="宋体" w:hAnsi="宋体"/>
          <w:color w:val="000000"/>
          <w:sz w:val="24"/>
          <w:szCs w:val="24"/>
        </w:rPr>
        <w:t>7年12</w:t>
      </w:r>
      <w:r>
        <w:rPr>
          <w:rFonts w:ascii="宋体" w:hAnsi="宋体"/>
          <w:color w:val="000000"/>
          <w:sz w:val="24"/>
          <w:szCs w:val="24"/>
        </w:rPr>
        <w:t>月</w:t>
      </w:r>
      <w:r>
        <w:rPr>
          <w:rFonts w:hint="eastAsia" w:ascii="宋体" w:hAnsi="宋体"/>
          <w:color w:val="000000"/>
          <w:sz w:val="24"/>
          <w:szCs w:val="24"/>
        </w:rPr>
        <w:t>曲靖市环境保护局为云南罗平锌电股份有限公司换发</w:t>
      </w:r>
      <w:r>
        <w:rPr>
          <w:rFonts w:ascii="宋体" w:hAnsi="宋体"/>
          <w:color w:val="000000"/>
          <w:sz w:val="24"/>
          <w:szCs w:val="24"/>
        </w:rPr>
        <w:t>排污许可证（</w:t>
      </w:r>
      <w:r>
        <w:rPr>
          <w:rFonts w:hint="eastAsia" w:ascii="宋体" w:hAnsi="宋体"/>
          <w:color w:val="000000"/>
          <w:sz w:val="24"/>
          <w:szCs w:val="24"/>
        </w:rPr>
        <w:t>证书编号：915300007098268547001P</w:t>
      </w:r>
      <w:r>
        <w:rPr>
          <w:rFonts w:ascii="宋体" w:hAnsi="宋体"/>
          <w:color w:val="000000"/>
          <w:sz w:val="24"/>
          <w:szCs w:val="24"/>
        </w:rPr>
        <w:t>）。</w:t>
      </w:r>
      <w:r>
        <w:rPr>
          <w:rFonts w:hint="eastAsia" w:ascii="宋体" w:hAnsi="宋体"/>
          <w:color w:val="000000"/>
          <w:sz w:val="24"/>
          <w:szCs w:val="24"/>
        </w:rPr>
        <w:t>详见表2-20。</w:t>
      </w:r>
    </w:p>
    <w:p>
      <w:pPr>
        <w:spacing w:line="320" w:lineRule="exact"/>
        <w:ind w:firstLine="2327" w:firstLineChars="966"/>
        <w:rPr>
          <w:rFonts w:hint="eastAsia" w:ascii="宋体" w:hAnsi="宋体"/>
          <w:b/>
          <w:color w:val="000000"/>
          <w:sz w:val="24"/>
        </w:rPr>
      </w:pPr>
      <w:bookmarkStart w:id="166" w:name="_Toc474018599"/>
      <w:bookmarkStart w:id="167" w:name="_Toc465950483"/>
      <w:bookmarkStart w:id="168" w:name="_Toc461612507"/>
      <w:r>
        <w:rPr>
          <w:rFonts w:hint="eastAsia" w:ascii="宋体" w:hAnsi="宋体"/>
          <w:b/>
          <w:color w:val="000000"/>
          <w:sz w:val="24"/>
        </w:rPr>
        <w:t>表2－20　　生产排污许可证制度执行情况表</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9"/>
        <w:gridCol w:w="1340"/>
        <w:gridCol w:w="1531"/>
        <w:gridCol w:w="2087"/>
        <w:gridCol w:w="1742"/>
        <w:gridCol w:w="13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发证机关</w:t>
            </w:r>
          </w:p>
        </w:tc>
        <w:tc>
          <w:tcPr>
            <w:tcW w:w="13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许可证编号</w:t>
            </w:r>
          </w:p>
        </w:tc>
        <w:tc>
          <w:tcPr>
            <w:tcW w:w="1531"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有效期</w:t>
            </w: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污染物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许可排放量</w:t>
            </w:r>
          </w:p>
          <w:p>
            <w:pPr>
              <w:spacing w:line="320" w:lineRule="exact"/>
              <w:jc w:val="center"/>
              <w:rPr>
                <w:rFonts w:hint="eastAsia" w:ascii="宋体" w:hAnsi="宋体"/>
                <w:color w:val="000000"/>
                <w:szCs w:val="21"/>
              </w:rPr>
            </w:pPr>
            <w:r>
              <w:rPr>
                <w:rFonts w:hint="eastAsia" w:ascii="宋体" w:hAnsi="宋体"/>
                <w:color w:val="000000"/>
                <w:szCs w:val="21"/>
              </w:rPr>
              <w:t>（吨/年）</w:t>
            </w:r>
          </w:p>
        </w:tc>
        <w:tc>
          <w:tcPr>
            <w:tcW w:w="13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是否满足要求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曲靖市环境保护局</w:t>
            </w:r>
          </w:p>
        </w:tc>
        <w:tc>
          <w:tcPr>
            <w:tcW w:w="1340"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 w:val="24"/>
                <w:szCs w:val="24"/>
              </w:rPr>
              <w:t>915300007098268547001P</w:t>
            </w:r>
          </w:p>
        </w:tc>
        <w:tc>
          <w:tcPr>
            <w:tcW w:w="1531"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2017.12-2020.12</w:t>
            </w: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颗粒物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37.553</w:t>
            </w:r>
          </w:p>
        </w:tc>
        <w:tc>
          <w:tcPr>
            <w:tcW w:w="1340" w:type="dxa"/>
            <w:vMerge w:val="restart"/>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按环境保护局要求不超标准，不超总量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SO</w:t>
            </w:r>
            <w:r>
              <w:rPr>
                <w:rFonts w:hint="eastAsia" w:ascii="宋体" w:hAnsi="宋体"/>
                <w:color w:val="000000"/>
                <w:szCs w:val="21"/>
                <w:vertAlign w:val="subscript"/>
              </w:rPr>
              <w:t>2</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182.017</w:t>
            </w:r>
          </w:p>
        </w:tc>
        <w:tc>
          <w:tcPr>
            <w:tcW w:w="1340" w:type="dxa"/>
            <w:vMerge w:val="continue"/>
            <w:noWrap w:val="0"/>
            <w:vAlign w:val="top"/>
          </w:tcPr>
          <w:p>
            <w:pPr>
              <w:spacing w:line="32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NOx</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77.634</w:t>
            </w:r>
          </w:p>
        </w:tc>
        <w:tc>
          <w:tcPr>
            <w:tcW w:w="1340" w:type="dxa"/>
            <w:vMerge w:val="continue"/>
            <w:noWrap w:val="0"/>
            <w:vAlign w:val="top"/>
          </w:tcPr>
          <w:p>
            <w:pPr>
              <w:spacing w:line="32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铅及其化合物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1.5718</w:t>
            </w:r>
          </w:p>
        </w:tc>
        <w:tc>
          <w:tcPr>
            <w:tcW w:w="1340" w:type="dxa"/>
            <w:vMerge w:val="continue"/>
            <w:noWrap w:val="0"/>
            <w:vAlign w:val="top"/>
          </w:tcPr>
          <w:p>
            <w:pPr>
              <w:spacing w:line="32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3" w:hRule="atLeast"/>
        </w:trPr>
        <w:tc>
          <w:tcPr>
            <w:tcW w:w="1149" w:type="dxa"/>
            <w:vMerge w:val="continue"/>
            <w:noWrap w:val="0"/>
            <w:vAlign w:val="top"/>
          </w:tcPr>
          <w:p>
            <w:pPr>
              <w:spacing w:line="320" w:lineRule="exact"/>
              <w:jc w:val="center"/>
              <w:rPr>
                <w:rFonts w:hint="eastAsia" w:ascii="宋体" w:hAnsi="宋体"/>
                <w:color w:val="000000"/>
                <w:szCs w:val="21"/>
              </w:rPr>
            </w:pPr>
          </w:p>
        </w:tc>
        <w:tc>
          <w:tcPr>
            <w:tcW w:w="1340" w:type="dxa"/>
            <w:vMerge w:val="continue"/>
            <w:noWrap w:val="0"/>
            <w:vAlign w:val="top"/>
          </w:tcPr>
          <w:p>
            <w:pPr>
              <w:spacing w:line="320" w:lineRule="exact"/>
              <w:jc w:val="center"/>
              <w:rPr>
                <w:rFonts w:hint="eastAsia" w:ascii="宋体" w:hAnsi="宋体"/>
                <w:color w:val="000000"/>
                <w:szCs w:val="21"/>
              </w:rPr>
            </w:pPr>
          </w:p>
        </w:tc>
        <w:tc>
          <w:tcPr>
            <w:tcW w:w="1531" w:type="dxa"/>
            <w:vMerge w:val="continue"/>
            <w:noWrap w:val="0"/>
            <w:vAlign w:val="top"/>
          </w:tcPr>
          <w:p>
            <w:pPr>
              <w:spacing w:line="320" w:lineRule="exact"/>
              <w:jc w:val="center"/>
              <w:rPr>
                <w:rFonts w:hint="eastAsia" w:ascii="宋体" w:hAnsi="宋体"/>
                <w:color w:val="000000"/>
                <w:szCs w:val="21"/>
              </w:rPr>
            </w:pPr>
          </w:p>
        </w:tc>
        <w:tc>
          <w:tcPr>
            <w:tcW w:w="2087"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汞及其化合物</w:t>
            </w:r>
          </w:p>
        </w:tc>
        <w:tc>
          <w:tcPr>
            <w:tcW w:w="1742"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0.01488</w:t>
            </w:r>
          </w:p>
        </w:tc>
        <w:tc>
          <w:tcPr>
            <w:tcW w:w="1340" w:type="dxa"/>
            <w:vMerge w:val="continue"/>
            <w:noWrap w:val="0"/>
            <w:vAlign w:val="top"/>
          </w:tcPr>
          <w:p>
            <w:pPr>
              <w:spacing w:line="320" w:lineRule="exact"/>
              <w:jc w:val="center"/>
              <w:rPr>
                <w:rFonts w:hint="eastAsia" w:ascii="宋体" w:hAnsi="宋体"/>
                <w:color w:val="000000"/>
                <w:szCs w:val="21"/>
              </w:rPr>
            </w:pPr>
          </w:p>
        </w:tc>
      </w:tr>
      <w:bookmarkEnd w:id="166"/>
    </w:tbl>
    <w:p>
      <w:pPr>
        <w:spacing w:before="120" w:beforeLines="50" w:line="360" w:lineRule="auto"/>
        <w:ind w:firstLine="480" w:firstLineChars="200"/>
        <w:rPr>
          <w:rFonts w:hint="eastAsia" w:ascii="宋体" w:hAnsi="宋体"/>
          <w:color w:val="000000"/>
          <w:sz w:val="24"/>
          <w:szCs w:val="24"/>
        </w:rPr>
      </w:pPr>
      <w:r>
        <w:rPr>
          <w:rFonts w:hint="eastAsia" w:ascii="宋体" w:hAnsi="宋体"/>
          <w:color w:val="000000"/>
          <w:sz w:val="24"/>
          <w:szCs w:val="24"/>
        </w:rPr>
        <w:t>排污许可证由云南罗平锌电股份有限公司办理，目前富乐铅锌矿未单独办理排污许可证。</w:t>
      </w:r>
    </w:p>
    <w:p>
      <w:pPr>
        <w:pStyle w:val="5"/>
        <w:rPr>
          <w:rFonts w:hint="eastAsia"/>
          <w:color w:val="000000"/>
        </w:rPr>
      </w:pPr>
      <w:bookmarkStart w:id="169" w:name="_Toc23000874"/>
      <w:r>
        <w:rPr>
          <w:rFonts w:hint="eastAsia"/>
          <w:color w:val="000000"/>
        </w:rPr>
        <w:t>2.4.4企业执行的环境标准</w:t>
      </w:r>
      <w:bookmarkEnd w:id="169"/>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公司产生的污染物主要为废水、废气、噪声及固体废弃物，其执行标准如下：</w:t>
      </w:r>
    </w:p>
    <w:p>
      <w:pPr>
        <w:spacing w:line="360" w:lineRule="auto"/>
        <w:ind w:firstLine="480" w:firstLineChars="200"/>
        <w:rPr>
          <w:color w:val="000000"/>
          <w:sz w:val="24"/>
        </w:rPr>
      </w:pPr>
      <w:r>
        <w:rPr>
          <w:rFonts w:hint="eastAsia"/>
          <w:color w:val="000000"/>
          <w:sz w:val="24"/>
        </w:rPr>
        <w:t>（1）大气污染物排放标准</w:t>
      </w:r>
    </w:p>
    <w:p>
      <w:pPr>
        <w:spacing w:line="360" w:lineRule="auto"/>
        <w:ind w:firstLine="480" w:firstLineChars="200"/>
        <w:rPr>
          <w:rFonts w:hint="eastAsia"/>
          <w:color w:val="000000"/>
          <w:sz w:val="24"/>
        </w:rPr>
      </w:pPr>
      <w:r>
        <w:rPr>
          <w:rFonts w:hint="eastAsia"/>
          <w:color w:val="000000"/>
          <w:sz w:val="24"/>
        </w:rPr>
        <w:t>产生的废气主要是生产过程中产生的颗粒物以及食堂运营过程中产生的食堂油烟，生产废气执行《铅锌工业污染物排放标准》（</w:t>
      </w:r>
      <w:r>
        <w:rPr>
          <w:color w:val="000000"/>
          <w:sz w:val="24"/>
        </w:rPr>
        <w:t>GB25466-2010</w:t>
      </w:r>
      <w:r>
        <w:rPr>
          <w:rFonts w:hint="eastAsia"/>
          <w:color w:val="000000"/>
          <w:sz w:val="24"/>
        </w:rPr>
        <w:t>）有组织排放的颗粒物执行表</w:t>
      </w:r>
      <w:r>
        <w:rPr>
          <w:color w:val="000000"/>
          <w:sz w:val="24"/>
        </w:rPr>
        <w:t>5</w:t>
      </w:r>
      <w:r>
        <w:rPr>
          <w:rFonts w:hint="eastAsia"/>
          <w:color w:val="000000"/>
          <w:sz w:val="24"/>
        </w:rPr>
        <w:t>的排放浓度限值，无组织排放颗粒物执行表</w:t>
      </w:r>
      <w:r>
        <w:rPr>
          <w:color w:val="000000"/>
          <w:sz w:val="24"/>
        </w:rPr>
        <w:t>6</w:t>
      </w:r>
      <w:r>
        <w:rPr>
          <w:rFonts w:hint="eastAsia"/>
          <w:color w:val="000000"/>
          <w:sz w:val="24"/>
        </w:rPr>
        <w:t>的规定限值，详见表2-21。</w:t>
      </w:r>
      <w:r>
        <w:rPr>
          <w:color w:val="000000"/>
          <w:sz w:val="24"/>
        </w:rPr>
        <w:t xml:space="preserve"> </w:t>
      </w: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0" w:firstLineChars="200"/>
        <w:rPr>
          <w:rFonts w:hint="eastAsia"/>
          <w:color w:val="000000"/>
          <w:sz w:val="24"/>
        </w:rPr>
      </w:pPr>
    </w:p>
    <w:p>
      <w:pPr>
        <w:spacing w:line="360" w:lineRule="auto"/>
        <w:ind w:firstLine="482"/>
        <w:jc w:val="center"/>
        <w:rPr>
          <w:b/>
          <w:color w:val="000000"/>
          <w:sz w:val="24"/>
          <w:szCs w:val="24"/>
        </w:rPr>
      </w:pPr>
      <w:r>
        <w:rPr>
          <w:rFonts w:hint="eastAsia"/>
          <w:b/>
          <w:color w:val="000000"/>
          <w:sz w:val="24"/>
          <w:szCs w:val="24"/>
        </w:rPr>
        <w:t>表2</w:t>
      </w:r>
      <w:r>
        <w:rPr>
          <w:b/>
          <w:color w:val="000000"/>
          <w:sz w:val="24"/>
          <w:szCs w:val="24"/>
        </w:rPr>
        <w:t>-2</w:t>
      </w:r>
      <w:r>
        <w:rPr>
          <w:rFonts w:hint="eastAsia"/>
          <w:b/>
          <w:color w:val="000000"/>
          <w:sz w:val="24"/>
          <w:szCs w:val="24"/>
        </w:rPr>
        <w:t>1  《铅锌工业污染物排放标准》（单位：</w:t>
      </w:r>
      <w:r>
        <w:rPr>
          <w:b/>
          <w:color w:val="000000"/>
          <w:sz w:val="24"/>
          <w:szCs w:val="24"/>
        </w:rPr>
        <w:t>mg/m</w:t>
      </w:r>
      <w:r>
        <w:rPr>
          <w:b/>
          <w:color w:val="000000"/>
          <w:sz w:val="24"/>
          <w:szCs w:val="24"/>
          <w:vertAlign w:val="superscript"/>
        </w:rPr>
        <w:t>3</w:t>
      </w:r>
      <w:r>
        <w:rPr>
          <w:rFonts w:hint="eastAsia"/>
          <w:b/>
          <w:color w:val="000000"/>
          <w:sz w:val="24"/>
          <w:szCs w:val="24"/>
        </w:rPr>
        <w:t>）</w:t>
      </w:r>
    </w:p>
    <w:tbl>
      <w:tblPr>
        <w:tblStyle w:val="35"/>
        <w:tblW w:w="4608" w:type="pct"/>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665"/>
        <w:gridCol w:w="2269"/>
        <w:gridCol w:w="48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71" w:hRule="atLeast"/>
        </w:trPr>
        <w:tc>
          <w:tcPr>
            <w:tcW w:w="944" w:type="pct"/>
            <w:noWrap w:val="0"/>
            <w:vAlign w:val="center"/>
          </w:tcPr>
          <w:p>
            <w:pPr>
              <w:pStyle w:val="44"/>
              <w:rPr>
                <w:rFonts w:ascii="宋体" w:hAnsi="宋体" w:eastAsia="宋体"/>
                <w:color w:val="000000"/>
              </w:rPr>
            </w:pPr>
            <w:r>
              <w:rPr>
                <w:rFonts w:hint="eastAsia" w:ascii="宋体" w:hAnsi="宋体" w:eastAsia="宋体"/>
                <w:color w:val="000000"/>
              </w:rPr>
              <w:t>污染物</w:t>
            </w:r>
          </w:p>
        </w:tc>
        <w:tc>
          <w:tcPr>
            <w:tcW w:w="1286" w:type="pct"/>
            <w:noWrap w:val="0"/>
            <w:vAlign w:val="center"/>
          </w:tcPr>
          <w:p>
            <w:pPr>
              <w:pStyle w:val="44"/>
              <w:rPr>
                <w:rFonts w:ascii="宋体" w:hAnsi="宋体" w:eastAsia="宋体"/>
                <w:color w:val="000000"/>
              </w:rPr>
            </w:pPr>
            <w:r>
              <w:rPr>
                <w:rFonts w:hint="eastAsia" w:ascii="宋体" w:hAnsi="宋体" w:eastAsia="宋体"/>
                <w:color w:val="000000"/>
              </w:rPr>
              <w:t>有组织排放浓度限值（</w:t>
            </w:r>
            <w:r>
              <w:rPr>
                <w:rFonts w:ascii="宋体" w:hAnsi="宋体" w:eastAsia="宋体"/>
                <w:color w:val="000000"/>
              </w:rPr>
              <w:t>mg/m</w:t>
            </w:r>
            <w:r>
              <w:rPr>
                <w:rFonts w:ascii="宋体" w:hAnsi="宋体" w:eastAsia="宋体"/>
                <w:color w:val="000000"/>
                <w:vertAlign w:val="superscript"/>
              </w:rPr>
              <w:t>3</w:t>
            </w:r>
            <w:r>
              <w:rPr>
                <w:rFonts w:hint="eastAsia" w:ascii="宋体" w:hAnsi="宋体" w:eastAsia="宋体"/>
                <w:color w:val="000000"/>
              </w:rPr>
              <w:t>）</w:t>
            </w:r>
          </w:p>
        </w:tc>
        <w:tc>
          <w:tcPr>
            <w:tcW w:w="2770" w:type="pct"/>
            <w:noWrap w:val="0"/>
            <w:vAlign w:val="center"/>
          </w:tcPr>
          <w:p>
            <w:pPr>
              <w:pStyle w:val="44"/>
              <w:rPr>
                <w:rFonts w:ascii="宋体" w:hAnsi="宋体" w:eastAsia="宋体"/>
                <w:color w:val="000000"/>
              </w:rPr>
            </w:pPr>
            <w:r>
              <w:rPr>
                <w:rFonts w:hint="eastAsia" w:ascii="宋体" w:hAnsi="宋体" w:eastAsia="宋体"/>
                <w:color w:val="000000"/>
              </w:rPr>
              <w:t>无组织排放浓度限值（企业边界大气污染物浓度限值（</w:t>
            </w:r>
            <w:r>
              <w:rPr>
                <w:rFonts w:ascii="宋体" w:hAnsi="宋体" w:eastAsia="宋体"/>
                <w:color w:val="000000"/>
              </w:rPr>
              <w:t>mg/m</w:t>
            </w:r>
            <w:r>
              <w:rPr>
                <w:rFonts w:ascii="宋体" w:hAnsi="宋体" w:eastAsia="宋体"/>
                <w:color w:val="000000"/>
                <w:vertAlign w:val="superscript"/>
              </w:rPr>
              <w:t>3</w:t>
            </w:r>
            <w:r>
              <w:rPr>
                <w:rFonts w:hint="eastAsia" w:ascii="宋体" w:hAnsi="宋体" w:eastAsia="宋体"/>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21" w:hRule="atLeast"/>
        </w:trPr>
        <w:tc>
          <w:tcPr>
            <w:tcW w:w="944" w:type="pct"/>
            <w:noWrap w:val="0"/>
            <w:vAlign w:val="center"/>
          </w:tcPr>
          <w:p>
            <w:pPr>
              <w:pStyle w:val="44"/>
              <w:rPr>
                <w:rFonts w:ascii="宋体" w:hAnsi="宋体" w:eastAsia="宋体"/>
                <w:color w:val="000000"/>
              </w:rPr>
            </w:pPr>
            <w:r>
              <w:rPr>
                <w:rFonts w:hint="eastAsia" w:ascii="宋体" w:hAnsi="宋体" w:eastAsia="宋体"/>
                <w:color w:val="000000"/>
              </w:rPr>
              <w:t>颗粒物</w:t>
            </w:r>
          </w:p>
        </w:tc>
        <w:tc>
          <w:tcPr>
            <w:tcW w:w="1286" w:type="pct"/>
            <w:noWrap w:val="0"/>
            <w:vAlign w:val="center"/>
          </w:tcPr>
          <w:p>
            <w:pPr>
              <w:pStyle w:val="44"/>
              <w:rPr>
                <w:rFonts w:ascii="宋体" w:hAnsi="宋体" w:eastAsia="宋体"/>
                <w:color w:val="000000"/>
              </w:rPr>
            </w:pPr>
            <w:r>
              <w:rPr>
                <w:rFonts w:ascii="宋体" w:hAnsi="宋体" w:eastAsia="宋体"/>
                <w:color w:val="000000"/>
              </w:rPr>
              <w:t>80</w:t>
            </w:r>
          </w:p>
        </w:tc>
        <w:tc>
          <w:tcPr>
            <w:tcW w:w="2770" w:type="pct"/>
            <w:noWrap w:val="0"/>
            <w:vAlign w:val="center"/>
          </w:tcPr>
          <w:p>
            <w:pPr>
              <w:pStyle w:val="44"/>
              <w:rPr>
                <w:rFonts w:ascii="宋体" w:hAnsi="宋体" w:eastAsia="宋体"/>
                <w:color w:val="000000"/>
              </w:rPr>
            </w:pPr>
            <w:r>
              <w:rPr>
                <w:rFonts w:ascii="宋体" w:hAnsi="宋体" w:eastAsia="宋体"/>
                <w:color w:val="000000"/>
              </w:rPr>
              <w:t>1.0</w:t>
            </w:r>
          </w:p>
        </w:tc>
      </w:tr>
    </w:tbl>
    <w:p>
      <w:pPr>
        <w:spacing w:line="360" w:lineRule="auto"/>
        <w:ind w:firstLine="480" w:firstLineChars="200"/>
        <w:rPr>
          <w:color w:val="000000"/>
          <w:sz w:val="24"/>
        </w:rPr>
      </w:pPr>
      <w:r>
        <w:rPr>
          <w:rFonts w:hint="eastAsia"/>
          <w:color w:val="000000"/>
          <w:sz w:val="24"/>
        </w:rPr>
        <w:t>（2）废水排放标准</w:t>
      </w:r>
    </w:p>
    <w:p>
      <w:pPr>
        <w:spacing w:line="360" w:lineRule="auto"/>
        <w:ind w:firstLine="480" w:firstLineChars="200"/>
        <w:rPr>
          <w:rFonts w:hint="eastAsia"/>
          <w:color w:val="000000"/>
          <w:sz w:val="24"/>
        </w:rPr>
      </w:pPr>
      <w:r>
        <w:rPr>
          <w:rFonts w:hint="eastAsia"/>
          <w:color w:val="000000"/>
          <w:sz w:val="24"/>
        </w:rPr>
        <w:t>产生的矿井涌水，用于井下洒水抑尘及选矿生产，剩余部分排至块泽河，外排废水污染物执行《铅、锌工业污染物排放标准》（</w:t>
      </w:r>
      <w:r>
        <w:rPr>
          <w:color w:val="000000"/>
          <w:sz w:val="24"/>
        </w:rPr>
        <w:t>GB25466-2010</w:t>
      </w:r>
      <w:r>
        <w:rPr>
          <w:rFonts w:hint="eastAsia"/>
          <w:color w:val="000000"/>
          <w:sz w:val="24"/>
        </w:rPr>
        <w:t>）表</w:t>
      </w:r>
      <w:r>
        <w:rPr>
          <w:color w:val="000000"/>
          <w:sz w:val="24"/>
        </w:rPr>
        <w:t>2</w:t>
      </w:r>
      <w:r>
        <w:rPr>
          <w:rFonts w:hint="eastAsia"/>
          <w:color w:val="000000"/>
          <w:sz w:val="24"/>
        </w:rPr>
        <w:t>中（直接排放）规定的水污染物排放限值。生活污水经处理收集后回用于厂区洒水及绿化，不外排；选矿废水收集后经污水处理站处理后进行回用，不外排。详见表2-22。</w:t>
      </w:r>
    </w:p>
    <w:p>
      <w:pPr>
        <w:spacing w:line="360" w:lineRule="auto"/>
        <w:ind w:firstLine="482"/>
        <w:jc w:val="center"/>
        <w:rPr>
          <w:b/>
          <w:color w:val="000000"/>
          <w:sz w:val="24"/>
          <w:szCs w:val="24"/>
        </w:rPr>
      </w:pPr>
      <w:r>
        <w:rPr>
          <w:rFonts w:hint="eastAsia"/>
          <w:b/>
          <w:color w:val="000000"/>
          <w:sz w:val="24"/>
          <w:szCs w:val="24"/>
        </w:rPr>
        <w:t xml:space="preserve">表2-22  </w:t>
      </w:r>
      <w:r>
        <w:rPr>
          <w:b/>
          <w:color w:val="000000"/>
          <w:sz w:val="24"/>
          <w:szCs w:val="24"/>
        </w:rPr>
        <w:t xml:space="preserve"> </w:t>
      </w:r>
      <w:r>
        <w:rPr>
          <w:rFonts w:hint="eastAsia"/>
          <w:b/>
          <w:color w:val="000000"/>
          <w:sz w:val="24"/>
          <w:szCs w:val="24"/>
        </w:rPr>
        <w:t>铅锌行业水污染物排放标准</w:t>
      </w:r>
      <w:r>
        <w:rPr>
          <w:b/>
          <w:color w:val="000000"/>
          <w:sz w:val="24"/>
          <w:szCs w:val="24"/>
        </w:rPr>
        <w:t xml:space="preserve"> </w:t>
      </w:r>
      <w:r>
        <w:rPr>
          <w:rFonts w:hint="eastAsia"/>
          <w:b/>
          <w:color w:val="000000"/>
          <w:sz w:val="24"/>
          <w:szCs w:val="24"/>
        </w:rPr>
        <w:t>（单位：</w:t>
      </w:r>
      <w:r>
        <w:rPr>
          <w:b/>
          <w:color w:val="000000"/>
          <w:sz w:val="24"/>
          <w:szCs w:val="24"/>
        </w:rPr>
        <w:t>mg/L</w:t>
      </w:r>
      <w:r>
        <w:rPr>
          <w:rFonts w:hint="eastAsia"/>
          <w:b/>
          <w:color w:val="000000"/>
          <w:sz w:val="24"/>
          <w:szCs w:val="24"/>
        </w:rPr>
        <w:t>）</w:t>
      </w:r>
    </w:p>
    <w:tbl>
      <w:tblPr>
        <w:tblStyle w:val="35"/>
        <w:tblW w:w="4707" w:type="pct"/>
        <w:tblInd w:w="28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101"/>
        <w:gridCol w:w="1742"/>
        <w:gridCol w:w="1022"/>
        <w:gridCol w:w="987"/>
        <w:gridCol w:w="1186"/>
        <w:gridCol w:w="987"/>
        <w:gridCol w:w="984"/>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30" w:hRule="atLeast"/>
        </w:trPr>
        <w:tc>
          <w:tcPr>
            <w:tcW w:w="1166" w:type="pct"/>
            <w:noWrap w:val="0"/>
            <w:vAlign w:val="center"/>
          </w:tcPr>
          <w:p>
            <w:pPr>
              <w:pStyle w:val="44"/>
              <w:rPr>
                <w:rFonts w:ascii="宋体" w:hAnsi="宋体" w:eastAsia="宋体"/>
                <w:color w:val="000000"/>
              </w:rPr>
            </w:pPr>
            <w:r>
              <w:rPr>
                <w:rFonts w:hint="eastAsia" w:ascii="宋体" w:hAnsi="宋体" w:eastAsia="宋体"/>
                <w:color w:val="000000"/>
              </w:rPr>
              <w:t>项目</w:t>
            </w:r>
          </w:p>
        </w:tc>
        <w:tc>
          <w:tcPr>
            <w:tcW w:w="967" w:type="pct"/>
            <w:noWrap w:val="0"/>
            <w:vAlign w:val="center"/>
          </w:tcPr>
          <w:p>
            <w:pPr>
              <w:pStyle w:val="44"/>
              <w:rPr>
                <w:rFonts w:ascii="宋体" w:hAnsi="宋体" w:eastAsia="宋体"/>
                <w:color w:val="000000"/>
              </w:rPr>
            </w:pPr>
            <w:r>
              <w:rPr>
                <w:rFonts w:ascii="宋体" w:hAnsi="宋体" w:eastAsia="宋体"/>
                <w:color w:val="000000"/>
              </w:rPr>
              <w:t>pH</w:t>
            </w:r>
            <w:r>
              <w:rPr>
                <w:rFonts w:hint="eastAsia" w:ascii="宋体" w:hAnsi="宋体" w:eastAsia="宋体"/>
                <w:color w:val="000000"/>
              </w:rPr>
              <w:t>（无量纲）</w:t>
            </w:r>
          </w:p>
        </w:tc>
        <w:tc>
          <w:tcPr>
            <w:tcW w:w="567" w:type="pct"/>
            <w:noWrap w:val="0"/>
            <w:vAlign w:val="center"/>
          </w:tcPr>
          <w:p>
            <w:pPr>
              <w:pStyle w:val="44"/>
              <w:rPr>
                <w:rFonts w:ascii="宋体" w:hAnsi="宋体" w:eastAsia="宋体"/>
                <w:color w:val="000000"/>
              </w:rPr>
            </w:pPr>
            <w:r>
              <w:rPr>
                <w:rFonts w:ascii="宋体" w:hAnsi="宋体" w:eastAsia="宋体"/>
                <w:color w:val="000000"/>
              </w:rPr>
              <w:t>CODcr</w:t>
            </w:r>
          </w:p>
        </w:tc>
        <w:tc>
          <w:tcPr>
            <w:tcW w:w="548" w:type="pct"/>
            <w:noWrap w:val="0"/>
            <w:vAlign w:val="center"/>
          </w:tcPr>
          <w:p>
            <w:pPr>
              <w:pStyle w:val="44"/>
              <w:rPr>
                <w:rFonts w:ascii="宋体" w:hAnsi="宋体" w:eastAsia="宋体"/>
                <w:color w:val="000000"/>
              </w:rPr>
            </w:pPr>
            <w:r>
              <w:rPr>
                <w:rFonts w:ascii="宋体" w:hAnsi="宋体" w:eastAsia="宋体"/>
                <w:color w:val="000000"/>
              </w:rPr>
              <w:t>SS</w:t>
            </w:r>
          </w:p>
        </w:tc>
        <w:tc>
          <w:tcPr>
            <w:tcW w:w="658" w:type="pct"/>
            <w:noWrap w:val="0"/>
            <w:vAlign w:val="center"/>
          </w:tcPr>
          <w:p>
            <w:pPr>
              <w:pStyle w:val="44"/>
              <w:rPr>
                <w:rFonts w:ascii="宋体" w:hAnsi="宋体" w:eastAsia="宋体"/>
                <w:color w:val="000000"/>
              </w:rPr>
            </w:pPr>
            <w:r>
              <w:rPr>
                <w:rFonts w:hint="eastAsia" w:ascii="宋体" w:hAnsi="宋体" w:eastAsia="宋体"/>
                <w:color w:val="000000"/>
              </w:rPr>
              <w:t>硫化物</w:t>
            </w:r>
          </w:p>
        </w:tc>
        <w:tc>
          <w:tcPr>
            <w:tcW w:w="548" w:type="pct"/>
            <w:noWrap w:val="0"/>
            <w:vAlign w:val="center"/>
          </w:tcPr>
          <w:p>
            <w:pPr>
              <w:pStyle w:val="44"/>
              <w:rPr>
                <w:rFonts w:ascii="宋体" w:hAnsi="宋体" w:eastAsia="宋体"/>
                <w:color w:val="000000"/>
              </w:rPr>
            </w:pPr>
            <w:r>
              <w:rPr>
                <w:rFonts w:hint="eastAsia" w:ascii="宋体" w:hAnsi="宋体" w:eastAsia="宋体"/>
                <w:color w:val="000000"/>
              </w:rPr>
              <w:t>铜</w:t>
            </w:r>
          </w:p>
        </w:tc>
        <w:tc>
          <w:tcPr>
            <w:tcW w:w="547" w:type="pct"/>
            <w:noWrap w:val="0"/>
            <w:vAlign w:val="center"/>
          </w:tcPr>
          <w:p>
            <w:pPr>
              <w:pStyle w:val="44"/>
              <w:rPr>
                <w:rFonts w:ascii="宋体" w:hAnsi="宋体" w:eastAsia="宋体"/>
                <w:color w:val="000000"/>
              </w:rPr>
            </w:pPr>
            <w:r>
              <w:rPr>
                <w:rFonts w:hint="eastAsia" w:ascii="宋体" w:hAnsi="宋体" w:eastAsia="宋体"/>
                <w:color w:val="000000"/>
              </w:rPr>
              <w:t>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52" w:hRule="atLeast"/>
        </w:trPr>
        <w:tc>
          <w:tcPr>
            <w:tcW w:w="1166" w:type="pct"/>
            <w:noWrap w:val="0"/>
            <w:vAlign w:val="center"/>
          </w:tcPr>
          <w:p>
            <w:pPr>
              <w:pStyle w:val="44"/>
              <w:rPr>
                <w:rFonts w:ascii="宋体" w:hAnsi="宋体" w:eastAsia="宋体"/>
                <w:color w:val="000000"/>
              </w:rPr>
            </w:pPr>
            <w:r>
              <w:rPr>
                <w:rFonts w:hint="eastAsia" w:ascii="宋体" w:hAnsi="宋体" w:eastAsia="宋体"/>
                <w:color w:val="000000"/>
              </w:rPr>
              <w:t>标准限值（总排口）</w:t>
            </w:r>
          </w:p>
        </w:tc>
        <w:tc>
          <w:tcPr>
            <w:tcW w:w="967" w:type="pct"/>
            <w:noWrap w:val="0"/>
            <w:vAlign w:val="center"/>
          </w:tcPr>
          <w:p>
            <w:pPr>
              <w:pStyle w:val="44"/>
              <w:rPr>
                <w:rFonts w:ascii="宋体" w:hAnsi="宋体" w:eastAsia="宋体"/>
                <w:color w:val="000000"/>
              </w:rPr>
            </w:pPr>
            <w:r>
              <w:rPr>
                <w:rFonts w:ascii="宋体" w:hAnsi="宋体" w:eastAsia="宋体"/>
                <w:color w:val="000000"/>
              </w:rPr>
              <w:t>6</w:t>
            </w:r>
            <w:r>
              <w:rPr>
                <w:rFonts w:hint="eastAsia" w:ascii="宋体" w:hAnsi="宋体" w:eastAsia="宋体"/>
                <w:color w:val="000000"/>
              </w:rPr>
              <w:t>～</w:t>
            </w:r>
            <w:r>
              <w:rPr>
                <w:rFonts w:ascii="宋体" w:hAnsi="宋体" w:eastAsia="宋体"/>
                <w:color w:val="000000"/>
              </w:rPr>
              <w:t>9</w:t>
            </w:r>
          </w:p>
        </w:tc>
        <w:tc>
          <w:tcPr>
            <w:tcW w:w="567"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60</w:t>
            </w:r>
          </w:p>
        </w:tc>
        <w:tc>
          <w:tcPr>
            <w:tcW w:w="548"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50</w:t>
            </w:r>
          </w:p>
        </w:tc>
        <w:tc>
          <w:tcPr>
            <w:tcW w:w="658"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1.0</w:t>
            </w:r>
          </w:p>
        </w:tc>
        <w:tc>
          <w:tcPr>
            <w:tcW w:w="548"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0.5</w:t>
            </w:r>
          </w:p>
        </w:tc>
        <w:tc>
          <w:tcPr>
            <w:tcW w:w="547"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1.5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227" w:hRule="atLeast"/>
        </w:trPr>
        <w:tc>
          <w:tcPr>
            <w:tcW w:w="1166" w:type="pct"/>
            <w:noWrap w:val="0"/>
            <w:vAlign w:val="center"/>
          </w:tcPr>
          <w:p>
            <w:pPr>
              <w:pStyle w:val="44"/>
              <w:rPr>
                <w:rFonts w:ascii="宋体" w:hAnsi="宋体" w:eastAsia="宋体"/>
                <w:color w:val="000000"/>
              </w:rPr>
            </w:pPr>
            <w:r>
              <w:rPr>
                <w:rFonts w:hint="eastAsia" w:ascii="宋体" w:hAnsi="宋体" w:eastAsia="宋体"/>
                <w:color w:val="000000"/>
              </w:rPr>
              <w:t>项目</w:t>
            </w:r>
          </w:p>
        </w:tc>
        <w:tc>
          <w:tcPr>
            <w:tcW w:w="967" w:type="pct"/>
            <w:noWrap w:val="0"/>
            <w:vAlign w:val="center"/>
          </w:tcPr>
          <w:p>
            <w:pPr>
              <w:pStyle w:val="44"/>
              <w:rPr>
                <w:rFonts w:ascii="宋体" w:hAnsi="宋体" w:eastAsia="宋体"/>
                <w:color w:val="000000"/>
              </w:rPr>
            </w:pPr>
            <w:r>
              <w:rPr>
                <w:rFonts w:hint="eastAsia" w:ascii="宋体" w:hAnsi="宋体" w:eastAsia="宋体"/>
                <w:color w:val="000000"/>
              </w:rPr>
              <w:t>铅</w:t>
            </w:r>
          </w:p>
        </w:tc>
        <w:tc>
          <w:tcPr>
            <w:tcW w:w="567" w:type="pct"/>
            <w:noWrap w:val="0"/>
            <w:vAlign w:val="center"/>
          </w:tcPr>
          <w:p>
            <w:pPr>
              <w:pStyle w:val="44"/>
              <w:rPr>
                <w:rFonts w:ascii="宋体" w:hAnsi="宋体" w:eastAsia="宋体"/>
                <w:color w:val="000000"/>
              </w:rPr>
            </w:pPr>
            <w:r>
              <w:rPr>
                <w:rFonts w:hint="eastAsia" w:ascii="宋体" w:hAnsi="宋体" w:eastAsia="宋体"/>
                <w:color w:val="000000"/>
              </w:rPr>
              <w:t>砷</w:t>
            </w:r>
          </w:p>
        </w:tc>
        <w:tc>
          <w:tcPr>
            <w:tcW w:w="548" w:type="pct"/>
            <w:noWrap w:val="0"/>
            <w:vAlign w:val="center"/>
          </w:tcPr>
          <w:p>
            <w:pPr>
              <w:pStyle w:val="44"/>
              <w:rPr>
                <w:rFonts w:ascii="宋体" w:hAnsi="宋体" w:eastAsia="宋体"/>
                <w:color w:val="000000"/>
              </w:rPr>
            </w:pPr>
            <w:r>
              <w:rPr>
                <w:rFonts w:hint="eastAsia" w:ascii="宋体" w:hAnsi="宋体" w:eastAsia="宋体"/>
                <w:color w:val="000000"/>
              </w:rPr>
              <w:t>镉</w:t>
            </w:r>
          </w:p>
        </w:tc>
        <w:tc>
          <w:tcPr>
            <w:tcW w:w="658" w:type="pct"/>
            <w:noWrap w:val="0"/>
            <w:vAlign w:val="center"/>
          </w:tcPr>
          <w:p>
            <w:pPr>
              <w:pStyle w:val="44"/>
              <w:rPr>
                <w:rFonts w:ascii="宋体" w:hAnsi="宋体" w:eastAsia="宋体"/>
                <w:color w:val="000000"/>
              </w:rPr>
            </w:pPr>
            <w:r>
              <w:rPr>
                <w:rFonts w:hint="eastAsia" w:ascii="宋体" w:hAnsi="宋体" w:eastAsia="宋体"/>
                <w:color w:val="000000"/>
              </w:rPr>
              <w:t>汞</w:t>
            </w:r>
          </w:p>
        </w:tc>
        <w:tc>
          <w:tcPr>
            <w:tcW w:w="548" w:type="pct"/>
            <w:noWrap w:val="0"/>
            <w:vAlign w:val="center"/>
          </w:tcPr>
          <w:p>
            <w:pPr>
              <w:pStyle w:val="44"/>
              <w:rPr>
                <w:rFonts w:ascii="宋体" w:hAnsi="宋体" w:eastAsia="宋体"/>
                <w:color w:val="000000"/>
              </w:rPr>
            </w:pPr>
          </w:p>
        </w:tc>
        <w:tc>
          <w:tcPr>
            <w:tcW w:w="547" w:type="pct"/>
            <w:noWrap w:val="0"/>
            <w:vAlign w:val="center"/>
          </w:tcPr>
          <w:p>
            <w:pPr>
              <w:pStyle w:val="44"/>
              <w:rPr>
                <w:rFonts w:ascii="宋体" w:hAnsi="宋体" w:eastAsia="宋体"/>
                <w:color w:val="00000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wBefore w:w="0" w:type="dxa"/>
          <w:wAfter w:w="0" w:type="dxa"/>
          <w:trHeight w:val="313" w:hRule="atLeast"/>
        </w:trPr>
        <w:tc>
          <w:tcPr>
            <w:tcW w:w="1166" w:type="pct"/>
            <w:noWrap w:val="0"/>
            <w:vAlign w:val="center"/>
          </w:tcPr>
          <w:p>
            <w:pPr>
              <w:pStyle w:val="44"/>
              <w:rPr>
                <w:rFonts w:ascii="宋体" w:hAnsi="宋体" w:eastAsia="宋体"/>
                <w:color w:val="000000"/>
              </w:rPr>
            </w:pPr>
            <w:r>
              <w:rPr>
                <w:rFonts w:hint="eastAsia" w:ascii="宋体" w:hAnsi="宋体" w:eastAsia="宋体"/>
                <w:color w:val="000000"/>
              </w:rPr>
              <w:t>标准限值（总排口）</w:t>
            </w:r>
          </w:p>
        </w:tc>
        <w:tc>
          <w:tcPr>
            <w:tcW w:w="967"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0.5</w:t>
            </w:r>
          </w:p>
        </w:tc>
        <w:tc>
          <w:tcPr>
            <w:tcW w:w="567"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0.3</w:t>
            </w:r>
          </w:p>
        </w:tc>
        <w:tc>
          <w:tcPr>
            <w:tcW w:w="548"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0.05</w:t>
            </w:r>
          </w:p>
        </w:tc>
        <w:tc>
          <w:tcPr>
            <w:tcW w:w="658" w:type="pct"/>
            <w:noWrap w:val="0"/>
            <w:vAlign w:val="center"/>
          </w:tcPr>
          <w:p>
            <w:pPr>
              <w:pStyle w:val="44"/>
              <w:rPr>
                <w:rFonts w:ascii="宋体" w:hAnsi="宋体" w:eastAsia="宋体"/>
                <w:color w:val="000000"/>
              </w:rPr>
            </w:pPr>
            <w:r>
              <w:rPr>
                <w:rFonts w:hint="eastAsia" w:ascii="宋体" w:hAnsi="宋体" w:eastAsia="宋体"/>
                <w:color w:val="000000"/>
              </w:rPr>
              <w:t>≤</w:t>
            </w:r>
            <w:r>
              <w:rPr>
                <w:rFonts w:ascii="宋体" w:hAnsi="宋体" w:eastAsia="宋体"/>
                <w:color w:val="000000"/>
              </w:rPr>
              <w:t>0.03</w:t>
            </w:r>
          </w:p>
        </w:tc>
        <w:tc>
          <w:tcPr>
            <w:tcW w:w="548" w:type="pct"/>
            <w:noWrap w:val="0"/>
            <w:vAlign w:val="center"/>
          </w:tcPr>
          <w:p>
            <w:pPr>
              <w:pStyle w:val="44"/>
              <w:rPr>
                <w:rFonts w:ascii="宋体" w:hAnsi="宋体" w:eastAsia="宋体"/>
                <w:color w:val="000000"/>
              </w:rPr>
            </w:pPr>
          </w:p>
        </w:tc>
        <w:tc>
          <w:tcPr>
            <w:tcW w:w="547" w:type="pct"/>
            <w:noWrap w:val="0"/>
            <w:vAlign w:val="center"/>
          </w:tcPr>
          <w:p>
            <w:pPr>
              <w:pStyle w:val="44"/>
              <w:rPr>
                <w:rFonts w:ascii="宋体" w:hAnsi="宋体" w:eastAsia="宋体"/>
                <w:color w:val="000000"/>
              </w:rPr>
            </w:pPr>
          </w:p>
        </w:tc>
      </w:tr>
    </w:tbl>
    <w:p>
      <w:pPr>
        <w:spacing w:line="360" w:lineRule="auto"/>
        <w:ind w:firstLine="480" w:firstLineChars="200"/>
        <w:rPr>
          <w:color w:val="000000"/>
          <w:sz w:val="24"/>
        </w:rPr>
      </w:pPr>
      <w:r>
        <w:rPr>
          <w:rFonts w:hint="eastAsia"/>
          <w:color w:val="000000"/>
          <w:sz w:val="24"/>
        </w:rPr>
        <w:t>（3）固体废物</w:t>
      </w:r>
    </w:p>
    <w:p>
      <w:pPr>
        <w:spacing w:line="360" w:lineRule="auto"/>
        <w:ind w:firstLine="480" w:firstLineChars="200"/>
        <w:rPr>
          <w:color w:val="000000"/>
          <w:sz w:val="24"/>
        </w:rPr>
      </w:pPr>
      <w:r>
        <w:rPr>
          <w:rFonts w:hint="eastAsia"/>
          <w:color w:val="000000"/>
          <w:sz w:val="24"/>
        </w:rPr>
        <w:t>矿山地下开采废石、尾矿鉴别执行《危险废物鉴别标准</w:t>
      </w:r>
      <w:r>
        <w:rPr>
          <w:color w:val="000000"/>
          <w:sz w:val="24"/>
        </w:rPr>
        <w:t xml:space="preserve">  </w:t>
      </w:r>
      <w:r>
        <w:rPr>
          <w:rFonts w:hint="eastAsia"/>
          <w:color w:val="000000"/>
          <w:sz w:val="24"/>
        </w:rPr>
        <w:t>浸出毒性鉴别》（</w:t>
      </w:r>
      <w:r>
        <w:rPr>
          <w:color w:val="000000"/>
          <w:sz w:val="24"/>
        </w:rPr>
        <w:t>GB5085.3-2007</w:t>
      </w:r>
      <w:r>
        <w:rPr>
          <w:rFonts w:hint="eastAsia"/>
          <w:color w:val="000000"/>
          <w:sz w:val="24"/>
        </w:rPr>
        <w:t>）、《危险废物鉴别标准</w:t>
      </w:r>
      <w:r>
        <w:rPr>
          <w:color w:val="000000"/>
          <w:sz w:val="24"/>
        </w:rPr>
        <w:t xml:space="preserve">  </w:t>
      </w:r>
      <w:r>
        <w:rPr>
          <w:rFonts w:hint="eastAsia"/>
          <w:color w:val="000000"/>
          <w:sz w:val="24"/>
        </w:rPr>
        <w:t>腐蚀性鉴别》（</w:t>
      </w:r>
      <w:r>
        <w:rPr>
          <w:color w:val="000000"/>
          <w:sz w:val="24"/>
        </w:rPr>
        <w:t>GB50851-2007</w:t>
      </w:r>
      <w:r>
        <w:rPr>
          <w:rFonts w:hint="eastAsia"/>
          <w:color w:val="000000"/>
          <w:sz w:val="24"/>
        </w:rPr>
        <w:t>）、《污水综合排放标准》（</w:t>
      </w:r>
      <w:r>
        <w:rPr>
          <w:color w:val="000000"/>
          <w:sz w:val="24"/>
        </w:rPr>
        <w:t>GB8978-1996</w:t>
      </w:r>
      <w:r>
        <w:rPr>
          <w:rFonts w:hint="eastAsia"/>
          <w:color w:val="000000"/>
          <w:sz w:val="24"/>
        </w:rPr>
        <w:t>）一级排放标准，贮存执行《一般工业固体废物贮存、处置场污染控制标准》（</w:t>
      </w:r>
      <w:r>
        <w:rPr>
          <w:color w:val="000000"/>
          <w:sz w:val="24"/>
        </w:rPr>
        <w:t>GB18599-2001</w:t>
      </w:r>
      <w:r>
        <w:rPr>
          <w:rFonts w:hint="eastAsia"/>
          <w:color w:val="000000"/>
          <w:sz w:val="24"/>
        </w:rPr>
        <w:t>）及其</w:t>
      </w:r>
      <w:r>
        <w:rPr>
          <w:color w:val="000000"/>
          <w:sz w:val="24"/>
        </w:rPr>
        <w:t>2013</w:t>
      </w:r>
      <w:r>
        <w:rPr>
          <w:rFonts w:hint="eastAsia"/>
          <w:color w:val="000000"/>
          <w:sz w:val="24"/>
        </w:rPr>
        <w:t>修改单中要求。详见表2-23、表2-24、表2-25。</w:t>
      </w:r>
    </w:p>
    <w:p>
      <w:pPr>
        <w:spacing w:line="360" w:lineRule="auto"/>
        <w:jc w:val="center"/>
        <w:rPr>
          <w:b/>
          <w:color w:val="000000"/>
          <w:sz w:val="24"/>
          <w:szCs w:val="24"/>
        </w:rPr>
      </w:pPr>
      <w:r>
        <w:rPr>
          <w:rFonts w:hint="eastAsia"/>
          <w:b/>
          <w:color w:val="000000"/>
          <w:sz w:val="24"/>
          <w:szCs w:val="24"/>
        </w:rPr>
        <w:t>表2-23</w:t>
      </w:r>
      <w:r>
        <w:rPr>
          <w:b/>
          <w:color w:val="000000"/>
          <w:sz w:val="24"/>
          <w:szCs w:val="24"/>
        </w:rPr>
        <w:t xml:space="preserve">  </w:t>
      </w:r>
      <w:r>
        <w:rPr>
          <w:rFonts w:hint="eastAsia"/>
          <w:b/>
          <w:color w:val="000000"/>
          <w:sz w:val="24"/>
          <w:szCs w:val="24"/>
        </w:rPr>
        <w:t>《危险废物鉴别标准</w:t>
      </w:r>
      <w:r>
        <w:rPr>
          <w:b/>
          <w:color w:val="000000"/>
          <w:sz w:val="24"/>
          <w:szCs w:val="24"/>
        </w:rPr>
        <w:t xml:space="preserve">  </w:t>
      </w:r>
      <w:r>
        <w:rPr>
          <w:rFonts w:hint="eastAsia"/>
          <w:b/>
          <w:color w:val="000000"/>
          <w:sz w:val="24"/>
          <w:szCs w:val="24"/>
        </w:rPr>
        <w:t>浸出毒性鉴别》（</w:t>
      </w:r>
      <w:r>
        <w:rPr>
          <w:b/>
          <w:color w:val="000000"/>
          <w:sz w:val="24"/>
          <w:szCs w:val="24"/>
        </w:rPr>
        <w:t>GB5085.3-2007</w:t>
      </w:r>
      <w:r>
        <w:rPr>
          <w:rFonts w:hint="eastAsia"/>
          <w:b/>
          <w:color w:val="000000"/>
          <w:sz w:val="24"/>
          <w:szCs w:val="24"/>
        </w:rPr>
        <w:t>）单位：</w:t>
      </w:r>
      <w:r>
        <w:rPr>
          <w:b/>
          <w:color w:val="000000"/>
          <w:sz w:val="24"/>
          <w:szCs w:val="24"/>
        </w:rPr>
        <w:t>mg/L</w:t>
      </w:r>
    </w:p>
    <w:tbl>
      <w:tblPr>
        <w:tblStyle w:val="35"/>
        <w:tblW w:w="4856"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853"/>
        <w:gridCol w:w="714"/>
        <w:gridCol w:w="712"/>
        <w:gridCol w:w="649"/>
        <w:gridCol w:w="619"/>
        <w:gridCol w:w="970"/>
        <w:gridCol w:w="818"/>
        <w:gridCol w:w="1967"/>
        <w:gridCol w:w="903"/>
        <w:gridCol w:w="10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trHeight w:val="375" w:hRule="atLeast"/>
          <w:jc w:val="center"/>
        </w:trPr>
        <w:tc>
          <w:tcPr>
            <w:tcW w:w="459" w:type="pct"/>
            <w:noWrap w:val="0"/>
            <w:vAlign w:val="center"/>
          </w:tcPr>
          <w:p>
            <w:pPr>
              <w:pStyle w:val="44"/>
              <w:rPr>
                <w:rFonts w:ascii="宋体" w:hAnsi="宋体" w:eastAsia="宋体"/>
                <w:color w:val="000000"/>
              </w:rPr>
            </w:pPr>
            <w:r>
              <w:rPr>
                <w:rFonts w:hint="eastAsia" w:ascii="宋体" w:hAnsi="宋体" w:eastAsia="宋体"/>
                <w:color w:val="000000"/>
              </w:rPr>
              <w:t>项目</w:t>
            </w:r>
          </w:p>
        </w:tc>
        <w:tc>
          <w:tcPr>
            <w:tcW w:w="384" w:type="pct"/>
            <w:noWrap w:val="0"/>
            <w:vAlign w:val="center"/>
          </w:tcPr>
          <w:p>
            <w:pPr>
              <w:pStyle w:val="44"/>
              <w:rPr>
                <w:rFonts w:ascii="宋体" w:hAnsi="宋体" w:eastAsia="宋体"/>
                <w:color w:val="000000"/>
              </w:rPr>
            </w:pPr>
            <w:r>
              <w:rPr>
                <w:rFonts w:ascii="宋体" w:hAnsi="宋体" w:eastAsia="宋体"/>
                <w:color w:val="000000"/>
              </w:rPr>
              <w:t>Cu</w:t>
            </w:r>
          </w:p>
        </w:tc>
        <w:tc>
          <w:tcPr>
            <w:tcW w:w="383" w:type="pct"/>
            <w:noWrap w:val="0"/>
            <w:vAlign w:val="center"/>
          </w:tcPr>
          <w:p>
            <w:pPr>
              <w:pStyle w:val="44"/>
              <w:rPr>
                <w:rFonts w:ascii="宋体" w:hAnsi="宋体" w:eastAsia="宋体"/>
                <w:color w:val="000000"/>
              </w:rPr>
            </w:pPr>
            <w:r>
              <w:rPr>
                <w:rFonts w:ascii="宋体" w:hAnsi="宋体" w:eastAsia="宋体"/>
                <w:color w:val="000000"/>
              </w:rPr>
              <w:t>Zn</w:t>
            </w:r>
          </w:p>
        </w:tc>
        <w:tc>
          <w:tcPr>
            <w:tcW w:w="349" w:type="pct"/>
            <w:noWrap w:val="0"/>
            <w:vAlign w:val="center"/>
          </w:tcPr>
          <w:p>
            <w:pPr>
              <w:pStyle w:val="44"/>
              <w:rPr>
                <w:rFonts w:ascii="宋体" w:hAnsi="宋体" w:eastAsia="宋体"/>
                <w:color w:val="000000"/>
              </w:rPr>
            </w:pPr>
            <w:r>
              <w:rPr>
                <w:rFonts w:ascii="宋体" w:hAnsi="宋体" w:eastAsia="宋体"/>
                <w:color w:val="000000"/>
              </w:rPr>
              <w:t>Cd</w:t>
            </w:r>
          </w:p>
        </w:tc>
        <w:tc>
          <w:tcPr>
            <w:tcW w:w="333" w:type="pct"/>
            <w:noWrap w:val="0"/>
            <w:vAlign w:val="center"/>
          </w:tcPr>
          <w:p>
            <w:pPr>
              <w:pStyle w:val="44"/>
              <w:rPr>
                <w:rFonts w:ascii="宋体" w:hAnsi="宋体" w:eastAsia="宋体"/>
                <w:color w:val="000000"/>
              </w:rPr>
            </w:pPr>
            <w:r>
              <w:rPr>
                <w:rFonts w:ascii="宋体" w:hAnsi="宋体" w:eastAsia="宋体"/>
                <w:color w:val="000000"/>
              </w:rPr>
              <w:t>Pb</w:t>
            </w:r>
          </w:p>
        </w:tc>
        <w:tc>
          <w:tcPr>
            <w:tcW w:w="522" w:type="pct"/>
            <w:noWrap w:val="0"/>
            <w:vAlign w:val="center"/>
          </w:tcPr>
          <w:p>
            <w:pPr>
              <w:pStyle w:val="44"/>
              <w:rPr>
                <w:rFonts w:ascii="宋体" w:hAnsi="宋体" w:eastAsia="宋体"/>
                <w:color w:val="000000"/>
              </w:rPr>
            </w:pPr>
            <w:r>
              <w:rPr>
                <w:rFonts w:hint="eastAsia" w:ascii="宋体" w:hAnsi="宋体" w:eastAsia="宋体"/>
                <w:color w:val="000000"/>
              </w:rPr>
              <w:t>总</w:t>
            </w:r>
            <w:r>
              <w:rPr>
                <w:rFonts w:ascii="宋体" w:hAnsi="宋体" w:eastAsia="宋体"/>
                <w:color w:val="000000"/>
              </w:rPr>
              <w:t>Cr</w:t>
            </w:r>
          </w:p>
        </w:tc>
        <w:tc>
          <w:tcPr>
            <w:tcW w:w="440" w:type="pct"/>
            <w:noWrap w:val="0"/>
            <w:vAlign w:val="center"/>
          </w:tcPr>
          <w:p>
            <w:pPr>
              <w:pStyle w:val="44"/>
              <w:rPr>
                <w:rFonts w:ascii="宋体" w:hAnsi="宋体" w:eastAsia="宋体"/>
                <w:color w:val="000000"/>
              </w:rPr>
            </w:pPr>
            <w:r>
              <w:rPr>
                <w:rFonts w:ascii="宋体" w:hAnsi="宋体" w:eastAsia="宋体"/>
                <w:color w:val="000000"/>
              </w:rPr>
              <w:t>Cr</w:t>
            </w:r>
            <w:r>
              <w:rPr>
                <w:rFonts w:ascii="宋体" w:hAnsi="宋体" w:eastAsia="宋体"/>
                <w:color w:val="000000"/>
                <w:vertAlign w:val="superscript"/>
              </w:rPr>
              <w:t>6+</w:t>
            </w:r>
          </w:p>
        </w:tc>
        <w:tc>
          <w:tcPr>
            <w:tcW w:w="1058" w:type="pct"/>
            <w:noWrap w:val="0"/>
            <w:vAlign w:val="center"/>
          </w:tcPr>
          <w:p>
            <w:pPr>
              <w:pStyle w:val="44"/>
              <w:rPr>
                <w:rFonts w:ascii="宋体" w:hAnsi="宋体" w:eastAsia="宋体"/>
                <w:color w:val="000000"/>
              </w:rPr>
            </w:pPr>
            <w:r>
              <w:rPr>
                <w:rFonts w:hint="eastAsia" w:ascii="宋体" w:hAnsi="宋体" w:eastAsia="宋体"/>
                <w:color w:val="000000"/>
              </w:rPr>
              <w:t>烷基汞</w:t>
            </w:r>
          </w:p>
        </w:tc>
        <w:tc>
          <w:tcPr>
            <w:tcW w:w="486" w:type="pct"/>
            <w:noWrap w:val="0"/>
            <w:vAlign w:val="center"/>
          </w:tcPr>
          <w:p>
            <w:pPr>
              <w:pStyle w:val="44"/>
              <w:rPr>
                <w:rFonts w:ascii="宋体" w:hAnsi="宋体" w:eastAsia="宋体"/>
                <w:color w:val="000000"/>
              </w:rPr>
            </w:pPr>
            <w:r>
              <w:rPr>
                <w:rFonts w:ascii="宋体" w:hAnsi="宋体" w:eastAsia="宋体"/>
                <w:color w:val="000000"/>
              </w:rPr>
              <w:t>Hg</w:t>
            </w:r>
          </w:p>
        </w:tc>
        <w:tc>
          <w:tcPr>
            <w:tcW w:w="586" w:type="pct"/>
            <w:noWrap w:val="0"/>
            <w:vAlign w:val="center"/>
          </w:tcPr>
          <w:p>
            <w:pPr>
              <w:pStyle w:val="44"/>
              <w:rPr>
                <w:rFonts w:ascii="宋体" w:hAnsi="宋体" w:eastAsia="宋体"/>
                <w:color w:val="000000"/>
              </w:rPr>
            </w:pPr>
            <w:r>
              <w:rPr>
                <w:rFonts w:ascii="宋体" w:hAnsi="宋体" w:eastAsia="宋体"/>
                <w:color w:val="000000"/>
              </w:rPr>
              <w:t>Be</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trHeight w:val="375" w:hRule="atLeast"/>
          <w:jc w:val="center"/>
        </w:trPr>
        <w:tc>
          <w:tcPr>
            <w:tcW w:w="459" w:type="pct"/>
            <w:noWrap w:val="0"/>
            <w:vAlign w:val="center"/>
          </w:tcPr>
          <w:p>
            <w:pPr>
              <w:pStyle w:val="44"/>
              <w:rPr>
                <w:rFonts w:ascii="宋体" w:hAnsi="宋体" w:eastAsia="宋体"/>
                <w:color w:val="000000"/>
              </w:rPr>
            </w:pPr>
            <w:r>
              <w:rPr>
                <w:rFonts w:hint="eastAsia" w:ascii="宋体" w:hAnsi="宋体" w:eastAsia="宋体"/>
                <w:color w:val="000000"/>
              </w:rPr>
              <w:t>标准</w:t>
            </w:r>
          </w:p>
        </w:tc>
        <w:tc>
          <w:tcPr>
            <w:tcW w:w="384" w:type="pct"/>
            <w:noWrap w:val="0"/>
            <w:vAlign w:val="center"/>
          </w:tcPr>
          <w:p>
            <w:pPr>
              <w:pStyle w:val="44"/>
              <w:rPr>
                <w:rFonts w:ascii="宋体" w:hAnsi="宋体" w:eastAsia="宋体"/>
                <w:color w:val="000000"/>
              </w:rPr>
            </w:pPr>
            <w:r>
              <w:rPr>
                <w:rFonts w:ascii="宋体" w:hAnsi="宋体" w:eastAsia="宋体"/>
                <w:color w:val="000000"/>
              </w:rPr>
              <w:t>100</w:t>
            </w:r>
          </w:p>
        </w:tc>
        <w:tc>
          <w:tcPr>
            <w:tcW w:w="383" w:type="pct"/>
            <w:noWrap w:val="0"/>
            <w:vAlign w:val="center"/>
          </w:tcPr>
          <w:p>
            <w:pPr>
              <w:pStyle w:val="44"/>
              <w:rPr>
                <w:rFonts w:ascii="宋体" w:hAnsi="宋体" w:eastAsia="宋体"/>
                <w:color w:val="000000"/>
              </w:rPr>
            </w:pPr>
            <w:r>
              <w:rPr>
                <w:rFonts w:ascii="宋体" w:hAnsi="宋体" w:eastAsia="宋体"/>
                <w:color w:val="000000"/>
              </w:rPr>
              <w:t>100</w:t>
            </w:r>
          </w:p>
        </w:tc>
        <w:tc>
          <w:tcPr>
            <w:tcW w:w="349" w:type="pct"/>
            <w:noWrap w:val="0"/>
            <w:vAlign w:val="center"/>
          </w:tcPr>
          <w:p>
            <w:pPr>
              <w:pStyle w:val="44"/>
              <w:rPr>
                <w:rFonts w:ascii="宋体" w:hAnsi="宋体" w:eastAsia="宋体"/>
                <w:color w:val="000000"/>
              </w:rPr>
            </w:pPr>
            <w:r>
              <w:rPr>
                <w:rFonts w:ascii="宋体" w:hAnsi="宋体" w:eastAsia="宋体"/>
                <w:color w:val="000000"/>
              </w:rPr>
              <w:t>1</w:t>
            </w:r>
          </w:p>
        </w:tc>
        <w:tc>
          <w:tcPr>
            <w:tcW w:w="333" w:type="pct"/>
            <w:noWrap w:val="0"/>
            <w:vAlign w:val="center"/>
          </w:tcPr>
          <w:p>
            <w:pPr>
              <w:pStyle w:val="44"/>
              <w:rPr>
                <w:rFonts w:ascii="宋体" w:hAnsi="宋体" w:eastAsia="宋体"/>
                <w:color w:val="000000"/>
              </w:rPr>
            </w:pPr>
            <w:r>
              <w:rPr>
                <w:rFonts w:ascii="宋体" w:hAnsi="宋体" w:eastAsia="宋体"/>
                <w:color w:val="000000"/>
              </w:rPr>
              <w:t>5</w:t>
            </w:r>
          </w:p>
        </w:tc>
        <w:tc>
          <w:tcPr>
            <w:tcW w:w="522" w:type="pct"/>
            <w:noWrap w:val="0"/>
            <w:vAlign w:val="center"/>
          </w:tcPr>
          <w:p>
            <w:pPr>
              <w:pStyle w:val="44"/>
              <w:rPr>
                <w:rFonts w:ascii="宋体" w:hAnsi="宋体" w:eastAsia="宋体"/>
                <w:color w:val="000000"/>
              </w:rPr>
            </w:pPr>
            <w:r>
              <w:rPr>
                <w:rFonts w:ascii="宋体" w:hAnsi="宋体" w:eastAsia="宋体"/>
                <w:color w:val="000000"/>
              </w:rPr>
              <w:t>15</w:t>
            </w:r>
          </w:p>
        </w:tc>
        <w:tc>
          <w:tcPr>
            <w:tcW w:w="440" w:type="pct"/>
            <w:noWrap w:val="0"/>
            <w:vAlign w:val="center"/>
          </w:tcPr>
          <w:p>
            <w:pPr>
              <w:pStyle w:val="44"/>
              <w:rPr>
                <w:rFonts w:ascii="宋体" w:hAnsi="宋体" w:eastAsia="宋体"/>
                <w:color w:val="000000"/>
              </w:rPr>
            </w:pPr>
            <w:r>
              <w:rPr>
                <w:rFonts w:ascii="宋体" w:hAnsi="宋体" w:eastAsia="宋体"/>
                <w:color w:val="000000"/>
              </w:rPr>
              <w:t>5</w:t>
            </w:r>
          </w:p>
        </w:tc>
        <w:tc>
          <w:tcPr>
            <w:tcW w:w="1058" w:type="pct"/>
            <w:noWrap w:val="0"/>
            <w:vAlign w:val="center"/>
          </w:tcPr>
          <w:p>
            <w:pPr>
              <w:pStyle w:val="44"/>
              <w:rPr>
                <w:rFonts w:ascii="宋体" w:hAnsi="宋体" w:eastAsia="宋体"/>
                <w:color w:val="000000"/>
              </w:rPr>
            </w:pPr>
            <w:r>
              <w:rPr>
                <w:rFonts w:hint="eastAsia" w:ascii="宋体" w:hAnsi="宋体" w:eastAsia="宋体"/>
                <w:color w:val="000000"/>
              </w:rPr>
              <w:t>不得检出</w:t>
            </w:r>
          </w:p>
        </w:tc>
        <w:tc>
          <w:tcPr>
            <w:tcW w:w="486" w:type="pct"/>
            <w:noWrap w:val="0"/>
            <w:vAlign w:val="center"/>
          </w:tcPr>
          <w:p>
            <w:pPr>
              <w:pStyle w:val="44"/>
              <w:rPr>
                <w:rFonts w:ascii="宋体" w:hAnsi="宋体" w:eastAsia="宋体"/>
                <w:color w:val="000000"/>
              </w:rPr>
            </w:pPr>
            <w:r>
              <w:rPr>
                <w:rFonts w:ascii="宋体" w:hAnsi="宋体" w:eastAsia="宋体"/>
                <w:color w:val="000000"/>
              </w:rPr>
              <w:t>0.1</w:t>
            </w:r>
          </w:p>
        </w:tc>
        <w:tc>
          <w:tcPr>
            <w:tcW w:w="586" w:type="pct"/>
            <w:noWrap w:val="0"/>
            <w:vAlign w:val="center"/>
          </w:tcPr>
          <w:p>
            <w:pPr>
              <w:pStyle w:val="44"/>
              <w:rPr>
                <w:rFonts w:ascii="宋体" w:hAnsi="宋体" w:eastAsia="宋体"/>
                <w:color w:val="000000"/>
              </w:rPr>
            </w:pPr>
            <w:r>
              <w:rPr>
                <w:rFonts w:ascii="宋体" w:hAnsi="宋体" w:eastAsia="宋体"/>
                <w:color w:val="000000"/>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89" w:hRule="atLeast"/>
          <w:jc w:val="center"/>
        </w:trPr>
        <w:tc>
          <w:tcPr>
            <w:tcW w:w="459" w:type="pct"/>
            <w:noWrap w:val="0"/>
            <w:vAlign w:val="center"/>
          </w:tcPr>
          <w:p>
            <w:pPr>
              <w:pStyle w:val="44"/>
              <w:rPr>
                <w:rFonts w:ascii="宋体" w:hAnsi="宋体" w:eastAsia="宋体"/>
                <w:color w:val="000000"/>
              </w:rPr>
            </w:pPr>
            <w:r>
              <w:rPr>
                <w:rFonts w:hint="eastAsia" w:ascii="宋体" w:hAnsi="宋体" w:eastAsia="宋体"/>
                <w:color w:val="000000"/>
              </w:rPr>
              <w:t>项目</w:t>
            </w:r>
          </w:p>
        </w:tc>
        <w:tc>
          <w:tcPr>
            <w:tcW w:w="384" w:type="pct"/>
            <w:noWrap w:val="0"/>
            <w:vAlign w:val="center"/>
          </w:tcPr>
          <w:p>
            <w:pPr>
              <w:pStyle w:val="44"/>
              <w:rPr>
                <w:rFonts w:ascii="宋体" w:hAnsi="宋体" w:eastAsia="宋体"/>
                <w:color w:val="000000"/>
              </w:rPr>
            </w:pPr>
            <w:r>
              <w:rPr>
                <w:rFonts w:ascii="宋体" w:hAnsi="宋体" w:eastAsia="宋体"/>
                <w:color w:val="000000"/>
              </w:rPr>
              <w:t>Ba</w:t>
            </w:r>
          </w:p>
        </w:tc>
        <w:tc>
          <w:tcPr>
            <w:tcW w:w="383" w:type="pct"/>
            <w:noWrap w:val="0"/>
            <w:vAlign w:val="center"/>
          </w:tcPr>
          <w:p>
            <w:pPr>
              <w:pStyle w:val="44"/>
              <w:rPr>
                <w:rFonts w:ascii="宋体" w:hAnsi="宋体" w:eastAsia="宋体"/>
                <w:color w:val="000000"/>
              </w:rPr>
            </w:pPr>
            <w:r>
              <w:rPr>
                <w:rFonts w:ascii="宋体" w:hAnsi="宋体" w:eastAsia="宋体"/>
                <w:color w:val="000000"/>
              </w:rPr>
              <w:t>Ni</w:t>
            </w:r>
          </w:p>
        </w:tc>
        <w:tc>
          <w:tcPr>
            <w:tcW w:w="349" w:type="pct"/>
            <w:noWrap w:val="0"/>
            <w:vAlign w:val="center"/>
          </w:tcPr>
          <w:p>
            <w:pPr>
              <w:pStyle w:val="44"/>
              <w:rPr>
                <w:rFonts w:ascii="宋体" w:hAnsi="宋体" w:eastAsia="宋体"/>
                <w:color w:val="000000"/>
              </w:rPr>
            </w:pPr>
            <w:r>
              <w:rPr>
                <w:rFonts w:ascii="宋体" w:hAnsi="宋体" w:eastAsia="宋体"/>
                <w:color w:val="000000"/>
              </w:rPr>
              <w:t>Ag</w:t>
            </w:r>
          </w:p>
        </w:tc>
        <w:tc>
          <w:tcPr>
            <w:tcW w:w="333" w:type="pct"/>
            <w:noWrap w:val="0"/>
            <w:vAlign w:val="center"/>
          </w:tcPr>
          <w:p>
            <w:pPr>
              <w:pStyle w:val="44"/>
              <w:rPr>
                <w:rFonts w:ascii="宋体" w:hAnsi="宋体" w:eastAsia="宋体"/>
                <w:color w:val="000000"/>
              </w:rPr>
            </w:pPr>
            <w:r>
              <w:rPr>
                <w:rFonts w:ascii="宋体" w:hAnsi="宋体" w:eastAsia="宋体"/>
                <w:color w:val="000000"/>
              </w:rPr>
              <w:t>As</w:t>
            </w:r>
          </w:p>
        </w:tc>
        <w:tc>
          <w:tcPr>
            <w:tcW w:w="522" w:type="pct"/>
            <w:noWrap w:val="0"/>
            <w:vAlign w:val="center"/>
          </w:tcPr>
          <w:p>
            <w:pPr>
              <w:pStyle w:val="44"/>
              <w:rPr>
                <w:rFonts w:ascii="宋体" w:hAnsi="宋体" w:eastAsia="宋体"/>
                <w:color w:val="000000"/>
              </w:rPr>
            </w:pPr>
            <w:r>
              <w:rPr>
                <w:rFonts w:ascii="宋体" w:hAnsi="宋体" w:eastAsia="宋体"/>
                <w:color w:val="000000"/>
              </w:rPr>
              <w:t>Se</w:t>
            </w:r>
          </w:p>
        </w:tc>
        <w:tc>
          <w:tcPr>
            <w:tcW w:w="440" w:type="pct"/>
            <w:noWrap w:val="0"/>
            <w:vAlign w:val="center"/>
          </w:tcPr>
          <w:p>
            <w:pPr>
              <w:pStyle w:val="44"/>
              <w:rPr>
                <w:rFonts w:ascii="宋体" w:hAnsi="宋体" w:eastAsia="宋体"/>
                <w:color w:val="000000"/>
              </w:rPr>
            </w:pPr>
            <w:r>
              <w:rPr>
                <w:rFonts w:ascii="宋体" w:hAnsi="宋体" w:eastAsia="宋体"/>
                <w:color w:val="000000"/>
              </w:rPr>
              <w:t>CN</w:t>
            </w:r>
            <w:r>
              <w:rPr>
                <w:rFonts w:ascii="宋体" w:hAnsi="宋体" w:eastAsia="宋体"/>
                <w:color w:val="000000"/>
                <w:vertAlign w:val="superscript"/>
              </w:rPr>
              <w:t>-</w:t>
            </w:r>
          </w:p>
        </w:tc>
        <w:tc>
          <w:tcPr>
            <w:tcW w:w="2130" w:type="pct"/>
            <w:gridSpan w:val="3"/>
            <w:noWrap w:val="0"/>
            <w:vAlign w:val="center"/>
          </w:tcPr>
          <w:p>
            <w:pPr>
              <w:pStyle w:val="44"/>
              <w:rPr>
                <w:rFonts w:ascii="宋体" w:hAnsi="宋体" w:eastAsia="宋体"/>
                <w:color w:val="000000"/>
              </w:rPr>
            </w:pPr>
            <w:r>
              <w:rPr>
                <w:rFonts w:hint="eastAsia" w:ascii="宋体" w:hAnsi="宋体" w:eastAsia="宋体"/>
                <w:color w:val="000000"/>
              </w:rPr>
              <w:t>无机氟化物（不包括氟化钙）</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75" w:hRule="atLeast"/>
          <w:jc w:val="center"/>
        </w:trPr>
        <w:tc>
          <w:tcPr>
            <w:tcW w:w="459" w:type="pct"/>
            <w:noWrap w:val="0"/>
            <w:vAlign w:val="center"/>
          </w:tcPr>
          <w:p>
            <w:pPr>
              <w:pStyle w:val="44"/>
              <w:rPr>
                <w:rFonts w:ascii="宋体" w:hAnsi="宋体" w:eastAsia="宋体"/>
                <w:color w:val="000000"/>
              </w:rPr>
            </w:pPr>
            <w:r>
              <w:rPr>
                <w:rFonts w:hint="eastAsia" w:ascii="宋体" w:hAnsi="宋体" w:eastAsia="宋体"/>
                <w:color w:val="000000"/>
              </w:rPr>
              <w:t>标准</w:t>
            </w:r>
          </w:p>
        </w:tc>
        <w:tc>
          <w:tcPr>
            <w:tcW w:w="384" w:type="pct"/>
            <w:noWrap w:val="0"/>
            <w:vAlign w:val="center"/>
          </w:tcPr>
          <w:p>
            <w:pPr>
              <w:pStyle w:val="44"/>
              <w:rPr>
                <w:rFonts w:ascii="宋体" w:hAnsi="宋体" w:eastAsia="宋体"/>
                <w:color w:val="000000"/>
              </w:rPr>
            </w:pPr>
            <w:r>
              <w:rPr>
                <w:rFonts w:ascii="宋体" w:hAnsi="宋体" w:eastAsia="宋体"/>
                <w:color w:val="000000"/>
              </w:rPr>
              <w:t>100</w:t>
            </w:r>
          </w:p>
        </w:tc>
        <w:tc>
          <w:tcPr>
            <w:tcW w:w="383" w:type="pct"/>
            <w:noWrap w:val="0"/>
            <w:vAlign w:val="center"/>
          </w:tcPr>
          <w:p>
            <w:pPr>
              <w:pStyle w:val="44"/>
              <w:rPr>
                <w:rFonts w:ascii="宋体" w:hAnsi="宋体" w:eastAsia="宋体"/>
                <w:color w:val="000000"/>
              </w:rPr>
            </w:pPr>
            <w:r>
              <w:rPr>
                <w:rFonts w:ascii="宋体" w:hAnsi="宋体" w:eastAsia="宋体"/>
                <w:color w:val="000000"/>
              </w:rPr>
              <w:t>5</w:t>
            </w:r>
          </w:p>
        </w:tc>
        <w:tc>
          <w:tcPr>
            <w:tcW w:w="349" w:type="pct"/>
            <w:noWrap w:val="0"/>
            <w:vAlign w:val="center"/>
          </w:tcPr>
          <w:p>
            <w:pPr>
              <w:pStyle w:val="44"/>
              <w:rPr>
                <w:rFonts w:ascii="宋体" w:hAnsi="宋体" w:eastAsia="宋体"/>
                <w:color w:val="000000"/>
              </w:rPr>
            </w:pPr>
            <w:r>
              <w:rPr>
                <w:rFonts w:ascii="宋体" w:hAnsi="宋体" w:eastAsia="宋体"/>
                <w:color w:val="000000"/>
              </w:rPr>
              <w:t>5</w:t>
            </w:r>
          </w:p>
        </w:tc>
        <w:tc>
          <w:tcPr>
            <w:tcW w:w="333" w:type="pct"/>
            <w:noWrap w:val="0"/>
            <w:vAlign w:val="center"/>
          </w:tcPr>
          <w:p>
            <w:pPr>
              <w:pStyle w:val="44"/>
              <w:rPr>
                <w:rFonts w:ascii="宋体" w:hAnsi="宋体" w:eastAsia="宋体"/>
                <w:color w:val="000000"/>
              </w:rPr>
            </w:pPr>
            <w:r>
              <w:rPr>
                <w:rFonts w:ascii="宋体" w:hAnsi="宋体" w:eastAsia="宋体"/>
                <w:color w:val="000000"/>
              </w:rPr>
              <w:t>5</w:t>
            </w:r>
          </w:p>
        </w:tc>
        <w:tc>
          <w:tcPr>
            <w:tcW w:w="522" w:type="pct"/>
            <w:noWrap w:val="0"/>
            <w:vAlign w:val="center"/>
          </w:tcPr>
          <w:p>
            <w:pPr>
              <w:pStyle w:val="44"/>
              <w:rPr>
                <w:rFonts w:ascii="宋体" w:hAnsi="宋体" w:eastAsia="宋体"/>
                <w:color w:val="000000"/>
              </w:rPr>
            </w:pPr>
            <w:r>
              <w:rPr>
                <w:rFonts w:ascii="宋体" w:hAnsi="宋体" w:eastAsia="宋体"/>
                <w:color w:val="000000"/>
              </w:rPr>
              <w:t>5</w:t>
            </w:r>
          </w:p>
        </w:tc>
        <w:tc>
          <w:tcPr>
            <w:tcW w:w="440" w:type="pct"/>
            <w:noWrap w:val="0"/>
            <w:vAlign w:val="center"/>
          </w:tcPr>
          <w:p>
            <w:pPr>
              <w:pStyle w:val="44"/>
              <w:rPr>
                <w:rFonts w:ascii="宋体" w:hAnsi="宋体" w:eastAsia="宋体"/>
                <w:color w:val="000000"/>
              </w:rPr>
            </w:pPr>
            <w:r>
              <w:rPr>
                <w:rFonts w:ascii="宋体" w:hAnsi="宋体" w:eastAsia="宋体"/>
                <w:color w:val="000000"/>
              </w:rPr>
              <w:t>5</w:t>
            </w:r>
          </w:p>
        </w:tc>
        <w:tc>
          <w:tcPr>
            <w:tcW w:w="2130" w:type="pct"/>
            <w:gridSpan w:val="3"/>
            <w:noWrap w:val="0"/>
            <w:vAlign w:val="center"/>
          </w:tcPr>
          <w:p>
            <w:pPr>
              <w:pStyle w:val="44"/>
              <w:rPr>
                <w:rFonts w:ascii="宋体" w:hAnsi="宋体" w:eastAsia="宋体"/>
                <w:color w:val="000000"/>
              </w:rPr>
            </w:pPr>
            <w:r>
              <w:rPr>
                <w:rFonts w:ascii="宋体" w:hAnsi="宋体" w:eastAsia="宋体"/>
                <w:color w:val="000000"/>
              </w:rPr>
              <w:t>100</w:t>
            </w:r>
          </w:p>
        </w:tc>
      </w:tr>
    </w:tbl>
    <w:p>
      <w:pPr>
        <w:spacing w:line="360" w:lineRule="auto"/>
        <w:ind w:firstLine="482"/>
        <w:rPr>
          <w:b/>
          <w:color w:val="000000"/>
          <w:sz w:val="24"/>
          <w:szCs w:val="24"/>
        </w:rPr>
      </w:pPr>
      <w:r>
        <w:rPr>
          <w:rFonts w:hint="eastAsia"/>
          <w:b/>
          <w:color w:val="000000"/>
          <w:sz w:val="24"/>
          <w:szCs w:val="24"/>
        </w:rPr>
        <w:t>表2-24</w:t>
      </w:r>
      <w:r>
        <w:rPr>
          <w:b/>
          <w:color w:val="000000"/>
          <w:sz w:val="24"/>
          <w:szCs w:val="24"/>
        </w:rPr>
        <w:t xml:space="preserve">   </w:t>
      </w:r>
      <w:r>
        <w:rPr>
          <w:rFonts w:hint="eastAsia"/>
          <w:b/>
          <w:color w:val="000000"/>
          <w:sz w:val="24"/>
          <w:szCs w:val="24"/>
        </w:rPr>
        <w:t>《危险废物鉴别标准</w:t>
      </w:r>
      <w:r>
        <w:rPr>
          <w:b/>
          <w:color w:val="000000"/>
          <w:sz w:val="24"/>
          <w:szCs w:val="24"/>
        </w:rPr>
        <w:t xml:space="preserve">  </w:t>
      </w:r>
      <w:r>
        <w:rPr>
          <w:rFonts w:hint="eastAsia"/>
          <w:b/>
          <w:color w:val="000000"/>
          <w:sz w:val="24"/>
          <w:szCs w:val="24"/>
        </w:rPr>
        <w:t>腐蚀性鉴别》（</w:t>
      </w:r>
      <w:r>
        <w:rPr>
          <w:b/>
          <w:color w:val="000000"/>
          <w:sz w:val="24"/>
          <w:szCs w:val="24"/>
        </w:rPr>
        <w:t>GB50851-2007</w:t>
      </w:r>
      <w:r>
        <w:rPr>
          <w:rFonts w:hint="eastAsia"/>
          <w:b/>
          <w:color w:val="000000"/>
          <w:sz w:val="24"/>
          <w:szCs w:val="24"/>
        </w:rPr>
        <w:t>）</w:t>
      </w:r>
    </w:p>
    <w:tbl>
      <w:tblPr>
        <w:tblStyle w:val="35"/>
        <w:tblW w:w="491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379"/>
        <w:gridCol w:w="3328"/>
        <w:gridCol w:w="3704"/>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jc w:val="center"/>
        </w:trPr>
        <w:tc>
          <w:tcPr>
            <w:tcW w:w="1264" w:type="pct"/>
            <w:noWrap w:val="0"/>
            <w:vAlign w:val="center"/>
          </w:tcPr>
          <w:p>
            <w:pPr>
              <w:pStyle w:val="44"/>
              <w:rPr>
                <w:rFonts w:ascii="宋体" w:hAnsi="宋体" w:eastAsia="宋体"/>
                <w:color w:val="000000"/>
              </w:rPr>
            </w:pPr>
            <w:r>
              <w:rPr>
                <w:rFonts w:hint="eastAsia" w:ascii="宋体" w:hAnsi="宋体" w:eastAsia="宋体"/>
                <w:color w:val="000000"/>
              </w:rPr>
              <w:t>项目</w:t>
            </w:r>
          </w:p>
        </w:tc>
        <w:tc>
          <w:tcPr>
            <w:tcW w:w="1768" w:type="pct"/>
            <w:noWrap w:val="0"/>
            <w:vAlign w:val="center"/>
          </w:tcPr>
          <w:p>
            <w:pPr>
              <w:pStyle w:val="44"/>
              <w:rPr>
                <w:rFonts w:ascii="宋体" w:hAnsi="宋体" w:eastAsia="宋体"/>
                <w:color w:val="000000"/>
              </w:rPr>
            </w:pPr>
            <w:r>
              <w:rPr>
                <w:rFonts w:hint="eastAsia" w:ascii="宋体" w:hAnsi="宋体" w:eastAsia="宋体"/>
                <w:color w:val="000000"/>
              </w:rPr>
              <w:t>指标</w:t>
            </w:r>
          </w:p>
        </w:tc>
        <w:tc>
          <w:tcPr>
            <w:tcW w:w="1968" w:type="pct"/>
            <w:noWrap w:val="0"/>
            <w:vAlign w:val="center"/>
          </w:tcPr>
          <w:p>
            <w:pPr>
              <w:pStyle w:val="44"/>
              <w:rPr>
                <w:rFonts w:ascii="宋体" w:hAnsi="宋体" w:eastAsia="宋体"/>
                <w:color w:val="000000"/>
              </w:rPr>
            </w:pPr>
            <w:r>
              <w:rPr>
                <w:rFonts w:hint="eastAsia" w:ascii="宋体" w:hAnsi="宋体" w:eastAsia="宋体"/>
                <w:color w:val="000000"/>
              </w:rPr>
              <w:t>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jc w:val="center"/>
        </w:trPr>
        <w:tc>
          <w:tcPr>
            <w:tcW w:w="1264" w:type="pct"/>
            <w:noWrap w:val="0"/>
            <w:vAlign w:val="center"/>
          </w:tcPr>
          <w:p>
            <w:pPr>
              <w:pStyle w:val="44"/>
              <w:rPr>
                <w:rFonts w:ascii="宋体" w:hAnsi="宋体" w:eastAsia="宋体"/>
                <w:color w:val="000000"/>
              </w:rPr>
            </w:pPr>
            <w:r>
              <w:rPr>
                <w:rFonts w:ascii="宋体" w:hAnsi="宋体" w:eastAsia="宋体"/>
                <w:color w:val="000000"/>
              </w:rPr>
              <w:t>pH</w:t>
            </w:r>
          </w:p>
        </w:tc>
        <w:tc>
          <w:tcPr>
            <w:tcW w:w="1768" w:type="pct"/>
            <w:noWrap w:val="0"/>
            <w:vAlign w:val="center"/>
          </w:tcPr>
          <w:p>
            <w:pPr>
              <w:pStyle w:val="44"/>
              <w:rPr>
                <w:rFonts w:ascii="宋体" w:hAnsi="宋体" w:eastAsia="宋体"/>
                <w:color w:val="000000"/>
              </w:rPr>
            </w:pPr>
            <w:r>
              <w:rPr>
                <w:rFonts w:ascii="宋体" w:hAnsi="宋体" w:eastAsia="宋体"/>
                <w:color w:val="000000"/>
              </w:rPr>
              <w:t>pH≥12.5</w:t>
            </w:r>
            <w:r>
              <w:rPr>
                <w:rFonts w:hint="eastAsia" w:ascii="宋体" w:hAnsi="宋体" w:eastAsia="宋体"/>
                <w:color w:val="000000"/>
              </w:rPr>
              <w:t>或</w:t>
            </w:r>
            <w:r>
              <w:rPr>
                <w:rFonts w:ascii="宋体" w:hAnsi="宋体" w:eastAsia="宋体"/>
                <w:color w:val="000000"/>
              </w:rPr>
              <w:t>pH≤2</w:t>
            </w:r>
          </w:p>
        </w:tc>
        <w:tc>
          <w:tcPr>
            <w:tcW w:w="1968" w:type="pct"/>
            <w:noWrap w:val="0"/>
            <w:vAlign w:val="center"/>
          </w:tcPr>
          <w:p>
            <w:pPr>
              <w:pStyle w:val="44"/>
              <w:rPr>
                <w:rFonts w:ascii="宋体" w:hAnsi="宋体" w:eastAsia="宋体"/>
                <w:color w:val="000000"/>
              </w:rPr>
            </w:pPr>
            <w:r>
              <w:rPr>
                <w:rFonts w:hint="eastAsia" w:ascii="宋体" w:hAnsi="宋体" w:eastAsia="宋体"/>
                <w:color w:val="000000"/>
              </w:rPr>
              <w:t>具有腐蚀性的危险废物</w:t>
            </w:r>
          </w:p>
        </w:tc>
      </w:tr>
    </w:tbl>
    <w:p>
      <w:pPr>
        <w:spacing w:line="320" w:lineRule="exact"/>
        <w:ind w:firstLine="482"/>
        <w:rPr>
          <w:b/>
          <w:color w:val="000000"/>
          <w:sz w:val="24"/>
          <w:szCs w:val="24"/>
        </w:rPr>
      </w:pPr>
      <w:r>
        <w:rPr>
          <w:rFonts w:hint="eastAsia"/>
          <w:b/>
          <w:color w:val="000000"/>
          <w:sz w:val="24"/>
          <w:szCs w:val="24"/>
        </w:rPr>
        <w:t>表2-25</w:t>
      </w:r>
      <w:r>
        <w:rPr>
          <w:b/>
          <w:color w:val="000000"/>
          <w:sz w:val="24"/>
          <w:szCs w:val="24"/>
        </w:rPr>
        <w:t xml:space="preserve"> </w:t>
      </w:r>
      <w:r>
        <w:rPr>
          <w:rFonts w:hint="eastAsia"/>
          <w:b/>
          <w:color w:val="000000"/>
          <w:sz w:val="24"/>
          <w:szCs w:val="24"/>
        </w:rPr>
        <w:t>《一般工业固体废物贮存、处置场污染控制标准》</w:t>
      </w:r>
      <w:r>
        <w:rPr>
          <w:b/>
          <w:color w:val="000000"/>
          <w:sz w:val="24"/>
          <w:szCs w:val="24"/>
        </w:rPr>
        <w:t xml:space="preserve"> </w:t>
      </w:r>
      <w:r>
        <w:rPr>
          <w:rFonts w:hint="eastAsia"/>
          <w:b/>
          <w:color w:val="000000"/>
          <w:sz w:val="24"/>
          <w:szCs w:val="24"/>
        </w:rPr>
        <w:t>单位：</w:t>
      </w:r>
      <w:r>
        <w:rPr>
          <w:b/>
          <w:color w:val="000000"/>
          <w:sz w:val="24"/>
          <w:szCs w:val="24"/>
        </w:rPr>
        <w:t>mg/L</w:t>
      </w:r>
    </w:p>
    <w:tbl>
      <w:tblPr>
        <w:tblStyle w:val="35"/>
        <w:tblW w:w="4890" w:type="pct"/>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819"/>
        <w:gridCol w:w="4054"/>
        <w:gridCol w:w="348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blHeader/>
        </w:trPr>
        <w:tc>
          <w:tcPr>
            <w:tcW w:w="972"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序号</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项目</w:t>
            </w:r>
          </w:p>
        </w:tc>
        <w:tc>
          <w:tcPr>
            <w:tcW w:w="1863"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浸出液中最高允许浓度限值</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1</w:t>
            </w:r>
          </w:p>
        </w:tc>
        <w:tc>
          <w:tcPr>
            <w:tcW w:w="2166" w:type="pct"/>
            <w:noWrap w:val="0"/>
            <w:vAlign w:val="center"/>
          </w:tcPr>
          <w:p>
            <w:pPr>
              <w:pStyle w:val="44"/>
              <w:spacing w:line="320" w:lineRule="exact"/>
              <w:rPr>
                <w:rFonts w:ascii="宋体" w:hAnsi="宋体" w:eastAsia="宋体"/>
                <w:color w:val="000000"/>
              </w:rPr>
            </w:pPr>
            <w:r>
              <w:rPr>
                <w:rFonts w:ascii="宋体" w:hAnsi="宋体" w:eastAsia="宋体"/>
                <w:color w:val="000000"/>
              </w:rPr>
              <w:t>pH</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2</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总汞</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3</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烷基汞</w:t>
            </w:r>
          </w:p>
        </w:tc>
        <w:tc>
          <w:tcPr>
            <w:tcW w:w="1863"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不得检出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4</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总镉</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5</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总铬</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1.5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6</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六价铬</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7</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总砷</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8</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总铅</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9</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总镍</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10</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总铍</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11</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总银</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12</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总铜</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13</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总锌</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11</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氟化物</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972" w:type="pct"/>
            <w:noWrap w:val="0"/>
            <w:vAlign w:val="center"/>
          </w:tcPr>
          <w:p>
            <w:pPr>
              <w:pStyle w:val="44"/>
              <w:spacing w:line="320" w:lineRule="exact"/>
              <w:rPr>
                <w:rFonts w:ascii="宋体" w:hAnsi="宋体" w:eastAsia="宋体"/>
                <w:color w:val="000000"/>
              </w:rPr>
            </w:pPr>
            <w:r>
              <w:rPr>
                <w:rFonts w:ascii="宋体" w:hAnsi="宋体" w:eastAsia="宋体"/>
                <w:color w:val="000000"/>
              </w:rPr>
              <w:t>12</w:t>
            </w:r>
          </w:p>
        </w:tc>
        <w:tc>
          <w:tcPr>
            <w:tcW w:w="2166" w:type="pct"/>
            <w:noWrap w:val="0"/>
            <w:vAlign w:val="center"/>
          </w:tcPr>
          <w:p>
            <w:pPr>
              <w:pStyle w:val="44"/>
              <w:spacing w:line="320" w:lineRule="exact"/>
              <w:rPr>
                <w:rFonts w:ascii="宋体" w:hAnsi="宋体" w:eastAsia="宋体"/>
                <w:color w:val="000000"/>
              </w:rPr>
            </w:pPr>
            <w:r>
              <w:rPr>
                <w:rFonts w:hint="eastAsia" w:ascii="宋体" w:hAnsi="宋体" w:eastAsia="宋体"/>
                <w:color w:val="000000"/>
              </w:rPr>
              <w:t>氰化物</w:t>
            </w:r>
          </w:p>
        </w:tc>
        <w:tc>
          <w:tcPr>
            <w:tcW w:w="1863" w:type="pct"/>
            <w:noWrap w:val="0"/>
            <w:vAlign w:val="center"/>
          </w:tcPr>
          <w:p>
            <w:pPr>
              <w:pStyle w:val="44"/>
              <w:spacing w:line="320" w:lineRule="exact"/>
              <w:rPr>
                <w:rFonts w:ascii="宋体" w:hAnsi="宋体" w:eastAsia="宋体"/>
                <w:color w:val="000000"/>
              </w:rPr>
            </w:pPr>
            <w:r>
              <w:rPr>
                <w:rFonts w:ascii="宋体" w:hAnsi="宋体" w:eastAsia="宋体"/>
                <w:color w:val="000000"/>
              </w:rPr>
              <w:t>0.5</w:t>
            </w:r>
          </w:p>
        </w:tc>
      </w:tr>
    </w:tbl>
    <w:p>
      <w:pPr>
        <w:spacing w:line="360" w:lineRule="auto"/>
        <w:ind w:firstLine="480" w:firstLineChars="200"/>
        <w:rPr>
          <w:color w:val="000000"/>
          <w:sz w:val="24"/>
        </w:rPr>
      </w:pPr>
      <w:r>
        <w:rPr>
          <w:rFonts w:hint="eastAsia"/>
          <w:color w:val="000000"/>
          <w:sz w:val="24"/>
        </w:rPr>
        <w:t>（4）噪声</w:t>
      </w:r>
    </w:p>
    <w:p>
      <w:pPr>
        <w:spacing w:line="360" w:lineRule="auto"/>
        <w:ind w:firstLine="480" w:firstLineChars="200"/>
        <w:rPr>
          <w:color w:val="000000"/>
          <w:sz w:val="24"/>
        </w:rPr>
      </w:pPr>
      <w:r>
        <w:rPr>
          <w:rFonts w:hint="eastAsia"/>
          <w:color w:val="000000"/>
          <w:sz w:val="24"/>
        </w:rPr>
        <w:t>项目区域噪声执行《工业企业厂界环境噪声排放标准》（</w:t>
      </w:r>
      <w:r>
        <w:rPr>
          <w:color w:val="000000"/>
          <w:sz w:val="24"/>
        </w:rPr>
        <w:t>GB12348-2008</w:t>
      </w:r>
      <w:r>
        <w:rPr>
          <w:rFonts w:hint="eastAsia"/>
          <w:color w:val="000000"/>
          <w:sz w:val="24"/>
        </w:rPr>
        <w:t>）中</w:t>
      </w:r>
      <w:r>
        <w:rPr>
          <w:color w:val="000000"/>
          <w:sz w:val="24"/>
        </w:rPr>
        <w:t>2</w:t>
      </w:r>
      <w:r>
        <w:rPr>
          <w:rFonts w:hint="eastAsia"/>
          <w:color w:val="000000"/>
          <w:sz w:val="24"/>
        </w:rPr>
        <w:t>类标准限值，详见表2-26。</w:t>
      </w:r>
    </w:p>
    <w:p>
      <w:pPr>
        <w:spacing w:line="360" w:lineRule="auto"/>
        <w:ind w:firstLine="482"/>
        <w:jc w:val="center"/>
        <w:rPr>
          <w:b/>
          <w:color w:val="000000"/>
          <w:sz w:val="24"/>
          <w:szCs w:val="24"/>
        </w:rPr>
      </w:pPr>
      <w:r>
        <w:rPr>
          <w:rFonts w:hint="eastAsia"/>
          <w:b/>
          <w:color w:val="000000"/>
          <w:sz w:val="24"/>
          <w:szCs w:val="24"/>
        </w:rPr>
        <w:t>表2-26  《工业企业噪声排放标准》</w:t>
      </w:r>
      <w:r>
        <w:rPr>
          <w:b/>
          <w:color w:val="000000"/>
          <w:sz w:val="24"/>
          <w:szCs w:val="24"/>
        </w:rPr>
        <w:t xml:space="preserve"> </w:t>
      </w:r>
      <w:r>
        <w:rPr>
          <w:rFonts w:hint="eastAsia"/>
          <w:b/>
          <w:color w:val="000000"/>
          <w:sz w:val="24"/>
          <w:szCs w:val="24"/>
        </w:rPr>
        <w:t>（单位：</w:t>
      </w:r>
      <w:r>
        <w:rPr>
          <w:b/>
          <w:color w:val="000000"/>
          <w:sz w:val="24"/>
          <w:szCs w:val="24"/>
        </w:rPr>
        <w:t>dB</w:t>
      </w:r>
      <w:r>
        <w:rPr>
          <w:rFonts w:hint="eastAsia"/>
          <w:b/>
          <w:color w:val="000000"/>
          <w:sz w:val="24"/>
          <w:szCs w:val="24"/>
        </w:rPr>
        <w:t>（</w:t>
      </w:r>
      <w:r>
        <w:rPr>
          <w:b/>
          <w:color w:val="000000"/>
          <w:sz w:val="24"/>
          <w:szCs w:val="24"/>
        </w:rPr>
        <w:t>A</w:t>
      </w:r>
      <w:r>
        <w:rPr>
          <w:rFonts w:hint="eastAsia"/>
          <w:b/>
          <w:color w:val="000000"/>
          <w:sz w:val="24"/>
          <w:szCs w:val="24"/>
        </w:rPr>
        <w:t>））</w:t>
      </w:r>
    </w:p>
    <w:tbl>
      <w:tblPr>
        <w:tblStyle w:val="35"/>
        <w:tblW w:w="4823"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3521"/>
        <w:gridCol w:w="3419"/>
        <w:gridCol w:w="229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0" w:hRule="atLeast"/>
          <w:jc w:val="center"/>
        </w:trPr>
        <w:tc>
          <w:tcPr>
            <w:tcW w:w="1907" w:type="pct"/>
            <w:vMerge w:val="restart"/>
            <w:noWrap w:val="0"/>
            <w:vAlign w:val="center"/>
          </w:tcPr>
          <w:p>
            <w:pPr>
              <w:pStyle w:val="44"/>
              <w:rPr>
                <w:rFonts w:ascii="宋体" w:hAnsi="宋体" w:eastAsia="宋体"/>
                <w:color w:val="000000"/>
              </w:rPr>
            </w:pPr>
            <w:r>
              <w:rPr>
                <w:rFonts w:hint="eastAsia" w:ascii="宋体" w:hAnsi="宋体" w:eastAsia="宋体"/>
                <w:color w:val="000000"/>
              </w:rPr>
              <w:t>声环境功能区类别</w:t>
            </w:r>
          </w:p>
        </w:tc>
        <w:tc>
          <w:tcPr>
            <w:tcW w:w="3093" w:type="pct"/>
            <w:gridSpan w:val="2"/>
            <w:noWrap w:val="0"/>
            <w:vAlign w:val="center"/>
          </w:tcPr>
          <w:p>
            <w:pPr>
              <w:pStyle w:val="44"/>
              <w:rPr>
                <w:rFonts w:ascii="宋体" w:hAnsi="宋体" w:eastAsia="宋体"/>
                <w:color w:val="000000"/>
              </w:rPr>
            </w:pPr>
            <w:r>
              <w:rPr>
                <w:rFonts w:hint="eastAsia" w:ascii="宋体" w:hAnsi="宋体" w:eastAsia="宋体"/>
                <w:color w:val="000000"/>
              </w:rPr>
              <w:t>时段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0" w:hRule="atLeast"/>
          <w:jc w:val="center"/>
        </w:trPr>
        <w:tc>
          <w:tcPr>
            <w:tcW w:w="1907" w:type="pct"/>
            <w:vMerge w:val="continue"/>
            <w:noWrap w:val="0"/>
            <w:vAlign w:val="center"/>
          </w:tcPr>
          <w:p>
            <w:pPr>
              <w:pStyle w:val="44"/>
              <w:rPr>
                <w:rFonts w:ascii="宋体" w:hAnsi="宋体" w:eastAsia="宋体"/>
                <w:color w:val="000000"/>
              </w:rPr>
            </w:pPr>
          </w:p>
        </w:tc>
        <w:tc>
          <w:tcPr>
            <w:tcW w:w="1852" w:type="pct"/>
            <w:noWrap w:val="0"/>
            <w:vAlign w:val="center"/>
          </w:tcPr>
          <w:p>
            <w:pPr>
              <w:pStyle w:val="44"/>
              <w:rPr>
                <w:rFonts w:ascii="宋体" w:hAnsi="宋体" w:eastAsia="宋体"/>
                <w:color w:val="000000"/>
              </w:rPr>
            </w:pPr>
            <w:r>
              <w:rPr>
                <w:rFonts w:hint="eastAsia" w:ascii="宋体" w:hAnsi="宋体" w:eastAsia="宋体"/>
                <w:color w:val="000000"/>
              </w:rPr>
              <w:t>昼间</w:t>
            </w:r>
            <w:r>
              <w:rPr>
                <w:rFonts w:ascii="宋体" w:hAnsi="宋体" w:eastAsia="宋体"/>
                <w:color w:val="000000"/>
              </w:rPr>
              <w:t>dB</w:t>
            </w:r>
            <w:r>
              <w:rPr>
                <w:rFonts w:hint="eastAsia" w:ascii="宋体" w:hAnsi="宋体" w:eastAsia="宋体"/>
                <w:color w:val="000000"/>
              </w:rPr>
              <w:t>（</w:t>
            </w:r>
            <w:r>
              <w:rPr>
                <w:rFonts w:ascii="宋体" w:hAnsi="宋体" w:eastAsia="宋体"/>
                <w:color w:val="000000"/>
              </w:rPr>
              <w:t>A</w:t>
            </w:r>
            <w:r>
              <w:rPr>
                <w:rFonts w:hint="eastAsia" w:ascii="宋体" w:hAnsi="宋体" w:eastAsia="宋体"/>
                <w:color w:val="000000"/>
              </w:rPr>
              <w:t>）</w:t>
            </w:r>
          </w:p>
        </w:tc>
        <w:tc>
          <w:tcPr>
            <w:tcW w:w="1241" w:type="pct"/>
            <w:noWrap w:val="0"/>
            <w:vAlign w:val="center"/>
          </w:tcPr>
          <w:p>
            <w:pPr>
              <w:pStyle w:val="44"/>
              <w:rPr>
                <w:rFonts w:ascii="宋体" w:hAnsi="宋体" w:eastAsia="宋体"/>
                <w:color w:val="000000"/>
              </w:rPr>
            </w:pPr>
            <w:r>
              <w:rPr>
                <w:rFonts w:hint="eastAsia" w:ascii="宋体" w:hAnsi="宋体" w:eastAsia="宋体"/>
                <w:color w:val="000000"/>
              </w:rPr>
              <w:t>夜间</w:t>
            </w:r>
            <w:r>
              <w:rPr>
                <w:rFonts w:ascii="宋体" w:hAnsi="宋体" w:eastAsia="宋体"/>
                <w:color w:val="000000"/>
              </w:rPr>
              <w:t>dB</w:t>
            </w:r>
            <w:r>
              <w:rPr>
                <w:rFonts w:hint="eastAsia" w:ascii="宋体" w:hAnsi="宋体" w:eastAsia="宋体"/>
                <w:color w:val="000000"/>
              </w:rPr>
              <w:t>（</w:t>
            </w:r>
            <w:r>
              <w:rPr>
                <w:rFonts w:ascii="宋体" w:hAnsi="宋体" w:eastAsia="宋体"/>
                <w:color w:val="000000"/>
              </w:rPr>
              <w:t>A</w:t>
            </w:r>
            <w:r>
              <w:rPr>
                <w:rFonts w:hint="eastAsia" w:ascii="宋体" w:hAnsi="宋体" w:eastAsia="宋体"/>
                <w:color w:val="000000"/>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20" w:hRule="atLeast"/>
          <w:jc w:val="center"/>
        </w:trPr>
        <w:tc>
          <w:tcPr>
            <w:tcW w:w="1907" w:type="pct"/>
            <w:noWrap w:val="0"/>
            <w:vAlign w:val="center"/>
          </w:tcPr>
          <w:p>
            <w:pPr>
              <w:pStyle w:val="44"/>
              <w:rPr>
                <w:rFonts w:ascii="宋体" w:hAnsi="宋体" w:eastAsia="宋体"/>
                <w:color w:val="000000"/>
              </w:rPr>
            </w:pPr>
            <w:r>
              <w:rPr>
                <w:rFonts w:ascii="宋体" w:hAnsi="宋体" w:eastAsia="宋体"/>
                <w:color w:val="000000"/>
              </w:rPr>
              <w:t>2</w:t>
            </w:r>
            <w:r>
              <w:rPr>
                <w:rFonts w:hint="eastAsia" w:ascii="宋体" w:hAnsi="宋体" w:eastAsia="宋体"/>
                <w:color w:val="000000"/>
              </w:rPr>
              <w:t>类</w:t>
            </w:r>
          </w:p>
        </w:tc>
        <w:tc>
          <w:tcPr>
            <w:tcW w:w="1852" w:type="pct"/>
            <w:noWrap w:val="0"/>
            <w:vAlign w:val="center"/>
          </w:tcPr>
          <w:p>
            <w:pPr>
              <w:pStyle w:val="44"/>
              <w:rPr>
                <w:rFonts w:ascii="宋体" w:hAnsi="宋体" w:eastAsia="宋体"/>
                <w:color w:val="000000"/>
              </w:rPr>
            </w:pPr>
            <w:r>
              <w:rPr>
                <w:rFonts w:ascii="宋体" w:hAnsi="宋体" w:eastAsia="宋体"/>
                <w:color w:val="000000"/>
              </w:rPr>
              <w:t>60</w:t>
            </w:r>
          </w:p>
        </w:tc>
        <w:tc>
          <w:tcPr>
            <w:tcW w:w="1241" w:type="pct"/>
            <w:noWrap w:val="0"/>
            <w:vAlign w:val="center"/>
          </w:tcPr>
          <w:p>
            <w:pPr>
              <w:pStyle w:val="44"/>
              <w:rPr>
                <w:rFonts w:ascii="宋体" w:hAnsi="宋体" w:eastAsia="宋体"/>
                <w:color w:val="000000"/>
              </w:rPr>
            </w:pPr>
            <w:r>
              <w:rPr>
                <w:rFonts w:ascii="宋体" w:hAnsi="宋体" w:eastAsia="宋体"/>
                <w:color w:val="000000"/>
              </w:rPr>
              <w:t>50</w:t>
            </w:r>
          </w:p>
        </w:tc>
      </w:tr>
    </w:tbl>
    <w:p>
      <w:pPr>
        <w:pStyle w:val="5"/>
        <w:rPr>
          <w:rFonts w:hint="eastAsia"/>
          <w:color w:val="000000"/>
        </w:rPr>
      </w:pPr>
      <w:bookmarkStart w:id="170" w:name="_Toc23000875"/>
      <w:r>
        <w:rPr>
          <w:rFonts w:hint="eastAsia"/>
          <w:color w:val="000000"/>
        </w:rPr>
        <w:t>2.4.5污染物排放总量控制与达标情况</w:t>
      </w:r>
      <w:bookmarkEnd w:id="170"/>
    </w:p>
    <w:p>
      <w:pPr>
        <w:pStyle w:val="8"/>
        <w:spacing w:line="360" w:lineRule="auto"/>
        <w:rPr>
          <w:rFonts w:hint="eastAsia" w:ascii="宋体" w:hAnsi="宋体"/>
          <w:color w:val="000000"/>
          <w:sz w:val="24"/>
          <w:szCs w:val="24"/>
        </w:rPr>
      </w:pPr>
      <w:r>
        <w:rPr>
          <w:rFonts w:hint="eastAsia" w:ascii="宋体" w:hAnsi="宋体"/>
          <w:color w:val="000000"/>
          <w:sz w:val="24"/>
          <w:szCs w:val="24"/>
        </w:rPr>
        <w:t>富乐铅锌矿排污许可证由云南罗平锌电股份有限公司统一办理，未办理单独的排污许可证，因而未有核定的排污项目。环境监测主要是针对周边的大气环境、水环境进行监测，监测数据采用2019年4月的竣工验收监测数据。</w:t>
      </w:r>
    </w:p>
    <w:p>
      <w:pPr>
        <w:pStyle w:val="8"/>
        <w:spacing w:line="360" w:lineRule="auto"/>
        <w:rPr>
          <w:rFonts w:hint="eastAsia" w:ascii="宋体" w:hAnsi="宋体"/>
          <w:color w:val="000000"/>
          <w:sz w:val="24"/>
          <w:szCs w:val="24"/>
        </w:rPr>
      </w:pPr>
      <w:r>
        <w:rPr>
          <w:rFonts w:hint="eastAsia" w:ascii="宋体" w:hAnsi="宋体"/>
          <w:color w:val="000000"/>
          <w:sz w:val="24"/>
          <w:szCs w:val="24"/>
        </w:rPr>
        <w:t>2.4.3.1矿山采矿监测</w:t>
      </w:r>
    </w:p>
    <w:p>
      <w:pPr>
        <w:spacing w:line="360" w:lineRule="auto"/>
        <w:ind w:firstLine="454"/>
        <w:rPr>
          <w:color w:val="000000"/>
          <w:sz w:val="24"/>
          <w:szCs w:val="24"/>
        </w:rPr>
      </w:pPr>
      <w:r>
        <w:rPr>
          <w:rFonts w:hint="eastAsia"/>
          <w:color w:val="000000"/>
          <w:sz w:val="24"/>
          <w:szCs w:val="24"/>
        </w:rPr>
        <w:t>（</w:t>
      </w:r>
      <w:r>
        <w:rPr>
          <w:color w:val="000000"/>
          <w:sz w:val="24"/>
          <w:szCs w:val="24"/>
        </w:rPr>
        <w:t>1</w:t>
      </w:r>
      <w:r>
        <w:rPr>
          <w:rFonts w:hint="eastAsia"/>
          <w:color w:val="000000"/>
          <w:sz w:val="24"/>
          <w:szCs w:val="24"/>
        </w:rPr>
        <w:t>）矿井涌水</w:t>
      </w:r>
    </w:p>
    <w:p>
      <w:pPr>
        <w:spacing w:line="360" w:lineRule="auto"/>
        <w:ind w:firstLine="454"/>
        <w:rPr>
          <w:rFonts w:ascii="宋体"/>
          <w:color w:val="000000"/>
          <w:sz w:val="24"/>
          <w:szCs w:val="24"/>
        </w:rPr>
      </w:pPr>
      <w:r>
        <w:rPr>
          <w:rFonts w:hint="eastAsia" w:ascii="宋体"/>
          <w:color w:val="000000"/>
          <w:sz w:val="24"/>
          <w:szCs w:val="24"/>
        </w:rPr>
        <w:t>①</w:t>
      </w:r>
      <w:r>
        <w:rPr>
          <w:rFonts w:hint="eastAsia" w:ascii="宋体" w:hAnsi="宋体"/>
          <w:color w:val="000000"/>
          <w:sz w:val="24"/>
          <w:szCs w:val="24"/>
        </w:rPr>
        <w:t>监测点位布设</w:t>
      </w:r>
      <w:r>
        <w:rPr>
          <w:rFonts w:hint="eastAsia" w:ascii="宋体"/>
          <w:color w:val="000000"/>
          <w:sz w:val="24"/>
          <w:szCs w:val="24"/>
        </w:rPr>
        <w:t>：</w:t>
      </w:r>
      <w:r>
        <w:rPr>
          <w:rFonts w:hint="eastAsia" w:ascii="宋体" w:hAnsi="宋体"/>
          <w:color w:val="000000"/>
          <w:sz w:val="24"/>
          <w:szCs w:val="24"/>
        </w:rPr>
        <w:t>矿井涌水排口</w:t>
      </w:r>
    </w:p>
    <w:p>
      <w:pPr>
        <w:spacing w:line="360" w:lineRule="auto"/>
        <w:ind w:firstLine="454"/>
        <w:rPr>
          <w:rFonts w:ascii="宋体"/>
          <w:color w:val="000000"/>
          <w:sz w:val="24"/>
          <w:szCs w:val="24"/>
        </w:rPr>
      </w:pPr>
      <w:r>
        <w:rPr>
          <w:rFonts w:hint="eastAsia" w:ascii="宋体"/>
          <w:color w:val="000000"/>
          <w:sz w:val="24"/>
          <w:szCs w:val="24"/>
        </w:rPr>
        <w:t>②</w:t>
      </w:r>
      <w:r>
        <w:rPr>
          <w:rFonts w:hint="eastAsia" w:ascii="宋体" w:hAnsi="宋体"/>
          <w:color w:val="000000"/>
          <w:sz w:val="24"/>
          <w:szCs w:val="24"/>
        </w:rPr>
        <w:t>监测项目</w:t>
      </w:r>
    </w:p>
    <w:p>
      <w:pPr>
        <w:spacing w:line="360" w:lineRule="auto"/>
        <w:ind w:firstLine="454"/>
        <w:rPr>
          <w:rFonts w:ascii="宋体"/>
          <w:color w:val="000000"/>
          <w:sz w:val="24"/>
          <w:szCs w:val="24"/>
        </w:rPr>
      </w:pPr>
      <w:r>
        <w:rPr>
          <w:rFonts w:hint="eastAsia" w:ascii="宋体" w:hAnsi="宋体"/>
          <w:color w:val="000000"/>
          <w:sz w:val="24"/>
          <w:szCs w:val="24"/>
        </w:rPr>
        <w:t>监测项目为</w:t>
      </w:r>
      <w:r>
        <w:rPr>
          <w:rFonts w:ascii="宋体" w:hAnsi="宋体"/>
          <w:color w:val="000000"/>
          <w:sz w:val="24"/>
          <w:szCs w:val="24"/>
        </w:rPr>
        <w:t>pH</w:t>
      </w:r>
      <w:r>
        <w:rPr>
          <w:rFonts w:hint="eastAsia" w:ascii="宋体" w:hAnsi="宋体"/>
          <w:color w:val="000000"/>
          <w:sz w:val="24"/>
          <w:szCs w:val="24"/>
        </w:rPr>
        <w:t>、</w:t>
      </w:r>
      <w:r>
        <w:rPr>
          <w:rFonts w:ascii="宋体" w:hAnsi="宋体"/>
          <w:color w:val="000000"/>
          <w:sz w:val="24"/>
          <w:szCs w:val="24"/>
        </w:rPr>
        <w:t>COD</w:t>
      </w:r>
      <w:r>
        <w:rPr>
          <w:rFonts w:hint="eastAsia" w:ascii="宋体" w:hAnsi="宋体"/>
          <w:color w:val="000000"/>
          <w:sz w:val="24"/>
          <w:szCs w:val="24"/>
        </w:rPr>
        <w:t>、</w:t>
      </w:r>
      <w:r>
        <w:rPr>
          <w:rFonts w:ascii="宋体" w:hAnsi="宋体"/>
          <w:color w:val="000000"/>
          <w:sz w:val="24"/>
          <w:szCs w:val="24"/>
        </w:rPr>
        <w:t>SS</w:t>
      </w:r>
      <w:r>
        <w:rPr>
          <w:rFonts w:hint="eastAsia" w:ascii="宋体" w:hAnsi="宋体"/>
          <w:color w:val="000000"/>
          <w:sz w:val="24"/>
          <w:szCs w:val="24"/>
        </w:rPr>
        <w:t>、</w:t>
      </w:r>
      <w:r>
        <w:rPr>
          <w:rFonts w:ascii="宋体" w:hAnsi="宋体"/>
          <w:color w:val="000000"/>
          <w:sz w:val="24"/>
          <w:szCs w:val="24"/>
        </w:rPr>
        <w:t>BOD</w:t>
      </w:r>
      <w:r>
        <w:rPr>
          <w:rFonts w:ascii="宋体" w:hAnsi="宋体"/>
          <w:color w:val="000000"/>
          <w:sz w:val="24"/>
          <w:szCs w:val="24"/>
          <w:vertAlign w:val="subscript"/>
        </w:rPr>
        <w:t>5</w:t>
      </w:r>
      <w:r>
        <w:rPr>
          <w:rFonts w:hint="eastAsia" w:ascii="宋体" w:hAnsi="宋体"/>
          <w:color w:val="000000"/>
          <w:sz w:val="24"/>
          <w:szCs w:val="24"/>
        </w:rPr>
        <w:t>、</w:t>
      </w:r>
      <w:r>
        <w:rPr>
          <w:rFonts w:ascii="宋体" w:hAnsi="宋体"/>
          <w:color w:val="000000"/>
          <w:sz w:val="24"/>
          <w:szCs w:val="24"/>
        </w:rPr>
        <w:t>NH</w:t>
      </w:r>
      <w:r>
        <w:rPr>
          <w:rFonts w:ascii="宋体" w:hAnsi="宋体"/>
          <w:color w:val="000000"/>
          <w:sz w:val="24"/>
          <w:szCs w:val="24"/>
          <w:vertAlign w:val="subscript"/>
        </w:rPr>
        <w:t>3</w:t>
      </w:r>
      <w:r>
        <w:rPr>
          <w:rFonts w:ascii="宋体"/>
          <w:color w:val="000000"/>
          <w:sz w:val="24"/>
          <w:szCs w:val="24"/>
        </w:rPr>
        <w:t>-</w:t>
      </w:r>
      <w:r>
        <w:rPr>
          <w:rFonts w:ascii="宋体" w:hAnsi="宋体"/>
          <w:color w:val="000000"/>
          <w:sz w:val="24"/>
          <w:szCs w:val="24"/>
        </w:rPr>
        <w:t>N</w:t>
      </w:r>
      <w:r>
        <w:rPr>
          <w:rFonts w:hint="eastAsia" w:ascii="宋体" w:hAnsi="宋体"/>
          <w:color w:val="000000"/>
          <w:sz w:val="24"/>
          <w:szCs w:val="24"/>
        </w:rPr>
        <w:t>、石油类、氟化物、总铁、总锌、总铅、总镉、六价铬、硫化物、汞、总砷共</w:t>
      </w:r>
      <w:r>
        <w:rPr>
          <w:rFonts w:ascii="宋体" w:hAnsi="宋体"/>
          <w:color w:val="000000"/>
          <w:sz w:val="24"/>
          <w:szCs w:val="24"/>
        </w:rPr>
        <w:t>15</w:t>
      </w:r>
      <w:r>
        <w:rPr>
          <w:rFonts w:hint="eastAsia" w:ascii="宋体" w:hAnsi="宋体"/>
          <w:color w:val="000000"/>
          <w:sz w:val="24"/>
          <w:szCs w:val="24"/>
        </w:rPr>
        <w:t>项。</w:t>
      </w:r>
    </w:p>
    <w:p>
      <w:pPr>
        <w:spacing w:line="360" w:lineRule="auto"/>
        <w:ind w:firstLine="454"/>
        <w:rPr>
          <w:rFonts w:ascii="宋体"/>
          <w:color w:val="000000"/>
          <w:sz w:val="24"/>
          <w:szCs w:val="24"/>
        </w:rPr>
      </w:pPr>
      <w:r>
        <w:rPr>
          <w:rFonts w:hint="eastAsia" w:ascii="宋体" w:hAnsi="宋体"/>
          <w:color w:val="000000"/>
          <w:sz w:val="24"/>
          <w:szCs w:val="24"/>
        </w:rPr>
        <w:t>③监测日期及监测单位</w:t>
      </w:r>
    </w:p>
    <w:p>
      <w:pPr>
        <w:spacing w:line="360" w:lineRule="auto"/>
        <w:ind w:firstLine="454"/>
        <w:rPr>
          <w:rFonts w:ascii="宋体"/>
          <w:color w:val="000000"/>
          <w:sz w:val="24"/>
          <w:szCs w:val="24"/>
        </w:rPr>
      </w:pPr>
      <w:r>
        <w:rPr>
          <w:rFonts w:ascii="宋体" w:hAnsi="宋体"/>
          <w:color w:val="000000"/>
          <w:sz w:val="24"/>
          <w:szCs w:val="24"/>
        </w:rPr>
        <w:t>2019</w:t>
      </w:r>
      <w:r>
        <w:rPr>
          <w:rFonts w:hint="eastAsia" w:ascii="宋体" w:hAnsi="宋体"/>
          <w:color w:val="000000"/>
          <w:sz w:val="24"/>
          <w:szCs w:val="24"/>
        </w:rPr>
        <w:t>年</w:t>
      </w:r>
      <w:r>
        <w:rPr>
          <w:rFonts w:ascii="宋体" w:hAnsi="宋体"/>
          <w:color w:val="000000"/>
          <w:sz w:val="24"/>
          <w:szCs w:val="24"/>
        </w:rPr>
        <w:t>3</w:t>
      </w:r>
      <w:r>
        <w:rPr>
          <w:rFonts w:hint="eastAsia" w:ascii="宋体" w:hAnsi="宋体"/>
          <w:color w:val="000000"/>
          <w:sz w:val="24"/>
          <w:szCs w:val="24"/>
        </w:rPr>
        <w:t>月</w:t>
      </w:r>
      <w:r>
        <w:rPr>
          <w:rFonts w:ascii="宋体" w:hAnsi="宋体"/>
          <w:color w:val="000000"/>
          <w:sz w:val="24"/>
          <w:szCs w:val="24"/>
        </w:rPr>
        <w:t>12</w:t>
      </w:r>
      <w:r>
        <w:rPr>
          <w:rFonts w:hint="eastAsia" w:ascii="宋体" w:hAnsi="宋体"/>
          <w:color w:val="000000"/>
          <w:sz w:val="24"/>
          <w:szCs w:val="24"/>
        </w:rPr>
        <w:t>日、</w:t>
      </w:r>
      <w:r>
        <w:rPr>
          <w:rFonts w:ascii="宋体" w:hAnsi="宋体"/>
          <w:color w:val="000000"/>
          <w:sz w:val="24"/>
          <w:szCs w:val="24"/>
        </w:rPr>
        <w:t>13</w:t>
      </w:r>
      <w:r>
        <w:rPr>
          <w:rFonts w:hint="eastAsia" w:ascii="宋体" w:hAnsi="宋体"/>
          <w:color w:val="000000"/>
          <w:sz w:val="24"/>
          <w:szCs w:val="24"/>
        </w:rPr>
        <w:t>日共两天，同时于</w:t>
      </w:r>
      <w:r>
        <w:rPr>
          <w:rFonts w:ascii="宋体" w:hAnsi="宋体"/>
          <w:color w:val="000000"/>
          <w:sz w:val="24"/>
          <w:szCs w:val="24"/>
        </w:rPr>
        <w:t>8</w:t>
      </w:r>
      <w:r>
        <w:rPr>
          <w:rFonts w:hint="eastAsia" w:ascii="宋体" w:hAnsi="宋体"/>
          <w:color w:val="000000"/>
          <w:sz w:val="24"/>
          <w:szCs w:val="24"/>
        </w:rPr>
        <w:t>月</w:t>
      </w:r>
      <w:r>
        <w:rPr>
          <w:rFonts w:ascii="宋体" w:hAnsi="宋体"/>
          <w:color w:val="000000"/>
          <w:sz w:val="24"/>
          <w:szCs w:val="24"/>
        </w:rPr>
        <w:t>21</w:t>
      </w:r>
      <w:r>
        <w:rPr>
          <w:rFonts w:hint="eastAsia" w:ascii="宋体" w:hAnsi="宋体"/>
          <w:color w:val="000000"/>
          <w:sz w:val="24"/>
          <w:szCs w:val="24"/>
        </w:rPr>
        <w:t>日、</w:t>
      </w:r>
      <w:r>
        <w:rPr>
          <w:rFonts w:ascii="宋体" w:hAnsi="宋体"/>
          <w:color w:val="000000"/>
          <w:sz w:val="24"/>
          <w:szCs w:val="24"/>
        </w:rPr>
        <w:t>22</w:t>
      </w:r>
      <w:r>
        <w:rPr>
          <w:rFonts w:hint="eastAsia" w:ascii="宋体" w:hAnsi="宋体"/>
          <w:color w:val="000000"/>
          <w:sz w:val="24"/>
          <w:szCs w:val="24"/>
        </w:rPr>
        <w:t>日，开展校核监测，两次监测均由昆明京诚检测技术有限公司监测。</w:t>
      </w:r>
    </w:p>
    <w:p>
      <w:pPr>
        <w:spacing w:line="360" w:lineRule="auto"/>
        <w:ind w:firstLine="454"/>
        <w:rPr>
          <w:rFonts w:ascii="宋体"/>
          <w:color w:val="000000"/>
          <w:sz w:val="24"/>
          <w:szCs w:val="24"/>
        </w:rPr>
      </w:pPr>
      <w:r>
        <w:rPr>
          <w:rFonts w:hint="eastAsia" w:ascii="宋体"/>
          <w:color w:val="000000"/>
          <w:sz w:val="24"/>
          <w:szCs w:val="24"/>
        </w:rPr>
        <w:t>④</w:t>
      </w:r>
      <w:r>
        <w:rPr>
          <w:rFonts w:hint="eastAsia" w:ascii="宋体" w:hAnsi="宋体"/>
          <w:color w:val="000000"/>
          <w:sz w:val="24"/>
          <w:szCs w:val="24"/>
        </w:rPr>
        <w:t>监测结果</w:t>
      </w:r>
    </w:p>
    <w:p>
      <w:pPr>
        <w:spacing w:line="360" w:lineRule="auto"/>
        <w:ind w:firstLine="454"/>
        <w:rPr>
          <w:rFonts w:ascii="宋体"/>
          <w:color w:val="000000"/>
          <w:sz w:val="24"/>
          <w:szCs w:val="24"/>
        </w:rPr>
      </w:pPr>
      <w:r>
        <w:rPr>
          <w:rFonts w:hint="eastAsia" w:ascii="宋体" w:hAnsi="宋体"/>
          <w:color w:val="000000"/>
          <w:sz w:val="24"/>
          <w:szCs w:val="24"/>
        </w:rPr>
        <w:t>矿井涌水监测结果见表2-27：</w:t>
      </w:r>
    </w:p>
    <w:p>
      <w:pPr>
        <w:spacing w:line="360" w:lineRule="auto"/>
        <w:jc w:val="center"/>
        <w:rPr>
          <w:rFonts w:ascii="宋体" w:hAnsi="宋体"/>
          <w:b/>
          <w:color w:val="000000"/>
          <w:sz w:val="24"/>
          <w:szCs w:val="24"/>
        </w:rPr>
      </w:pPr>
      <w:r>
        <w:rPr>
          <w:rFonts w:hint="eastAsia" w:ascii="宋体" w:hAnsi="宋体"/>
          <w:b/>
          <w:color w:val="000000"/>
          <w:sz w:val="24"/>
          <w:szCs w:val="24"/>
        </w:rPr>
        <w:t>表2-27   矿井涌水监测结果一览表</w:t>
      </w:r>
    </w:p>
    <w:tbl>
      <w:tblPr>
        <w:tblStyle w:val="35"/>
        <w:tblW w:w="5135"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52"/>
        <w:gridCol w:w="262"/>
        <w:gridCol w:w="1130"/>
        <w:gridCol w:w="981"/>
        <w:gridCol w:w="900"/>
        <w:gridCol w:w="900"/>
        <w:gridCol w:w="900"/>
        <w:gridCol w:w="1079"/>
        <w:gridCol w:w="1075"/>
        <w:gridCol w:w="723"/>
        <w:gridCol w:w="1126"/>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68" w:hRule="atLeast"/>
          <w:jc w:val="center"/>
        </w:trPr>
        <w:tc>
          <w:tcPr>
            <w:tcW w:w="515" w:type="pct"/>
            <w:gridSpan w:val="2"/>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采样点名称</w:t>
            </w:r>
          </w:p>
        </w:tc>
        <w:tc>
          <w:tcPr>
            <w:tcW w:w="575"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采样日期</w:t>
            </w:r>
          </w:p>
        </w:tc>
        <w:tc>
          <w:tcPr>
            <w:tcW w:w="3910" w:type="pct"/>
            <w:gridSpan w:val="8"/>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检测结果（单位：</w:t>
            </w:r>
            <w:r>
              <w:rPr>
                <w:rFonts w:ascii="宋体" w:hAnsi="宋体" w:eastAsia="宋体"/>
                <w:color w:val="000000"/>
                <w:szCs w:val="21"/>
              </w:rPr>
              <w:t>pH</w:t>
            </w:r>
            <w:r>
              <w:rPr>
                <w:rFonts w:hint="eastAsia" w:ascii="宋体" w:hAnsi="宋体" w:eastAsia="宋体"/>
                <w:color w:val="000000"/>
                <w:szCs w:val="21"/>
              </w:rPr>
              <w:t>无量纲，其他为</w:t>
            </w:r>
            <w:r>
              <w:rPr>
                <w:rFonts w:ascii="宋体" w:hAnsi="宋体" w:eastAsia="宋体"/>
                <w:color w:val="000000"/>
                <w:szCs w:val="21"/>
              </w:rPr>
              <w:t>mg/L</w:t>
            </w:r>
            <w:r>
              <w:rPr>
                <w:rFonts w:hint="eastAsia" w:ascii="宋体" w:hAnsi="宋体" w:eastAsia="宋体"/>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58" w:hRule="atLeast"/>
          <w:jc w:val="center"/>
        </w:trPr>
        <w:tc>
          <w:tcPr>
            <w:tcW w:w="515" w:type="pct"/>
            <w:gridSpan w:val="2"/>
            <w:vMerge w:val="continue"/>
            <w:noWrap w:val="0"/>
            <w:vAlign w:val="center"/>
          </w:tcPr>
          <w:p>
            <w:pPr>
              <w:pStyle w:val="44"/>
              <w:spacing w:line="280" w:lineRule="exact"/>
              <w:rPr>
                <w:rFonts w:ascii="宋体" w:hAnsi="宋体" w:eastAsia="宋体"/>
                <w:color w:val="000000"/>
                <w:szCs w:val="21"/>
              </w:rPr>
            </w:pPr>
          </w:p>
        </w:tc>
        <w:tc>
          <w:tcPr>
            <w:tcW w:w="575" w:type="pct"/>
            <w:vMerge w:val="continue"/>
            <w:noWrap w:val="0"/>
            <w:vAlign w:val="center"/>
          </w:tcPr>
          <w:p>
            <w:pPr>
              <w:pStyle w:val="44"/>
              <w:spacing w:line="280" w:lineRule="exact"/>
              <w:rPr>
                <w:rFonts w:ascii="宋体" w:hAnsi="宋体" w:eastAsia="宋体"/>
                <w:color w:val="000000"/>
                <w:szCs w:val="21"/>
              </w:rPr>
            </w:pP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pH</w:t>
            </w:r>
          </w:p>
        </w:tc>
        <w:tc>
          <w:tcPr>
            <w:tcW w:w="45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color w:val="000000"/>
                <w:szCs w:val="21"/>
              </w:rPr>
              <w:t>悬浮物</w:t>
            </w:r>
          </w:p>
        </w:tc>
        <w:tc>
          <w:tcPr>
            <w:tcW w:w="45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氨氮</w:t>
            </w:r>
          </w:p>
        </w:tc>
        <w:tc>
          <w:tcPr>
            <w:tcW w:w="45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化学需氧量</w:t>
            </w:r>
          </w:p>
        </w:tc>
        <w:tc>
          <w:tcPr>
            <w:tcW w:w="54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color w:val="000000"/>
                <w:szCs w:val="21"/>
              </w:rPr>
              <w:t>五日生化需氧量</w:t>
            </w:r>
          </w:p>
        </w:tc>
        <w:tc>
          <w:tcPr>
            <w:tcW w:w="547" w:type="pct"/>
            <w:noWrap w:val="0"/>
            <w:vAlign w:val="center"/>
          </w:tcPr>
          <w:p>
            <w:pPr>
              <w:pStyle w:val="44"/>
              <w:spacing w:line="280" w:lineRule="exact"/>
              <w:rPr>
                <w:rFonts w:ascii="宋体" w:hAnsi="宋体" w:eastAsia="宋体"/>
                <w:color w:val="000000"/>
                <w:szCs w:val="21"/>
              </w:rPr>
            </w:pPr>
            <w:r>
              <w:rPr>
                <w:rFonts w:hint="eastAsia" w:ascii="宋体" w:hAnsi="宋体" w:eastAsia="宋体"/>
                <w:iCs/>
                <w:color w:val="000000"/>
                <w:szCs w:val="21"/>
              </w:rPr>
              <w:t>石油类</w:t>
            </w:r>
          </w:p>
        </w:tc>
        <w:tc>
          <w:tcPr>
            <w:tcW w:w="3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氟化物</w:t>
            </w:r>
          </w:p>
        </w:tc>
        <w:tc>
          <w:tcPr>
            <w:tcW w:w="57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硫化物</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68" w:hRule="atLeast"/>
          <w:jc w:val="center"/>
        </w:trPr>
        <w:tc>
          <w:tcPr>
            <w:tcW w:w="515" w:type="pct"/>
            <w:gridSpan w:val="2"/>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矿井涌水</w:t>
            </w:r>
          </w:p>
          <w:p>
            <w:pPr>
              <w:pStyle w:val="44"/>
              <w:spacing w:line="280" w:lineRule="exact"/>
              <w:rPr>
                <w:rFonts w:ascii="宋体" w:hAnsi="宋体" w:eastAsia="宋体"/>
                <w:color w:val="000000"/>
                <w:szCs w:val="21"/>
              </w:rPr>
            </w:pPr>
            <w:r>
              <w:rPr>
                <w:rFonts w:hint="eastAsia" w:ascii="宋体" w:hAnsi="宋体" w:eastAsia="宋体"/>
                <w:color w:val="000000"/>
                <w:szCs w:val="21"/>
              </w:rPr>
              <w:t>排水口</w:t>
            </w:r>
          </w:p>
        </w:tc>
        <w:tc>
          <w:tcPr>
            <w:tcW w:w="575" w:type="pct"/>
            <w:vMerge w:val="restar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2019.08.21</w:t>
            </w: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7.66</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4</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0.089</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0.08</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03" w:hRule="atLeast"/>
          <w:jc w:val="center"/>
        </w:trPr>
        <w:tc>
          <w:tcPr>
            <w:tcW w:w="515" w:type="pct"/>
            <w:gridSpan w:val="2"/>
            <w:vMerge w:val="continue"/>
            <w:noWrap w:val="0"/>
            <w:vAlign w:val="center"/>
          </w:tcPr>
          <w:p>
            <w:pPr>
              <w:pStyle w:val="44"/>
              <w:spacing w:line="280" w:lineRule="exact"/>
              <w:rPr>
                <w:rFonts w:ascii="宋体" w:hAnsi="宋体" w:eastAsia="宋体"/>
                <w:color w:val="000000"/>
                <w:szCs w:val="21"/>
              </w:rPr>
            </w:pPr>
          </w:p>
        </w:tc>
        <w:tc>
          <w:tcPr>
            <w:tcW w:w="575" w:type="pct"/>
            <w:vMerge w:val="continue"/>
            <w:noWrap w:val="0"/>
            <w:vAlign w:val="center"/>
          </w:tcPr>
          <w:p>
            <w:pPr>
              <w:pStyle w:val="44"/>
              <w:spacing w:line="280" w:lineRule="exact"/>
              <w:rPr>
                <w:rFonts w:ascii="宋体" w:hAnsi="宋体" w:eastAsia="宋体"/>
                <w:color w:val="000000"/>
                <w:szCs w:val="21"/>
              </w:rPr>
            </w:pP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7.84</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0.112</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0.6</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0.07</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06" w:hRule="atLeast"/>
          <w:jc w:val="center"/>
        </w:trPr>
        <w:tc>
          <w:tcPr>
            <w:tcW w:w="515" w:type="pct"/>
            <w:gridSpan w:val="2"/>
            <w:vMerge w:val="continue"/>
            <w:noWrap w:val="0"/>
            <w:vAlign w:val="center"/>
          </w:tcPr>
          <w:p>
            <w:pPr>
              <w:pStyle w:val="44"/>
              <w:spacing w:line="280" w:lineRule="exact"/>
              <w:rPr>
                <w:rFonts w:ascii="宋体" w:hAnsi="宋体" w:eastAsia="宋体"/>
                <w:color w:val="000000"/>
                <w:szCs w:val="21"/>
              </w:rPr>
            </w:pPr>
          </w:p>
        </w:tc>
        <w:tc>
          <w:tcPr>
            <w:tcW w:w="575" w:type="pct"/>
            <w:vMerge w:val="continue"/>
            <w:noWrap w:val="0"/>
            <w:vAlign w:val="center"/>
          </w:tcPr>
          <w:p>
            <w:pPr>
              <w:pStyle w:val="44"/>
              <w:spacing w:line="280" w:lineRule="exact"/>
              <w:rPr>
                <w:rFonts w:ascii="宋体" w:hAnsi="宋体" w:eastAsia="宋体"/>
                <w:color w:val="000000"/>
                <w:szCs w:val="21"/>
              </w:rPr>
            </w:pP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7.58</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4</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0.096</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0.07</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60" w:hRule="atLeast"/>
          <w:jc w:val="center"/>
        </w:trPr>
        <w:tc>
          <w:tcPr>
            <w:tcW w:w="515" w:type="pct"/>
            <w:gridSpan w:val="2"/>
            <w:vMerge w:val="continue"/>
            <w:noWrap w:val="0"/>
            <w:vAlign w:val="center"/>
          </w:tcPr>
          <w:p>
            <w:pPr>
              <w:pStyle w:val="44"/>
              <w:spacing w:line="280" w:lineRule="exact"/>
              <w:rPr>
                <w:rFonts w:ascii="宋体" w:hAnsi="宋体" w:eastAsia="宋体"/>
                <w:color w:val="000000"/>
                <w:szCs w:val="21"/>
              </w:rPr>
            </w:pPr>
          </w:p>
        </w:tc>
        <w:tc>
          <w:tcPr>
            <w:tcW w:w="575" w:type="pct"/>
            <w:vMerge w:val="restar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2019.08.22</w:t>
            </w: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7.72</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4</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0.084</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0.06</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160" w:hRule="atLeast"/>
          <w:jc w:val="center"/>
        </w:trPr>
        <w:tc>
          <w:tcPr>
            <w:tcW w:w="515" w:type="pct"/>
            <w:gridSpan w:val="2"/>
            <w:vMerge w:val="continue"/>
            <w:noWrap w:val="0"/>
            <w:vAlign w:val="center"/>
          </w:tcPr>
          <w:p>
            <w:pPr>
              <w:pStyle w:val="44"/>
              <w:spacing w:line="280" w:lineRule="exact"/>
              <w:rPr>
                <w:rFonts w:ascii="宋体" w:hAnsi="宋体" w:eastAsia="宋体"/>
                <w:color w:val="000000"/>
                <w:szCs w:val="21"/>
              </w:rPr>
            </w:pPr>
          </w:p>
        </w:tc>
        <w:tc>
          <w:tcPr>
            <w:tcW w:w="575" w:type="pct"/>
            <w:vMerge w:val="continue"/>
            <w:noWrap w:val="0"/>
            <w:vAlign w:val="center"/>
          </w:tcPr>
          <w:p>
            <w:pPr>
              <w:pStyle w:val="44"/>
              <w:spacing w:line="280" w:lineRule="exact"/>
              <w:rPr>
                <w:rFonts w:ascii="宋体" w:hAnsi="宋体" w:eastAsia="宋体"/>
                <w:color w:val="000000"/>
                <w:szCs w:val="21"/>
              </w:rPr>
            </w:pP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7.48</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0.102</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0.7</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0.06</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50" w:hRule="atLeast"/>
          <w:jc w:val="center"/>
        </w:trPr>
        <w:tc>
          <w:tcPr>
            <w:tcW w:w="515" w:type="pct"/>
            <w:gridSpan w:val="2"/>
            <w:vMerge w:val="continue"/>
            <w:noWrap w:val="0"/>
            <w:vAlign w:val="center"/>
          </w:tcPr>
          <w:p>
            <w:pPr>
              <w:pStyle w:val="44"/>
              <w:spacing w:line="280" w:lineRule="exact"/>
              <w:rPr>
                <w:rFonts w:ascii="宋体" w:hAnsi="宋体" w:eastAsia="宋体"/>
                <w:color w:val="000000"/>
                <w:szCs w:val="21"/>
              </w:rPr>
            </w:pPr>
          </w:p>
        </w:tc>
        <w:tc>
          <w:tcPr>
            <w:tcW w:w="575" w:type="pct"/>
            <w:vMerge w:val="continue"/>
            <w:noWrap w:val="0"/>
            <w:vAlign w:val="center"/>
          </w:tcPr>
          <w:p>
            <w:pPr>
              <w:pStyle w:val="44"/>
              <w:spacing w:line="280" w:lineRule="exact"/>
              <w:rPr>
                <w:rFonts w:ascii="宋体" w:hAnsi="宋体" w:eastAsia="宋体"/>
                <w:color w:val="000000"/>
                <w:szCs w:val="21"/>
              </w:rPr>
            </w:pP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7.69</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0.090</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&lt;4</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0.06</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&lt;0.005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50" w:hRule="atLeast"/>
          <w:jc w:val="center"/>
        </w:trPr>
        <w:tc>
          <w:tcPr>
            <w:tcW w:w="1090" w:type="pct"/>
            <w:gridSpan w:val="3"/>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（铅锌行业污染物排放标准）标准限值（</w:t>
            </w:r>
            <w:r>
              <w:rPr>
                <w:rFonts w:ascii="宋体" w:hAnsi="宋体" w:eastAsia="宋体"/>
                <w:color w:val="000000"/>
                <w:szCs w:val="21"/>
              </w:rPr>
              <w:t>mg/L</w:t>
            </w:r>
            <w:r>
              <w:rPr>
                <w:rFonts w:hint="eastAsia" w:ascii="宋体" w:hAnsi="宋体" w:eastAsia="宋体"/>
                <w:color w:val="000000"/>
                <w:szCs w:val="21"/>
              </w:rPr>
              <w:t>）</w:t>
            </w: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6~9</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50</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60</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50" w:hRule="atLeast"/>
          <w:jc w:val="center"/>
        </w:trPr>
        <w:tc>
          <w:tcPr>
            <w:tcW w:w="1090" w:type="pct"/>
            <w:gridSpan w:val="3"/>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地表水环境质量Ⅳ类水标准限值（</w:t>
            </w:r>
            <w:r>
              <w:rPr>
                <w:rFonts w:ascii="宋体" w:hAnsi="宋体" w:eastAsia="宋体"/>
                <w:color w:val="000000"/>
                <w:szCs w:val="21"/>
              </w:rPr>
              <w:t>mg/L</w:t>
            </w:r>
            <w:r>
              <w:rPr>
                <w:rFonts w:hint="eastAsia" w:ascii="宋体" w:hAnsi="宋体" w:eastAsia="宋体"/>
                <w:color w:val="000000"/>
                <w:szCs w:val="21"/>
              </w:rPr>
              <w:t>）</w:t>
            </w:r>
          </w:p>
        </w:tc>
        <w:tc>
          <w:tcPr>
            <w:tcW w:w="49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6~9</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45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54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3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57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50" w:hRule="atLeast"/>
          <w:jc w:val="center"/>
        </w:trPr>
        <w:tc>
          <w:tcPr>
            <w:tcW w:w="1090" w:type="pct"/>
            <w:gridSpan w:val="3"/>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9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5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5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5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54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54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57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13" w:hRule="atLeast"/>
          <w:jc w:val="center"/>
        </w:trPr>
        <w:tc>
          <w:tcPr>
            <w:tcW w:w="382" w:type="pct"/>
            <w:vMerge w:val="restar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采样点名称</w:t>
            </w:r>
          </w:p>
        </w:tc>
        <w:tc>
          <w:tcPr>
            <w:tcW w:w="1207" w:type="pct"/>
            <w:gridSpan w:val="3"/>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kern w:val="0"/>
                <w:szCs w:val="21"/>
              </w:rPr>
              <w:t>采样日期</w:t>
            </w:r>
          </w:p>
        </w:tc>
        <w:tc>
          <w:tcPr>
            <w:tcW w:w="3411" w:type="pct"/>
            <w:gridSpan w:val="7"/>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kern w:val="0"/>
                <w:szCs w:val="21"/>
              </w:rPr>
              <w:t>检测结果（单位：汞、</w:t>
            </w:r>
            <w:r>
              <w:rPr>
                <w:rFonts w:hint="eastAsia" w:ascii="宋体" w:hAnsi="宋体" w:eastAsia="宋体"/>
                <w:iCs/>
                <w:color w:val="000000"/>
                <w:szCs w:val="21"/>
              </w:rPr>
              <w:t>砷</w:t>
            </w:r>
            <w:r>
              <w:rPr>
                <w:rFonts w:hint="eastAsia" w:ascii="宋体" w:hAnsi="宋体" w:eastAsia="宋体"/>
                <w:color w:val="000000"/>
                <w:kern w:val="0"/>
                <w:szCs w:val="21"/>
              </w:rPr>
              <w:t>为</w:t>
            </w:r>
            <w:r>
              <w:rPr>
                <w:rFonts w:ascii="宋体" w:hAnsi="宋体" w:eastAsia="宋体"/>
                <w:color w:val="000000"/>
                <w:kern w:val="0"/>
                <w:szCs w:val="21"/>
              </w:rPr>
              <w:t xml:space="preserve"> μg/L</w:t>
            </w:r>
            <w:r>
              <w:rPr>
                <w:rFonts w:hint="eastAsia" w:ascii="宋体" w:hAnsi="宋体" w:eastAsia="宋体"/>
                <w:color w:val="000000"/>
                <w:kern w:val="0"/>
                <w:szCs w:val="21"/>
              </w:rPr>
              <w:t>，其他为</w:t>
            </w:r>
            <w:r>
              <w:rPr>
                <w:rFonts w:ascii="宋体" w:hAnsi="宋体" w:eastAsia="宋体"/>
                <w:color w:val="000000"/>
                <w:szCs w:val="21"/>
              </w:rPr>
              <w:t>mg/L</w:t>
            </w:r>
            <w:r>
              <w:rPr>
                <w:rFonts w:hint="eastAsia" w:ascii="宋体" w:hAnsi="宋体" w:eastAsia="宋体"/>
                <w:color w:val="000000"/>
                <w:kern w:val="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60" w:hRule="atLeast"/>
          <w:jc w:val="center"/>
        </w:trPr>
        <w:tc>
          <w:tcPr>
            <w:tcW w:w="382" w:type="pct"/>
            <w:vMerge w:val="continue"/>
            <w:noWrap w:val="0"/>
            <w:vAlign w:val="center"/>
          </w:tcPr>
          <w:p>
            <w:pPr>
              <w:pStyle w:val="44"/>
              <w:spacing w:line="280" w:lineRule="exact"/>
              <w:rPr>
                <w:rFonts w:ascii="宋体" w:hAnsi="宋体" w:eastAsia="宋体"/>
                <w:color w:val="000000"/>
                <w:kern w:val="0"/>
                <w:szCs w:val="21"/>
              </w:rPr>
            </w:pPr>
          </w:p>
        </w:tc>
        <w:tc>
          <w:tcPr>
            <w:tcW w:w="1207" w:type="pct"/>
            <w:gridSpan w:val="3"/>
            <w:vMerge w:val="continue"/>
            <w:noWrap w:val="0"/>
            <w:vAlign w:val="center"/>
          </w:tcPr>
          <w:p>
            <w:pPr>
              <w:pStyle w:val="44"/>
              <w:spacing w:line="280" w:lineRule="exact"/>
              <w:rPr>
                <w:rFonts w:ascii="宋体" w:hAnsi="宋体" w:eastAsia="宋体"/>
                <w:color w:val="000000"/>
                <w:kern w:val="0"/>
                <w:szCs w:val="21"/>
              </w:rPr>
            </w:pPr>
          </w:p>
        </w:tc>
        <w:tc>
          <w:tcPr>
            <w:tcW w:w="458"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六价铬</w:t>
            </w:r>
          </w:p>
        </w:tc>
        <w:tc>
          <w:tcPr>
            <w:tcW w:w="458"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铁</w:t>
            </w:r>
          </w:p>
        </w:tc>
        <w:tc>
          <w:tcPr>
            <w:tcW w:w="45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color w:val="000000"/>
                <w:kern w:val="0"/>
                <w:szCs w:val="21"/>
              </w:rPr>
              <w:t>锌</w:t>
            </w:r>
          </w:p>
        </w:tc>
        <w:tc>
          <w:tcPr>
            <w:tcW w:w="549"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iCs/>
                <w:color w:val="000000"/>
                <w:szCs w:val="21"/>
              </w:rPr>
              <w:t>铅</w:t>
            </w:r>
          </w:p>
        </w:tc>
        <w:tc>
          <w:tcPr>
            <w:tcW w:w="547"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镉</w:t>
            </w:r>
          </w:p>
        </w:tc>
        <w:tc>
          <w:tcPr>
            <w:tcW w:w="3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color w:val="000000"/>
                <w:kern w:val="0"/>
                <w:szCs w:val="21"/>
              </w:rPr>
              <w:t>汞</w:t>
            </w:r>
          </w:p>
        </w:tc>
        <w:tc>
          <w:tcPr>
            <w:tcW w:w="574"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iCs/>
                <w:color w:val="000000"/>
                <w:szCs w:val="21"/>
              </w:rPr>
              <w:t>砷</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96" w:hRule="atLeast"/>
          <w:jc w:val="center"/>
        </w:trPr>
        <w:tc>
          <w:tcPr>
            <w:tcW w:w="382"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矿井涌水</w:t>
            </w:r>
          </w:p>
          <w:p>
            <w:pPr>
              <w:pStyle w:val="44"/>
              <w:spacing w:line="280" w:lineRule="exact"/>
              <w:rPr>
                <w:rFonts w:ascii="宋体" w:hAnsi="宋体" w:eastAsia="宋体"/>
                <w:color w:val="000000"/>
                <w:szCs w:val="21"/>
              </w:rPr>
            </w:pPr>
            <w:r>
              <w:rPr>
                <w:rFonts w:hint="eastAsia" w:ascii="宋体" w:hAnsi="宋体" w:eastAsia="宋体"/>
                <w:color w:val="000000"/>
                <w:szCs w:val="21"/>
              </w:rPr>
              <w:t>排水口</w:t>
            </w:r>
          </w:p>
        </w:tc>
        <w:tc>
          <w:tcPr>
            <w:tcW w:w="1207" w:type="pct"/>
            <w:gridSpan w:val="3"/>
            <w:vMerge w:val="restar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2019.08.21</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&lt;0.004</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0.07</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0.23</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0.027</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2.7×10</w:t>
            </w:r>
            <w:r>
              <w:rPr>
                <w:rFonts w:ascii="宋体" w:hAnsi="宋体" w:eastAsia="宋体"/>
                <w:color w:val="000000"/>
                <w:kern w:val="0"/>
                <w:szCs w:val="21"/>
                <w:vertAlign w:val="superscript"/>
              </w:rPr>
              <w:t>-3</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0.3</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120" w:hRule="atLeast"/>
          <w:jc w:val="center"/>
        </w:trPr>
        <w:tc>
          <w:tcPr>
            <w:tcW w:w="382" w:type="pct"/>
            <w:vMerge w:val="continue"/>
            <w:noWrap w:val="0"/>
            <w:vAlign w:val="center"/>
          </w:tcPr>
          <w:p>
            <w:pPr>
              <w:pStyle w:val="44"/>
              <w:spacing w:line="280" w:lineRule="exact"/>
              <w:rPr>
                <w:rFonts w:ascii="宋体" w:hAnsi="宋体" w:eastAsia="宋体"/>
                <w:color w:val="000000"/>
                <w:szCs w:val="21"/>
              </w:rPr>
            </w:pPr>
          </w:p>
        </w:tc>
        <w:tc>
          <w:tcPr>
            <w:tcW w:w="1207" w:type="pct"/>
            <w:gridSpan w:val="3"/>
            <w:vMerge w:val="continue"/>
            <w:noWrap w:val="0"/>
            <w:vAlign w:val="center"/>
          </w:tcPr>
          <w:p>
            <w:pPr>
              <w:pStyle w:val="44"/>
              <w:spacing w:line="280" w:lineRule="exact"/>
              <w:rPr>
                <w:rFonts w:ascii="宋体" w:hAnsi="宋体" w:eastAsia="宋体"/>
                <w:color w:val="000000"/>
                <w:kern w:val="0"/>
                <w:szCs w:val="21"/>
              </w:rPr>
            </w:pP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&lt;0.004</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0.54</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0.23</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0.036</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4.0×10</w:t>
            </w:r>
            <w:r>
              <w:rPr>
                <w:rFonts w:ascii="宋体" w:hAnsi="宋体" w:eastAsia="宋体"/>
                <w:color w:val="000000"/>
                <w:kern w:val="0"/>
                <w:szCs w:val="21"/>
                <w:vertAlign w:val="superscript"/>
              </w:rPr>
              <w:t>-3</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10" w:hRule="atLeast"/>
          <w:jc w:val="center"/>
        </w:trPr>
        <w:tc>
          <w:tcPr>
            <w:tcW w:w="382" w:type="pct"/>
            <w:vMerge w:val="continue"/>
            <w:noWrap w:val="0"/>
            <w:vAlign w:val="center"/>
          </w:tcPr>
          <w:p>
            <w:pPr>
              <w:pStyle w:val="44"/>
              <w:spacing w:line="280" w:lineRule="exact"/>
              <w:rPr>
                <w:rFonts w:ascii="宋体" w:hAnsi="宋体" w:eastAsia="宋体"/>
                <w:color w:val="000000"/>
                <w:szCs w:val="21"/>
              </w:rPr>
            </w:pPr>
          </w:p>
        </w:tc>
        <w:tc>
          <w:tcPr>
            <w:tcW w:w="1207" w:type="pct"/>
            <w:gridSpan w:val="3"/>
            <w:vMerge w:val="continue"/>
            <w:noWrap w:val="0"/>
            <w:vAlign w:val="center"/>
          </w:tcPr>
          <w:p>
            <w:pPr>
              <w:pStyle w:val="44"/>
              <w:spacing w:line="280" w:lineRule="exact"/>
              <w:rPr>
                <w:rFonts w:ascii="宋体" w:hAnsi="宋体" w:eastAsia="宋体"/>
                <w:color w:val="000000"/>
                <w:kern w:val="0"/>
                <w:szCs w:val="21"/>
              </w:rPr>
            </w:pP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&lt;0.004</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0.11</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0.22</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0.033</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4.1×10</w:t>
            </w:r>
            <w:r>
              <w:rPr>
                <w:rFonts w:ascii="宋体" w:hAnsi="宋体" w:eastAsia="宋体"/>
                <w:color w:val="000000"/>
                <w:kern w:val="0"/>
                <w:szCs w:val="21"/>
                <w:vertAlign w:val="superscript"/>
              </w:rPr>
              <w:t>-3</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14" w:hRule="atLeast"/>
          <w:jc w:val="center"/>
        </w:trPr>
        <w:tc>
          <w:tcPr>
            <w:tcW w:w="382" w:type="pct"/>
            <w:vMerge w:val="continue"/>
            <w:noWrap w:val="0"/>
            <w:vAlign w:val="center"/>
          </w:tcPr>
          <w:p>
            <w:pPr>
              <w:pStyle w:val="44"/>
              <w:spacing w:line="280" w:lineRule="exact"/>
              <w:rPr>
                <w:rFonts w:ascii="宋体" w:hAnsi="宋体" w:eastAsia="宋体"/>
                <w:color w:val="000000"/>
                <w:szCs w:val="21"/>
              </w:rPr>
            </w:pPr>
          </w:p>
        </w:tc>
        <w:tc>
          <w:tcPr>
            <w:tcW w:w="1207" w:type="pct"/>
            <w:gridSpan w:val="3"/>
            <w:vMerge w:val="restar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2019.08.22</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&lt;0.004</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0.06</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0.23</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0.026</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2.2×10</w:t>
            </w:r>
            <w:r>
              <w:rPr>
                <w:rFonts w:ascii="宋体" w:hAnsi="宋体" w:eastAsia="宋体"/>
                <w:color w:val="000000"/>
                <w:kern w:val="0"/>
                <w:szCs w:val="21"/>
                <w:vertAlign w:val="superscript"/>
              </w:rPr>
              <w:t>-3</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106" w:hRule="atLeast"/>
          <w:jc w:val="center"/>
        </w:trPr>
        <w:tc>
          <w:tcPr>
            <w:tcW w:w="382" w:type="pct"/>
            <w:vMerge w:val="continue"/>
            <w:noWrap w:val="0"/>
            <w:vAlign w:val="center"/>
          </w:tcPr>
          <w:p>
            <w:pPr>
              <w:pStyle w:val="44"/>
              <w:spacing w:line="280" w:lineRule="exact"/>
              <w:rPr>
                <w:rFonts w:ascii="宋体" w:hAnsi="宋体" w:eastAsia="宋体"/>
                <w:color w:val="000000"/>
                <w:szCs w:val="21"/>
              </w:rPr>
            </w:pPr>
          </w:p>
        </w:tc>
        <w:tc>
          <w:tcPr>
            <w:tcW w:w="1207" w:type="pct"/>
            <w:gridSpan w:val="3"/>
            <w:vMerge w:val="continue"/>
            <w:noWrap w:val="0"/>
            <w:vAlign w:val="center"/>
          </w:tcPr>
          <w:p>
            <w:pPr>
              <w:pStyle w:val="44"/>
              <w:spacing w:line="280" w:lineRule="exact"/>
              <w:rPr>
                <w:rFonts w:ascii="宋体" w:hAnsi="宋体" w:eastAsia="宋体"/>
                <w:color w:val="000000"/>
                <w:kern w:val="0"/>
                <w:szCs w:val="21"/>
              </w:rPr>
            </w:pP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&lt;0.004</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0.56</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0.23</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0.036</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3.6×10</w:t>
            </w:r>
            <w:r>
              <w:rPr>
                <w:rFonts w:ascii="宋体" w:hAnsi="宋体" w:eastAsia="宋体"/>
                <w:color w:val="000000"/>
                <w:kern w:val="0"/>
                <w:szCs w:val="21"/>
                <w:vertAlign w:val="superscript"/>
              </w:rPr>
              <w:t>-3</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39" w:hRule="atLeast"/>
          <w:jc w:val="center"/>
        </w:trPr>
        <w:tc>
          <w:tcPr>
            <w:tcW w:w="382" w:type="pct"/>
            <w:vMerge w:val="continue"/>
            <w:noWrap w:val="0"/>
            <w:vAlign w:val="center"/>
          </w:tcPr>
          <w:p>
            <w:pPr>
              <w:pStyle w:val="44"/>
              <w:spacing w:line="280" w:lineRule="exact"/>
              <w:rPr>
                <w:rFonts w:ascii="宋体" w:hAnsi="宋体" w:eastAsia="宋体"/>
                <w:color w:val="000000"/>
                <w:szCs w:val="21"/>
              </w:rPr>
            </w:pPr>
          </w:p>
        </w:tc>
        <w:tc>
          <w:tcPr>
            <w:tcW w:w="1207" w:type="pct"/>
            <w:gridSpan w:val="3"/>
            <w:vMerge w:val="continue"/>
            <w:noWrap w:val="0"/>
            <w:vAlign w:val="center"/>
          </w:tcPr>
          <w:p>
            <w:pPr>
              <w:pStyle w:val="44"/>
              <w:spacing w:line="280" w:lineRule="exact"/>
              <w:rPr>
                <w:rFonts w:ascii="宋体" w:hAnsi="宋体" w:eastAsia="宋体"/>
                <w:color w:val="000000"/>
                <w:kern w:val="0"/>
                <w:szCs w:val="21"/>
              </w:rPr>
            </w:pP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&lt;0.004</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0.12</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0.22</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0.031</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3.8×10</w:t>
            </w:r>
            <w:r>
              <w:rPr>
                <w:rFonts w:ascii="宋体" w:hAnsi="宋体" w:eastAsia="宋体"/>
                <w:color w:val="000000"/>
                <w:kern w:val="0"/>
                <w:szCs w:val="21"/>
                <w:vertAlign w:val="superscript"/>
              </w:rPr>
              <w:t>-3</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0.2</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39" w:hRule="atLeast"/>
          <w:jc w:val="center"/>
        </w:trPr>
        <w:tc>
          <w:tcPr>
            <w:tcW w:w="1589" w:type="pct"/>
            <w:gridSpan w:val="4"/>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szCs w:val="21"/>
              </w:rPr>
              <w:t>（铅锌行业污染物排放标准）标准限值（</w:t>
            </w:r>
            <w:r>
              <w:rPr>
                <w:rFonts w:ascii="宋体" w:hAnsi="宋体" w:eastAsia="宋体"/>
                <w:color w:val="000000"/>
                <w:szCs w:val="21"/>
              </w:rPr>
              <w:t>mg/L</w:t>
            </w:r>
            <w:r>
              <w:rPr>
                <w:rFonts w:hint="eastAsia" w:ascii="宋体" w:hAnsi="宋体" w:eastAsia="宋体"/>
                <w:color w:val="000000"/>
                <w:szCs w:val="21"/>
              </w:rPr>
              <w:t>）</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1.5</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0.5</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0.05</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30</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39" w:hRule="atLeast"/>
          <w:jc w:val="center"/>
        </w:trPr>
        <w:tc>
          <w:tcPr>
            <w:tcW w:w="1589" w:type="pct"/>
            <w:gridSpan w:val="4"/>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szCs w:val="21"/>
              </w:rPr>
              <w:t>地表水环境质量Ⅳ类水标准限值（</w:t>
            </w:r>
            <w:r>
              <w:rPr>
                <w:rFonts w:ascii="宋体" w:hAnsi="宋体" w:eastAsia="宋体"/>
                <w:color w:val="000000"/>
                <w:szCs w:val="21"/>
              </w:rPr>
              <w:t>mg/L</w:t>
            </w:r>
            <w:r>
              <w:rPr>
                <w:rFonts w:hint="eastAsia" w:ascii="宋体" w:hAnsi="宋体" w:eastAsia="宋体"/>
                <w:color w:val="000000"/>
                <w:szCs w:val="21"/>
              </w:rPr>
              <w:t>）</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0.05</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w:t>
            </w:r>
          </w:p>
        </w:tc>
        <w:tc>
          <w:tcPr>
            <w:tcW w:w="45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2.0</w:t>
            </w:r>
          </w:p>
        </w:tc>
        <w:tc>
          <w:tcPr>
            <w:tcW w:w="549"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0.05</w:t>
            </w:r>
          </w:p>
        </w:tc>
        <w:tc>
          <w:tcPr>
            <w:tcW w:w="547"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0.005</w:t>
            </w:r>
          </w:p>
        </w:tc>
        <w:tc>
          <w:tcPr>
            <w:tcW w:w="368"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0.001</w:t>
            </w:r>
          </w:p>
        </w:tc>
        <w:tc>
          <w:tcPr>
            <w:tcW w:w="574" w:type="pct"/>
            <w:noWrap w:val="0"/>
            <w:vAlign w:val="center"/>
          </w:tcPr>
          <w:p>
            <w:pPr>
              <w:pStyle w:val="44"/>
              <w:spacing w:line="280" w:lineRule="exact"/>
              <w:rPr>
                <w:rFonts w:ascii="宋体" w:hAnsi="宋体" w:eastAsia="宋体"/>
                <w:color w:val="000000"/>
                <w:kern w:val="0"/>
                <w:szCs w:val="21"/>
              </w:rPr>
            </w:pPr>
            <w:r>
              <w:rPr>
                <w:rFonts w:ascii="宋体" w:hAnsi="宋体" w:eastAsia="宋体"/>
                <w:color w:val="000000"/>
                <w:kern w:val="0"/>
                <w:szCs w:val="21"/>
              </w:rPr>
              <w:t>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39" w:hRule="atLeast"/>
          <w:jc w:val="center"/>
        </w:trPr>
        <w:tc>
          <w:tcPr>
            <w:tcW w:w="1589" w:type="pct"/>
            <w:gridSpan w:val="4"/>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szCs w:val="21"/>
              </w:rPr>
              <w:t>达标情况</w:t>
            </w:r>
          </w:p>
        </w:tc>
        <w:tc>
          <w:tcPr>
            <w:tcW w:w="458"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达标</w:t>
            </w:r>
          </w:p>
        </w:tc>
        <w:tc>
          <w:tcPr>
            <w:tcW w:w="45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w:t>
            </w:r>
          </w:p>
        </w:tc>
        <w:tc>
          <w:tcPr>
            <w:tcW w:w="458"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达标</w:t>
            </w:r>
          </w:p>
        </w:tc>
        <w:tc>
          <w:tcPr>
            <w:tcW w:w="549"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达标</w:t>
            </w:r>
          </w:p>
        </w:tc>
        <w:tc>
          <w:tcPr>
            <w:tcW w:w="547"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达标</w:t>
            </w:r>
          </w:p>
        </w:tc>
        <w:tc>
          <w:tcPr>
            <w:tcW w:w="368"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达标</w:t>
            </w:r>
          </w:p>
        </w:tc>
        <w:tc>
          <w:tcPr>
            <w:tcW w:w="574" w:type="pct"/>
            <w:noWrap w:val="0"/>
            <w:vAlign w:val="center"/>
          </w:tcPr>
          <w:p>
            <w:pPr>
              <w:pStyle w:val="44"/>
              <w:spacing w:line="280" w:lineRule="exact"/>
              <w:rPr>
                <w:rFonts w:ascii="宋体" w:hAnsi="宋体" w:eastAsia="宋体"/>
                <w:color w:val="000000"/>
                <w:kern w:val="0"/>
                <w:szCs w:val="21"/>
              </w:rPr>
            </w:pPr>
            <w:r>
              <w:rPr>
                <w:rFonts w:hint="eastAsia" w:ascii="宋体" w:hAnsi="宋体" w:eastAsia="宋体"/>
                <w:color w:val="000000"/>
                <w:kern w:val="0"/>
                <w:szCs w:val="21"/>
              </w:rPr>
              <w:t>达标</w:t>
            </w:r>
          </w:p>
        </w:tc>
      </w:tr>
    </w:tbl>
    <w:p>
      <w:pPr>
        <w:spacing w:line="360" w:lineRule="auto"/>
        <w:ind w:firstLine="480" w:firstLineChars="200"/>
        <w:rPr>
          <w:rFonts w:ascii="宋体" w:hAnsi="宋体"/>
          <w:color w:val="000000"/>
          <w:sz w:val="24"/>
          <w:szCs w:val="24"/>
        </w:rPr>
      </w:pPr>
      <w:r>
        <w:rPr>
          <w:rFonts w:hint="eastAsia" w:ascii="宋体" w:hAnsi="宋体"/>
          <w:color w:val="000000"/>
          <w:sz w:val="24"/>
          <w:szCs w:val="24"/>
        </w:rPr>
        <w:t>根据上述监测结果可知，矿井涌水水质能满足《铅锌工业污染物排放标准》（</w:t>
      </w:r>
      <w:r>
        <w:rPr>
          <w:rFonts w:ascii="宋体" w:hAnsi="宋体"/>
          <w:color w:val="000000"/>
          <w:sz w:val="24"/>
          <w:szCs w:val="24"/>
        </w:rPr>
        <w:t>GB25466-2010</w:t>
      </w:r>
      <w:r>
        <w:rPr>
          <w:rFonts w:hint="eastAsia" w:ascii="宋体" w:hAnsi="宋体"/>
          <w:color w:val="000000"/>
          <w:sz w:val="24"/>
          <w:szCs w:val="24"/>
        </w:rPr>
        <w:t>）中表</w:t>
      </w:r>
      <w:r>
        <w:rPr>
          <w:rFonts w:ascii="宋体" w:hAnsi="宋体"/>
          <w:color w:val="000000"/>
          <w:sz w:val="24"/>
          <w:szCs w:val="24"/>
        </w:rPr>
        <w:t>2</w:t>
      </w:r>
      <w:r>
        <w:rPr>
          <w:rFonts w:hint="eastAsia" w:ascii="宋体" w:hAnsi="宋体"/>
          <w:color w:val="000000"/>
          <w:sz w:val="24"/>
          <w:szCs w:val="24"/>
        </w:rPr>
        <w:t>直接排放的限值标准要求。同时，根据《地表水环境影响评价技术导则》（</w:t>
      </w:r>
      <w:r>
        <w:rPr>
          <w:rFonts w:ascii="宋体" w:hAnsi="宋体"/>
          <w:color w:val="000000"/>
          <w:sz w:val="24"/>
          <w:szCs w:val="24"/>
        </w:rPr>
        <w:t>HJ2.3-2018</w:t>
      </w:r>
      <w:r>
        <w:rPr>
          <w:rFonts w:hint="eastAsia" w:ascii="宋体" w:hAnsi="宋体"/>
          <w:color w:val="000000"/>
          <w:sz w:val="24"/>
          <w:szCs w:val="24"/>
        </w:rPr>
        <w:t>）中要求，污水排入地表水体还需要达到相应地表水水体质量标准，根据上述监测数据比对，矿井涌水水质满足《地表水环境质量标准》（</w:t>
      </w:r>
      <w:r>
        <w:rPr>
          <w:rFonts w:ascii="宋体" w:hAnsi="宋体"/>
          <w:color w:val="000000"/>
          <w:sz w:val="24"/>
          <w:szCs w:val="24"/>
        </w:rPr>
        <w:t>GB3838-2002</w:t>
      </w:r>
      <w:r>
        <w:rPr>
          <w:rFonts w:hint="eastAsia" w:ascii="宋体" w:hAnsi="宋体"/>
          <w:color w:val="000000"/>
          <w:sz w:val="24"/>
          <w:szCs w:val="24"/>
        </w:rPr>
        <w:t>）中Ⅳ类水水质标准限值，排入块泽河，对其水质产生的影响较小。</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w:t>
      </w:r>
      <w:r>
        <w:rPr>
          <w:rFonts w:ascii="宋体" w:hAnsi="宋体"/>
          <w:color w:val="000000"/>
          <w:sz w:val="24"/>
          <w:szCs w:val="24"/>
        </w:rPr>
        <w:t>2</w:t>
      </w:r>
      <w:r>
        <w:rPr>
          <w:rFonts w:hint="eastAsia" w:ascii="宋体" w:hAnsi="宋体"/>
          <w:color w:val="000000"/>
          <w:sz w:val="24"/>
          <w:szCs w:val="24"/>
        </w:rPr>
        <w:t>）生产废水</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①监测布点</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在采场废水处理系统进水口、排水口处</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②监测项目</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生产废水对</w:t>
      </w:r>
      <w:r>
        <w:rPr>
          <w:rFonts w:ascii="宋体" w:hAnsi="宋体"/>
          <w:color w:val="000000"/>
          <w:sz w:val="24"/>
          <w:szCs w:val="24"/>
        </w:rPr>
        <w:t>pH</w:t>
      </w:r>
      <w:r>
        <w:rPr>
          <w:rFonts w:hint="eastAsia" w:ascii="宋体" w:hAnsi="宋体"/>
          <w:color w:val="000000"/>
          <w:sz w:val="24"/>
          <w:szCs w:val="24"/>
        </w:rPr>
        <w:t>（无量纲）、</w:t>
      </w:r>
      <w:r>
        <w:rPr>
          <w:rFonts w:ascii="宋体" w:hAnsi="宋体"/>
          <w:color w:val="000000"/>
          <w:sz w:val="24"/>
          <w:szCs w:val="24"/>
        </w:rPr>
        <w:t>CODcr</w:t>
      </w:r>
      <w:r>
        <w:rPr>
          <w:rFonts w:hint="eastAsia" w:ascii="宋体" w:hAnsi="宋体"/>
          <w:color w:val="000000"/>
          <w:sz w:val="24"/>
          <w:szCs w:val="24"/>
        </w:rPr>
        <w:t>、</w:t>
      </w:r>
      <w:r>
        <w:rPr>
          <w:rFonts w:ascii="宋体" w:hAnsi="宋体"/>
          <w:color w:val="000000"/>
          <w:sz w:val="24"/>
          <w:szCs w:val="24"/>
        </w:rPr>
        <w:t>SS</w:t>
      </w:r>
      <w:r>
        <w:rPr>
          <w:rFonts w:hint="eastAsia" w:ascii="宋体" w:hAnsi="宋体"/>
          <w:color w:val="000000"/>
          <w:sz w:val="24"/>
          <w:szCs w:val="24"/>
        </w:rPr>
        <w:t>、硫化物、铜、锌、铅、砷、镉、汞、等</w:t>
      </w:r>
      <w:r>
        <w:rPr>
          <w:rFonts w:ascii="宋体" w:hAnsi="宋体"/>
          <w:color w:val="000000"/>
          <w:sz w:val="24"/>
          <w:szCs w:val="24"/>
        </w:rPr>
        <w:t>10</w:t>
      </w:r>
      <w:r>
        <w:rPr>
          <w:rFonts w:hint="eastAsia" w:ascii="宋体" w:hAnsi="宋体"/>
          <w:color w:val="000000"/>
          <w:sz w:val="24"/>
          <w:szCs w:val="24"/>
        </w:rPr>
        <w:t>项；</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③监测频次</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监测一期，连续采样监测</w:t>
      </w:r>
      <w:r>
        <w:rPr>
          <w:rFonts w:ascii="宋体" w:hAnsi="宋体"/>
          <w:color w:val="000000"/>
          <w:sz w:val="24"/>
          <w:szCs w:val="24"/>
        </w:rPr>
        <w:t>2</w:t>
      </w:r>
      <w:r>
        <w:rPr>
          <w:rFonts w:hint="eastAsia" w:ascii="宋体" w:hAnsi="宋体"/>
          <w:color w:val="000000"/>
          <w:sz w:val="24"/>
          <w:szCs w:val="24"/>
        </w:rPr>
        <w:t>天，每天每班取样</w:t>
      </w:r>
      <w:r>
        <w:rPr>
          <w:rFonts w:ascii="宋体" w:hAnsi="宋体"/>
          <w:color w:val="000000"/>
          <w:sz w:val="24"/>
          <w:szCs w:val="24"/>
        </w:rPr>
        <w:t>3</w:t>
      </w:r>
      <w:r>
        <w:rPr>
          <w:rFonts w:hint="eastAsia" w:ascii="宋体" w:hAnsi="宋体"/>
          <w:color w:val="000000"/>
          <w:sz w:val="24"/>
          <w:szCs w:val="24"/>
        </w:rPr>
        <w:t>次</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④监测结果</w:t>
      </w:r>
    </w:p>
    <w:p>
      <w:pPr>
        <w:spacing w:line="360" w:lineRule="auto"/>
        <w:ind w:firstLine="480" w:firstLineChars="200"/>
        <w:rPr>
          <w:rFonts w:ascii="宋体" w:hAnsi="宋体"/>
          <w:color w:val="000000"/>
          <w:sz w:val="24"/>
          <w:szCs w:val="24"/>
        </w:rPr>
      </w:pPr>
      <w:r>
        <w:rPr>
          <w:rFonts w:hint="eastAsia" w:ascii="宋体" w:hAnsi="宋体"/>
          <w:color w:val="000000"/>
          <w:sz w:val="24"/>
          <w:szCs w:val="24"/>
        </w:rPr>
        <w:t>污水处理站污水监测结果如表2-28。</w:t>
      </w:r>
    </w:p>
    <w:bookmarkEnd w:id="167"/>
    <w:bookmarkEnd w:id="168"/>
    <w:p>
      <w:pPr>
        <w:spacing w:line="360" w:lineRule="auto"/>
        <w:ind w:firstLine="480" w:firstLineChars="200"/>
        <w:rPr>
          <w:rFonts w:ascii="宋体" w:hAnsi="宋体"/>
          <w:color w:val="000000"/>
          <w:kern w:val="0"/>
          <w:sz w:val="24"/>
          <w:szCs w:val="24"/>
        </w:rPr>
        <w:sectPr>
          <w:headerReference r:id="rId3" w:type="default"/>
          <w:footerReference r:id="rId4" w:type="default"/>
          <w:footerReference r:id="rId5" w:type="even"/>
          <w:pgSz w:w="11906" w:h="16838"/>
          <w:pgMar w:top="1418" w:right="1134" w:bottom="1134" w:left="1418" w:header="720" w:footer="720" w:gutter="0"/>
          <w:cols w:space="720" w:num="1"/>
          <w:titlePg/>
        </w:sectPr>
      </w:pPr>
      <w:bookmarkStart w:id="171" w:name="_Toc477356500"/>
      <w:bookmarkStart w:id="172" w:name="_Toc527281364"/>
      <w:bookmarkStart w:id="173" w:name="_Toc474018605"/>
      <w:bookmarkStart w:id="174" w:name="_Toc477356494"/>
    </w:p>
    <w:p>
      <w:pPr>
        <w:spacing w:line="280" w:lineRule="exact"/>
        <w:jc w:val="center"/>
        <w:rPr>
          <w:rFonts w:ascii="宋体" w:hAnsi="宋体"/>
          <w:b/>
          <w:color w:val="000000"/>
          <w:sz w:val="24"/>
          <w:szCs w:val="24"/>
        </w:rPr>
      </w:pPr>
      <w:r>
        <w:rPr>
          <w:rFonts w:hint="eastAsia" w:ascii="宋体" w:hAnsi="宋体"/>
          <w:b/>
          <w:color w:val="000000"/>
          <w:sz w:val="24"/>
          <w:szCs w:val="24"/>
        </w:rPr>
        <w:t>表2-28  生产废水检测结果</w:t>
      </w:r>
    </w:p>
    <w:tbl>
      <w:tblPr>
        <w:tblStyle w:val="35"/>
        <w:tblpPr w:leftFromText="180" w:rightFromText="180" w:vertAnchor="text" w:horzAnchor="page" w:tblpXSpec="center" w:tblpY="2"/>
        <w:tblOverlap w:val="never"/>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11"/>
        <w:gridCol w:w="1778"/>
        <w:gridCol w:w="914"/>
        <w:gridCol w:w="1067"/>
        <w:gridCol w:w="1305"/>
        <w:gridCol w:w="1134"/>
        <w:gridCol w:w="1288"/>
        <w:gridCol w:w="980"/>
        <w:gridCol w:w="1204"/>
        <w:gridCol w:w="1050"/>
        <w:gridCol w:w="1050"/>
        <w:gridCol w:w="1021"/>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72" w:hRule="atLeast"/>
        </w:trPr>
        <w:tc>
          <w:tcPr>
            <w:tcW w:w="590"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采样点位</w:t>
            </w:r>
          </w:p>
        </w:tc>
        <w:tc>
          <w:tcPr>
            <w:tcW w:w="613"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采样时间</w:t>
            </w:r>
          </w:p>
        </w:tc>
        <w:tc>
          <w:tcPr>
            <w:tcW w:w="3797" w:type="pct"/>
            <w:gridSpan w:val="10"/>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检测结果（单位：</w:t>
            </w:r>
            <w:r>
              <w:rPr>
                <w:rFonts w:ascii="宋体" w:hAnsi="宋体" w:eastAsia="宋体"/>
                <w:color w:val="000000"/>
                <w:szCs w:val="21"/>
              </w:rPr>
              <w:t>pH</w:t>
            </w:r>
            <w:r>
              <w:rPr>
                <w:rFonts w:hint="eastAsia" w:ascii="宋体" w:hAnsi="宋体" w:eastAsia="宋体"/>
                <w:color w:val="000000"/>
                <w:szCs w:val="21"/>
              </w:rPr>
              <w:t>无量纲，其它为</w:t>
            </w:r>
            <w:r>
              <w:rPr>
                <w:rFonts w:ascii="宋体" w:hAnsi="宋体" w:eastAsia="宋体"/>
                <w:color w:val="000000"/>
                <w:szCs w:val="21"/>
              </w:rPr>
              <w:t>mg/L</w:t>
            </w:r>
            <w:r>
              <w:rPr>
                <w:rFonts w:hint="eastAsia" w:ascii="宋体" w:hAnsi="宋体" w:eastAsia="宋体"/>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232" w:hRule="atLeast"/>
        </w:trPr>
        <w:tc>
          <w:tcPr>
            <w:tcW w:w="590" w:type="pct"/>
            <w:vMerge w:val="continue"/>
            <w:noWrap w:val="0"/>
            <w:vAlign w:val="center"/>
          </w:tcPr>
          <w:p>
            <w:pPr>
              <w:pStyle w:val="44"/>
              <w:spacing w:line="280" w:lineRule="exact"/>
              <w:rPr>
                <w:rFonts w:ascii="宋体" w:hAnsi="宋体" w:eastAsia="宋体"/>
                <w:bCs/>
                <w:color w:val="000000"/>
                <w:szCs w:val="21"/>
              </w:rPr>
            </w:pPr>
          </w:p>
        </w:tc>
        <w:tc>
          <w:tcPr>
            <w:tcW w:w="613" w:type="pct"/>
            <w:vMerge w:val="continue"/>
            <w:noWrap w:val="0"/>
            <w:vAlign w:val="center"/>
          </w:tcPr>
          <w:p>
            <w:pPr>
              <w:pStyle w:val="44"/>
              <w:spacing w:line="280" w:lineRule="exact"/>
              <w:rPr>
                <w:rFonts w:ascii="宋体" w:hAnsi="宋体" w:eastAsia="宋体"/>
                <w:bCs/>
                <w:color w:val="000000"/>
                <w:szCs w:val="21"/>
              </w:rPr>
            </w:pPr>
          </w:p>
        </w:tc>
        <w:tc>
          <w:tcPr>
            <w:tcW w:w="315"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pH</w:t>
            </w:r>
          </w:p>
        </w:tc>
        <w:tc>
          <w:tcPr>
            <w:tcW w:w="368"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SS</w:t>
            </w:r>
          </w:p>
        </w:tc>
        <w:tc>
          <w:tcPr>
            <w:tcW w:w="450"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化学需氧量</w:t>
            </w:r>
          </w:p>
        </w:tc>
        <w:tc>
          <w:tcPr>
            <w:tcW w:w="391"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硫化物</w:t>
            </w:r>
          </w:p>
        </w:tc>
        <w:tc>
          <w:tcPr>
            <w:tcW w:w="44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铜</w:t>
            </w:r>
          </w:p>
        </w:tc>
        <w:tc>
          <w:tcPr>
            <w:tcW w:w="338"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锌</w:t>
            </w:r>
          </w:p>
        </w:tc>
        <w:tc>
          <w:tcPr>
            <w:tcW w:w="415"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铅</w:t>
            </w:r>
          </w:p>
        </w:tc>
        <w:tc>
          <w:tcPr>
            <w:tcW w:w="362"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砷</w:t>
            </w:r>
          </w:p>
        </w:tc>
        <w:tc>
          <w:tcPr>
            <w:tcW w:w="362"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汞</w:t>
            </w:r>
          </w:p>
        </w:tc>
        <w:tc>
          <w:tcPr>
            <w:tcW w:w="353"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21" w:hRule="atLeast"/>
        </w:trPr>
        <w:tc>
          <w:tcPr>
            <w:tcW w:w="590" w:type="pct"/>
            <w:vMerge w:val="restar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选厂废水处理系统进水口</w:t>
            </w:r>
          </w:p>
        </w:tc>
        <w:tc>
          <w:tcPr>
            <w:tcW w:w="613" w:type="pct"/>
            <w:vMerge w:val="restar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2019.3.12</w:t>
            </w: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7.70</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17</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64</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0.018</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0.09</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0.38</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0.49</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0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7.67</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15</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80</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0.022</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0.09</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0.37</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0.47</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7.65</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16</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56</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0.022</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0.09</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0.39</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0.50</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bCs/>
                <w:color w:val="000000"/>
                <w:szCs w:val="21"/>
              </w:rPr>
              <w:t>选厂废水处理系统出水口</w:t>
            </w: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7.54</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14</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56</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0.008</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0.40</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7.56</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16</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38</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0.009</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0.37</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7.65</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18</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44</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0.011</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0.36</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bCs/>
                <w:color w:val="000000"/>
                <w:szCs w:val="21"/>
              </w:rPr>
              <w:t>选厂废水处理系统进水口</w:t>
            </w:r>
          </w:p>
        </w:tc>
        <w:tc>
          <w:tcPr>
            <w:tcW w:w="613" w:type="pct"/>
            <w:vMerge w:val="restar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2019.3.13</w:t>
            </w: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7.78</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17</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72</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0.021</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0.08</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0.15</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0.52</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7.66</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18</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84</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0.019</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0.08</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0.14</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0.48</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7.50</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15</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64</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0.025</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0.08</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0.16</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0.47</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0.08</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bCs/>
                <w:color w:val="000000"/>
                <w:szCs w:val="21"/>
              </w:rPr>
              <w:t>选厂废水处理系统出水口</w:t>
            </w: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7.38</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15</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32</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0.008</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0.17</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7.45</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14</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40</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0.008</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0.14</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17" w:hRule="atLeast"/>
        </w:trPr>
        <w:tc>
          <w:tcPr>
            <w:tcW w:w="590" w:type="pct"/>
            <w:vMerge w:val="continue"/>
            <w:noWrap w:val="0"/>
            <w:vAlign w:val="center"/>
          </w:tcPr>
          <w:p>
            <w:pPr>
              <w:pStyle w:val="44"/>
              <w:spacing w:line="280" w:lineRule="exact"/>
              <w:rPr>
                <w:rFonts w:ascii="宋体" w:hAnsi="宋体" w:eastAsia="宋体"/>
                <w:color w:val="000000"/>
                <w:szCs w:val="21"/>
              </w:rPr>
            </w:pPr>
          </w:p>
        </w:tc>
        <w:tc>
          <w:tcPr>
            <w:tcW w:w="613" w:type="pct"/>
            <w:vMerge w:val="continue"/>
            <w:noWrap w:val="0"/>
            <w:vAlign w:val="center"/>
          </w:tcPr>
          <w:p>
            <w:pPr>
              <w:pStyle w:val="44"/>
              <w:spacing w:line="280" w:lineRule="exact"/>
              <w:rPr>
                <w:rFonts w:ascii="宋体" w:hAnsi="宋体" w:eastAsia="宋体"/>
                <w:color w:val="000000"/>
                <w:szCs w:val="21"/>
              </w:rPr>
            </w:pPr>
          </w:p>
        </w:tc>
        <w:tc>
          <w:tcPr>
            <w:tcW w:w="3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7.87</w:t>
            </w:r>
          </w:p>
        </w:tc>
        <w:tc>
          <w:tcPr>
            <w:tcW w:w="3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14</w:t>
            </w:r>
          </w:p>
        </w:tc>
        <w:tc>
          <w:tcPr>
            <w:tcW w:w="45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44</w:t>
            </w:r>
          </w:p>
        </w:tc>
        <w:tc>
          <w:tcPr>
            <w:tcW w:w="39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0.011</w:t>
            </w:r>
          </w:p>
        </w:tc>
        <w:tc>
          <w:tcPr>
            <w:tcW w:w="44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33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0.13</w:t>
            </w:r>
          </w:p>
        </w:tc>
        <w:tc>
          <w:tcPr>
            <w:tcW w:w="41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362"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3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r>
    </w:tbl>
    <w:p>
      <w:pPr>
        <w:spacing w:line="360" w:lineRule="auto"/>
        <w:ind w:firstLine="482"/>
        <w:rPr>
          <w:rFonts w:ascii="宋体" w:hAnsi="宋体"/>
          <w:color w:val="000000"/>
          <w:sz w:val="24"/>
          <w:szCs w:val="24"/>
        </w:rPr>
      </w:pPr>
      <w:r>
        <w:rPr>
          <w:rFonts w:hint="eastAsia" w:ascii="宋体" w:hAnsi="宋体"/>
          <w:color w:val="000000"/>
          <w:sz w:val="24"/>
          <w:szCs w:val="24"/>
        </w:rPr>
        <w:t>根据上述监测结果可知本项目选矿废水经污水处理站处置后，水质能满足《铅锌工业污染物排放标准》（</w:t>
      </w:r>
      <w:r>
        <w:rPr>
          <w:rFonts w:ascii="宋体" w:hAnsi="宋体"/>
          <w:color w:val="000000"/>
          <w:sz w:val="24"/>
          <w:szCs w:val="24"/>
        </w:rPr>
        <w:t>GB25466-2010</w:t>
      </w:r>
      <w:r>
        <w:rPr>
          <w:rFonts w:hint="eastAsia" w:ascii="宋体" w:hAnsi="宋体"/>
          <w:color w:val="000000"/>
          <w:sz w:val="24"/>
          <w:szCs w:val="24"/>
        </w:rPr>
        <w:t>）表</w:t>
      </w:r>
      <w:r>
        <w:rPr>
          <w:rFonts w:ascii="宋体" w:hAnsi="宋体"/>
          <w:color w:val="000000"/>
          <w:sz w:val="24"/>
          <w:szCs w:val="24"/>
        </w:rPr>
        <w:t>2</w:t>
      </w:r>
      <w:r>
        <w:rPr>
          <w:rFonts w:hint="eastAsia" w:ascii="宋体" w:hAnsi="宋体"/>
          <w:color w:val="000000"/>
          <w:sz w:val="24"/>
          <w:szCs w:val="24"/>
        </w:rPr>
        <w:t>中直接排放的限值标准要求。</w:t>
      </w:r>
    </w:p>
    <w:p>
      <w:pPr>
        <w:spacing w:line="360" w:lineRule="auto"/>
        <w:ind w:firstLine="482"/>
        <w:rPr>
          <w:rFonts w:ascii="宋体" w:hAnsi="宋体"/>
          <w:color w:val="000000"/>
          <w:sz w:val="24"/>
          <w:szCs w:val="24"/>
        </w:rPr>
      </w:pPr>
      <w:r>
        <w:rPr>
          <w:rFonts w:hint="eastAsia" w:ascii="宋体" w:hAnsi="宋体"/>
          <w:color w:val="000000"/>
          <w:sz w:val="24"/>
          <w:szCs w:val="24"/>
        </w:rPr>
        <w:t>（</w:t>
      </w:r>
      <w:r>
        <w:rPr>
          <w:rFonts w:ascii="宋体" w:hAnsi="宋体"/>
          <w:color w:val="000000"/>
          <w:sz w:val="24"/>
          <w:szCs w:val="24"/>
        </w:rPr>
        <w:t>3</w:t>
      </w:r>
      <w:r>
        <w:rPr>
          <w:rFonts w:hint="eastAsia" w:ascii="宋体" w:hAnsi="宋体"/>
          <w:color w:val="000000"/>
          <w:sz w:val="24"/>
          <w:szCs w:val="24"/>
        </w:rPr>
        <w:t>）生活污水</w:t>
      </w:r>
    </w:p>
    <w:p>
      <w:pPr>
        <w:spacing w:line="360" w:lineRule="auto"/>
        <w:ind w:firstLine="482"/>
        <w:rPr>
          <w:rFonts w:ascii="宋体" w:hAnsi="宋体"/>
          <w:color w:val="000000"/>
          <w:sz w:val="24"/>
          <w:szCs w:val="24"/>
        </w:rPr>
      </w:pPr>
      <w:r>
        <w:rPr>
          <w:rFonts w:hint="eastAsia" w:ascii="宋体" w:hAnsi="宋体"/>
          <w:color w:val="000000"/>
          <w:sz w:val="24"/>
          <w:szCs w:val="24"/>
        </w:rPr>
        <w:t>根据环评及批复要求，生产过程中产生的生活污水，经隔油池、沉淀池处理后回用于厂区绿化及洒水。现阶段生活办公区域已经建设完成沉淀池，沉淀池容积为</w:t>
      </w:r>
      <w:r>
        <w:rPr>
          <w:rFonts w:ascii="宋体" w:hAnsi="宋体"/>
          <w:color w:val="000000"/>
          <w:sz w:val="24"/>
          <w:szCs w:val="24"/>
        </w:rPr>
        <w:t>10m</w:t>
      </w:r>
      <w:r>
        <w:rPr>
          <w:rFonts w:ascii="宋体" w:hAnsi="宋体"/>
          <w:color w:val="000000"/>
          <w:sz w:val="24"/>
          <w:szCs w:val="24"/>
          <w:vertAlign w:val="superscript"/>
        </w:rPr>
        <w:t>3</w:t>
      </w:r>
      <w:r>
        <w:rPr>
          <w:rFonts w:ascii="宋体" w:hAnsi="宋体"/>
          <w:color w:val="000000"/>
          <w:sz w:val="24"/>
          <w:szCs w:val="24"/>
        </w:rPr>
        <w:t>,</w:t>
      </w:r>
      <w:r>
        <w:rPr>
          <w:rFonts w:hint="eastAsia" w:ascii="宋体" w:hAnsi="宋体"/>
          <w:color w:val="000000"/>
          <w:sz w:val="24"/>
          <w:szCs w:val="24"/>
        </w:rPr>
        <w:t>本项目运营过程中产生的生活污水经沉淀池处置后回用于厂区洒水降尘。</w:t>
      </w:r>
    </w:p>
    <w:p>
      <w:pPr>
        <w:spacing w:line="360" w:lineRule="auto"/>
        <w:ind w:firstLine="480" w:firstLineChars="200"/>
        <w:rPr>
          <w:rFonts w:ascii="宋体" w:hAnsi="宋体"/>
          <w:color w:val="000000"/>
          <w:kern w:val="0"/>
          <w:sz w:val="24"/>
          <w:szCs w:val="24"/>
        </w:rPr>
        <w:sectPr>
          <w:pgSz w:w="16838" w:h="11906" w:orient="landscape"/>
          <w:pgMar w:top="1418" w:right="1418" w:bottom="1134" w:left="1134" w:header="720" w:footer="720" w:gutter="0"/>
          <w:cols w:space="720" w:num="1"/>
          <w:titlePg/>
        </w:sectPr>
      </w:pPr>
    </w:p>
    <w:p>
      <w:pPr>
        <w:spacing w:line="360" w:lineRule="auto"/>
        <w:ind w:firstLine="482"/>
        <w:rPr>
          <w:rFonts w:ascii="宋体" w:hAnsi="宋体"/>
          <w:color w:val="000000"/>
          <w:sz w:val="24"/>
          <w:szCs w:val="24"/>
        </w:rPr>
      </w:pPr>
      <w:r>
        <w:rPr>
          <w:rFonts w:hint="eastAsia" w:ascii="宋体" w:hAnsi="宋体"/>
          <w:color w:val="000000"/>
          <w:sz w:val="24"/>
          <w:szCs w:val="24"/>
        </w:rPr>
        <w:t>（4）地表水环境现状监测</w:t>
      </w:r>
    </w:p>
    <w:p>
      <w:pPr>
        <w:spacing w:line="360" w:lineRule="auto"/>
        <w:ind w:firstLine="482"/>
        <w:rPr>
          <w:rFonts w:ascii="宋体" w:hAnsi="宋体"/>
          <w:color w:val="000000"/>
          <w:sz w:val="24"/>
          <w:szCs w:val="24"/>
        </w:rPr>
      </w:pPr>
      <w:r>
        <w:rPr>
          <w:rFonts w:hint="eastAsia" w:ascii="宋体" w:hAnsi="宋体"/>
          <w:color w:val="000000"/>
          <w:sz w:val="24"/>
          <w:szCs w:val="24"/>
        </w:rPr>
        <w:t>①监测断面布设</w:t>
      </w:r>
    </w:p>
    <w:p>
      <w:pPr>
        <w:spacing w:line="360" w:lineRule="auto"/>
        <w:ind w:firstLine="482"/>
        <w:rPr>
          <w:rFonts w:ascii="宋体" w:hAnsi="宋体"/>
          <w:color w:val="000000"/>
          <w:sz w:val="24"/>
          <w:szCs w:val="24"/>
        </w:rPr>
      </w:pPr>
      <w:r>
        <w:rPr>
          <w:rFonts w:hint="eastAsia" w:ascii="宋体" w:hAnsi="宋体"/>
          <w:color w:val="000000"/>
          <w:sz w:val="24"/>
          <w:szCs w:val="24"/>
        </w:rPr>
        <w:t>根据项目所在区域，在评价区内共设置</w:t>
      </w:r>
      <w:r>
        <w:rPr>
          <w:rFonts w:ascii="宋体" w:hAnsi="宋体"/>
          <w:color w:val="000000"/>
          <w:sz w:val="24"/>
          <w:szCs w:val="24"/>
        </w:rPr>
        <w:t>3</w:t>
      </w:r>
      <w:r>
        <w:rPr>
          <w:rFonts w:hint="eastAsia" w:ascii="宋体" w:hAnsi="宋体"/>
          <w:color w:val="000000"/>
          <w:sz w:val="24"/>
          <w:szCs w:val="24"/>
        </w:rPr>
        <w:t>个监测断面，分别是块泽河厂址上游</w:t>
      </w:r>
      <w:r>
        <w:rPr>
          <w:rFonts w:ascii="宋体" w:hAnsi="宋体"/>
          <w:color w:val="000000"/>
          <w:sz w:val="24"/>
          <w:szCs w:val="24"/>
        </w:rPr>
        <w:t>500m</w:t>
      </w:r>
      <w:r>
        <w:rPr>
          <w:rFonts w:hint="eastAsia" w:ascii="宋体" w:hAnsi="宋体"/>
          <w:color w:val="000000"/>
          <w:sz w:val="24"/>
          <w:szCs w:val="24"/>
        </w:rPr>
        <w:t>，下游</w:t>
      </w:r>
      <w:r>
        <w:rPr>
          <w:rFonts w:ascii="宋体" w:hAnsi="宋体"/>
          <w:color w:val="000000"/>
          <w:sz w:val="24"/>
          <w:szCs w:val="24"/>
        </w:rPr>
        <w:t>1000m</w:t>
      </w:r>
      <w:r>
        <w:rPr>
          <w:rFonts w:hint="eastAsia" w:ascii="宋体" w:hAnsi="宋体"/>
          <w:color w:val="000000"/>
          <w:sz w:val="24"/>
          <w:szCs w:val="24"/>
        </w:rPr>
        <w:t>和下游</w:t>
      </w:r>
      <w:r>
        <w:rPr>
          <w:rFonts w:ascii="宋体" w:hAnsi="宋体"/>
          <w:color w:val="000000"/>
          <w:sz w:val="24"/>
          <w:szCs w:val="24"/>
        </w:rPr>
        <w:t>3000m</w:t>
      </w:r>
      <w:r>
        <w:rPr>
          <w:rFonts w:hint="eastAsia" w:ascii="宋体" w:hAnsi="宋体"/>
          <w:color w:val="000000"/>
          <w:sz w:val="24"/>
          <w:szCs w:val="24"/>
        </w:rPr>
        <w:t>。</w:t>
      </w:r>
    </w:p>
    <w:p>
      <w:pPr>
        <w:spacing w:line="360" w:lineRule="auto"/>
        <w:ind w:firstLine="482"/>
        <w:rPr>
          <w:rFonts w:ascii="宋体" w:hAnsi="宋体"/>
          <w:color w:val="000000"/>
          <w:sz w:val="24"/>
          <w:szCs w:val="24"/>
        </w:rPr>
      </w:pPr>
      <w:r>
        <w:rPr>
          <w:rFonts w:hint="eastAsia" w:ascii="宋体" w:hAnsi="宋体"/>
          <w:color w:val="000000"/>
          <w:sz w:val="24"/>
          <w:szCs w:val="24"/>
        </w:rPr>
        <w:t>②监测项目</w:t>
      </w:r>
    </w:p>
    <w:p>
      <w:pPr>
        <w:spacing w:line="360" w:lineRule="auto"/>
        <w:ind w:firstLine="482"/>
        <w:rPr>
          <w:rFonts w:ascii="宋体" w:hAnsi="宋体"/>
          <w:color w:val="000000"/>
          <w:sz w:val="24"/>
          <w:szCs w:val="24"/>
        </w:rPr>
      </w:pPr>
      <w:r>
        <w:rPr>
          <w:rFonts w:hint="eastAsia" w:ascii="宋体" w:hAnsi="宋体"/>
          <w:color w:val="000000"/>
          <w:sz w:val="24"/>
          <w:szCs w:val="24"/>
        </w:rPr>
        <w:t>监测项目为：</w:t>
      </w:r>
      <w:r>
        <w:rPr>
          <w:rFonts w:ascii="宋体" w:hAnsi="宋体"/>
          <w:color w:val="000000"/>
          <w:sz w:val="24"/>
          <w:szCs w:val="24"/>
        </w:rPr>
        <w:t>pH</w:t>
      </w:r>
      <w:r>
        <w:rPr>
          <w:rFonts w:hint="eastAsia" w:ascii="宋体" w:hAnsi="宋体"/>
          <w:color w:val="000000"/>
          <w:sz w:val="24"/>
          <w:szCs w:val="24"/>
        </w:rPr>
        <w:t>、</w:t>
      </w:r>
      <w:r>
        <w:rPr>
          <w:rFonts w:ascii="宋体" w:hAnsi="宋体"/>
          <w:color w:val="000000"/>
          <w:sz w:val="24"/>
          <w:szCs w:val="24"/>
        </w:rPr>
        <w:t>Pb</w:t>
      </w:r>
      <w:r>
        <w:rPr>
          <w:rFonts w:hint="eastAsia" w:ascii="宋体" w:hAnsi="宋体"/>
          <w:color w:val="000000"/>
          <w:sz w:val="24"/>
          <w:szCs w:val="24"/>
        </w:rPr>
        <w:t>、</w:t>
      </w:r>
      <w:r>
        <w:rPr>
          <w:rFonts w:ascii="宋体" w:hAnsi="宋体"/>
          <w:color w:val="000000"/>
          <w:sz w:val="24"/>
          <w:szCs w:val="24"/>
        </w:rPr>
        <w:t>Zn</w:t>
      </w:r>
      <w:r>
        <w:rPr>
          <w:rFonts w:hint="eastAsia" w:ascii="宋体" w:hAnsi="宋体"/>
          <w:color w:val="000000"/>
          <w:sz w:val="24"/>
          <w:szCs w:val="24"/>
        </w:rPr>
        <w:t>、</w:t>
      </w:r>
      <w:r>
        <w:rPr>
          <w:rFonts w:ascii="宋体" w:hAnsi="宋体"/>
          <w:color w:val="000000"/>
          <w:sz w:val="24"/>
          <w:szCs w:val="24"/>
        </w:rPr>
        <w:t>Cd</w:t>
      </w:r>
      <w:r>
        <w:rPr>
          <w:rFonts w:hint="eastAsia" w:ascii="宋体" w:hAnsi="宋体"/>
          <w:color w:val="000000"/>
          <w:sz w:val="24"/>
          <w:szCs w:val="24"/>
        </w:rPr>
        <w:t>、</w:t>
      </w:r>
      <w:r>
        <w:rPr>
          <w:rFonts w:ascii="宋体" w:hAnsi="宋体"/>
          <w:color w:val="000000"/>
          <w:sz w:val="24"/>
          <w:szCs w:val="24"/>
        </w:rPr>
        <w:t>Cu</w:t>
      </w:r>
      <w:r>
        <w:rPr>
          <w:rFonts w:hint="eastAsia" w:ascii="宋体" w:hAnsi="宋体"/>
          <w:color w:val="000000"/>
          <w:sz w:val="24"/>
          <w:szCs w:val="24"/>
        </w:rPr>
        <w:t>、</w:t>
      </w:r>
      <w:r>
        <w:rPr>
          <w:rFonts w:ascii="宋体" w:hAnsi="宋体"/>
          <w:color w:val="000000"/>
          <w:sz w:val="24"/>
          <w:szCs w:val="24"/>
        </w:rPr>
        <w:t>As</w:t>
      </w:r>
      <w:r>
        <w:rPr>
          <w:rFonts w:hint="eastAsia" w:ascii="宋体" w:hAnsi="宋体"/>
          <w:color w:val="000000"/>
          <w:sz w:val="24"/>
          <w:szCs w:val="24"/>
        </w:rPr>
        <w:t>、</w:t>
      </w:r>
      <w:r>
        <w:rPr>
          <w:rFonts w:ascii="宋体" w:hAnsi="宋体"/>
          <w:color w:val="000000"/>
          <w:sz w:val="24"/>
          <w:szCs w:val="24"/>
        </w:rPr>
        <w:t>Cr6+</w:t>
      </w:r>
      <w:r>
        <w:rPr>
          <w:rFonts w:hint="eastAsia" w:ascii="宋体" w:hAnsi="宋体"/>
          <w:color w:val="000000"/>
          <w:sz w:val="24"/>
          <w:szCs w:val="24"/>
        </w:rPr>
        <w:t>、</w:t>
      </w:r>
      <w:r>
        <w:rPr>
          <w:rFonts w:ascii="宋体" w:hAnsi="宋体"/>
          <w:color w:val="000000"/>
          <w:sz w:val="24"/>
          <w:szCs w:val="24"/>
        </w:rPr>
        <w:t>COD</w:t>
      </w:r>
      <w:r>
        <w:rPr>
          <w:rFonts w:hint="eastAsia" w:ascii="宋体" w:hAnsi="宋体"/>
          <w:color w:val="000000"/>
          <w:sz w:val="24"/>
          <w:szCs w:val="24"/>
        </w:rPr>
        <w:t>、</w:t>
      </w:r>
      <w:r>
        <w:rPr>
          <w:rFonts w:ascii="宋体" w:hAnsi="宋体"/>
          <w:color w:val="000000"/>
          <w:sz w:val="24"/>
          <w:szCs w:val="24"/>
        </w:rPr>
        <w:t>NH3-N</w:t>
      </w:r>
      <w:r>
        <w:rPr>
          <w:rFonts w:hint="eastAsia" w:ascii="宋体" w:hAnsi="宋体"/>
          <w:color w:val="000000"/>
          <w:sz w:val="24"/>
          <w:szCs w:val="24"/>
        </w:rPr>
        <w:t>、</w:t>
      </w:r>
      <w:r>
        <w:rPr>
          <w:rFonts w:ascii="宋体" w:hAnsi="宋体"/>
          <w:color w:val="000000"/>
          <w:sz w:val="24"/>
          <w:szCs w:val="24"/>
        </w:rPr>
        <w:t>BOD5</w:t>
      </w:r>
      <w:r>
        <w:rPr>
          <w:rFonts w:hint="eastAsia" w:ascii="宋体" w:hAnsi="宋体"/>
          <w:color w:val="000000"/>
          <w:sz w:val="24"/>
          <w:szCs w:val="24"/>
        </w:rPr>
        <w:t>、</w:t>
      </w:r>
      <w:r>
        <w:rPr>
          <w:rFonts w:ascii="宋体" w:hAnsi="宋体"/>
          <w:color w:val="000000"/>
          <w:sz w:val="24"/>
          <w:szCs w:val="24"/>
        </w:rPr>
        <w:t>F-</w:t>
      </w:r>
      <w:r>
        <w:rPr>
          <w:rFonts w:hint="eastAsia" w:ascii="宋体" w:hAnsi="宋体"/>
          <w:color w:val="000000"/>
          <w:sz w:val="24"/>
          <w:szCs w:val="24"/>
        </w:rPr>
        <w:t>、</w:t>
      </w:r>
      <w:r>
        <w:rPr>
          <w:rFonts w:ascii="宋体" w:hAnsi="宋体"/>
          <w:color w:val="000000"/>
          <w:sz w:val="24"/>
          <w:szCs w:val="24"/>
        </w:rPr>
        <w:t>Hg</w:t>
      </w:r>
      <w:r>
        <w:rPr>
          <w:rFonts w:hint="eastAsia" w:ascii="宋体" w:hAnsi="宋体"/>
          <w:color w:val="000000"/>
          <w:sz w:val="24"/>
          <w:szCs w:val="24"/>
        </w:rPr>
        <w:t>、</w:t>
      </w:r>
      <w:r>
        <w:rPr>
          <w:rFonts w:ascii="宋体" w:hAnsi="宋体"/>
          <w:color w:val="000000"/>
          <w:sz w:val="24"/>
          <w:szCs w:val="24"/>
        </w:rPr>
        <w:t>CN-</w:t>
      </w:r>
      <w:r>
        <w:rPr>
          <w:rFonts w:hint="eastAsia" w:ascii="宋体" w:hAnsi="宋体"/>
          <w:color w:val="000000"/>
          <w:sz w:val="24"/>
          <w:szCs w:val="24"/>
        </w:rPr>
        <w:t>、挥发酚、石油类共计</w:t>
      </w:r>
      <w:r>
        <w:rPr>
          <w:rFonts w:ascii="宋体" w:hAnsi="宋体"/>
          <w:color w:val="000000"/>
          <w:sz w:val="24"/>
          <w:szCs w:val="24"/>
        </w:rPr>
        <w:t>15</w:t>
      </w:r>
      <w:r>
        <w:rPr>
          <w:rFonts w:hint="eastAsia" w:ascii="宋体" w:hAnsi="宋体"/>
          <w:color w:val="000000"/>
          <w:sz w:val="24"/>
          <w:szCs w:val="24"/>
        </w:rPr>
        <w:t>项。</w:t>
      </w:r>
    </w:p>
    <w:p>
      <w:pPr>
        <w:spacing w:line="360" w:lineRule="auto"/>
        <w:ind w:firstLine="482"/>
        <w:rPr>
          <w:rFonts w:ascii="宋体" w:hAnsi="宋体"/>
          <w:color w:val="000000"/>
          <w:sz w:val="24"/>
          <w:szCs w:val="24"/>
        </w:rPr>
      </w:pPr>
      <w:r>
        <w:rPr>
          <w:rFonts w:hint="eastAsia" w:ascii="宋体" w:hAnsi="宋体"/>
          <w:color w:val="000000"/>
          <w:sz w:val="24"/>
          <w:szCs w:val="24"/>
        </w:rPr>
        <w:t>③监测时间和监测单位</w:t>
      </w:r>
    </w:p>
    <w:p>
      <w:pPr>
        <w:spacing w:line="360" w:lineRule="auto"/>
        <w:ind w:firstLine="482"/>
        <w:rPr>
          <w:rFonts w:ascii="宋体" w:hAnsi="宋体"/>
          <w:color w:val="000000"/>
          <w:sz w:val="24"/>
          <w:szCs w:val="24"/>
        </w:rPr>
      </w:pPr>
      <w:r>
        <w:rPr>
          <w:rFonts w:hint="eastAsia" w:ascii="宋体" w:hAnsi="宋体"/>
          <w:color w:val="000000"/>
          <w:sz w:val="24"/>
          <w:szCs w:val="24"/>
        </w:rPr>
        <w:t>监测时间为</w:t>
      </w:r>
      <w:r>
        <w:rPr>
          <w:rFonts w:ascii="宋体" w:hAnsi="宋体"/>
          <w:color w:val="000000"/>
          <w:sz w:val="24"/>
          <w:szCs w:val="24"/>
        </w:rPr>
        <w:t>2019</w:t>
      </w:r>
      <w:r>
        <w:rPr>
          <w:rFonts w:hint="eastAsia" w:ascii="宋体" w:hAnsi="宋体"/>
          <w:color w:val="000000"/>
          <w:sz w:val="24"/>
          <w:szCs w:val="24"/>
        </w:rPr>
        <w:t>年</w:t>
      </w:r>
      <w:r>
        <w:rPr>
          <w:rFonts w:ascii="宋体" w:hAnsi="宋体"/>
          <w:color w:val="000000"/>
          <w:sz w:val="24"/>
          <w:szCs w:val="24"/>
        </w:rPr>
        <w:t>2</w:t>
      </w:r>
      <w:r>
        <w:rPr>
          <w:rFonts w:hint="eastAsia" w:ascii="宋体" w:hAnsi="宋体"/>
          <w:color w:val="000000"/>
          <w:sz w:val="24"/>
          <w:szCs w:val="24"/>
        </w:rPr>
        <w:t>月</w:t>
      </w:r>
      <w:r>
        <w:rPr>
          <w:rFonts w:ascii="宋体" w:hAnsi="宋体"/>
          <w:color w:val="000000"/>
          <w:sz w:val="24"/>
          <w:szCs w:val="24"/>
        </w:rPr>
        <w:t>22</w:t>
      </w:r>
      <w:r>
        <w:rPr>
          <w:rFonts w:hint="eastAsia" w:ascii="宋体" w:hAnsi="宋体"/>
          <w:color w:val="000000"/>
          <w:sz w:val="24"/>
          <w:szCs w:val="24"/>
        </w:rPr>
        <w:t>日至</w:t>
      </w:r>
      <w:r>
        <w:rPr>
          <w:rFonts w:ascii="宋体" w:hAnsi="宋体"/>
          <w:color w:val="000000"/>
          <w:sz w:val="24"/>
          <w:szCs w:val="24"/>
        </w:rPr>
        <w:t>24</w:t>
      </w:r>
      <w:r>
        <w:rPr>
          <w:rFonts w:hint="eastAsia" w:ascii="宋体" w:hAnsi="宋体"/>
          <w:color w:val="000000"/>
          <w:sz w:val="24"/>
          <w:szCs w:val="24"/>
        </w:rPr>
        <w:t>日，石油类监测时间为</w:t>
      </w:r>
      <w:r>
        <w:rPr>
          <w:rFonts w:ascii="宋体" w:hAnsi="宋体"/>
          <w:color w:val="000000"/>
          <w:sz w:val="24"/>
          <w:szCs w:val="24"/>
        </w:rPr>
        <w:t>2019</w:t>
      </w:r>
      <w:r>
        <w:rPr>
          <w:rFonts w:hint="eastAsia" w:ascii="宋体" w:hAnsi="宋体"/>
          <w:color w:val="000000"/>
          <w:sz w:val="24"/>
          <w:szCs w:val="24"/>
        </w:rPr>
        <w:t>年</w:t>
      </w:r>
      <w:r>
        <w:rPr>
          <w:rFonts w:ascii="宋体" w:hAnsi="宋体"/>
          <w:color w:val="000000"/>
          <w:sz w:val="24"/>
          <w:szCs w:val="24"/>
        </w:rPr>
        <w:t>8</w:t>
      </w:r>
      <w:r>
        <w:rPr>
          <w:rFonts w:hint="eastAsia" w:ascii="宋体" w:hAnsi="宋体"/>
          <w:color w:val="000000"/>
          <w:sz w:val="24"/>
          <w:szCs w:val="24"/>
        </w:rPr>
        <w:t>月</w:t>
      </w:r>
      <w:r>
        <w:rPr>
          <w:rFonts w:ascii="宋体" w:hAnsi="宋体"/>
          <w:color w:val="000000"/>
          <w:sz w:val="24"/>
          <w:szCs w:val="24"/>
        </w:rPr>
        <w:t>21</w:t>
      </w:r>
      <w:r>
        <w:rPr>
          <w:rFonts w:hint="eastAsia" w:ascii="宋体" w:hAnsi="宋体"/>
          <w:color w:val="000000"/>
          <w:sz w:val="24"/>
          <w:szCs w:val="24"/>
        </w:rPr>
        <w:t>日至</w:t>
      </w:r>
      <w:r>
        <w:rPr>
          <w:rFonts w:ascii="宋体" w:hAnsi="宋体"/>
          <w:color w:val="000000"/>
          <w:sz w:val="24"/>
          <w:szCs w:val="24"/>
        </w:rPr>
        <w:t>23</w:t>
      </w:r>
      <w:r>
        <w:rPr>
          <w:rFonts w:hint="eastAsia" w:ascii="宋体" w:hAnsi="宋体"/>
          <w:color w:val="000000"/>
          <w:sz w:val="24"/>
          <w:szCs w:val="24"/>
        </w:rPr>
        <w:t>日，共计</w:t>
      </w:r>
      <w:r>
        <w:rPr>
          <w:rFonts w:ascii="宋体" w:hAnsi="宋体"/>
          <w:color w:val="000000"/>
          <w:sz w:val="24"/>
          <w:szCs w:val="24"/>
        </w:rPr>
        <w:t>3</w:t>
      </w:r>
      <w:r>
        <w:rPr>
          <w:rFonts w:hint="eastAsia" w:ascii="宋体" w:hAnsi="宋体"/>
          <w:color w:val="000000"/>
          <w:sz w:val="24"/>
          <w:szCs w:val="24"/>
        </w:rPr>
        <w:t>天；监测单位为昆明京诚检测技术有限公司。</w:t>
      </w:r>
    </w:p>
    <w:p>
      <w:pPr>
        <w:spacing w:line="360" w:lineRule="auto"/>
        <w:ind w:firstLine="482"/>
        <w:rPr>
          <w:rFonts w:ascii="宋体" w:hAnsi="宋体"/>
          <w:color w:val="000000"/>
          <w:sz w:val="24"/>
          <w:szCs w:val="24"/>
        </w:rPr>
      </w:pPr>
      <w:r>
        <w:rPr>
          <w:rFonts w:hint="eastAsia" w:ascii="宋体" w:hAnsi="宋体"/>
          <w:color w:val="000000"/>
          <w:sz w:val="24"/>
          <w:szCs w:val="24"/>
        </w:rPr>
        <w:t>④监测方法</w:t>
      </w:r>
    </w:p>
    <w:p>
      <w:pPr>
        <w:spacing w:line="360" w:lineRule="auto"/>
        <w:ind w:firstLine="482"/>
        <w:rPr>
          <w:rFonts w:ascii="宋体" w:hAnsi="宋体"/>
          <w:color w:val="000000"/>
          <w:sz w:val="24"/>
          <w:szCs w:val="24"/>
        </w:rPr>
      </w:pPr>
      <w:r>
        <w:rPr>
          <w:rFonts w:hint="eastAsia" w:ascii="宋体" w:hAnsi="宋体"/>
          <w:color w:val="000000"/>
          <w:sz w:val="24"/>
          <w:szCs w:val="24"/>
        </w:rPr>
        <w:t>监测方法按照国标方法、《环境监测技术规范》以及《水和废水监测分析方法》（第四版）推荐方法进行</w:t>
      </w:r>
      <w:r>
        <w:rPr>
          <w:rFonts w:ascii="宋体" w:hAnsi="宋体"/>
          <w:color w:val="000000"/>
          <w:sz w:val="24"/>
          <w:szCs w:val="24"/>
        </w:rPr>
        <w:t xml:space="preserve"> </w:t>
      </w:r>
    </w:p>
    <w:p>
      <w:pPr>
        <w:spacing w:line="360" w:lineRule="auto"/>
        <w:ind w:firstLine="482"/>
        <w:rPr>
          <w:rFonts w:ascii="宋体" w:hAnsi="宋体"/>
          <w:color w:val="000000"/>
          <w:sz w:val="24"/>
          <w:szCs w:val="24"/>
        </w:rPr>
      </w:pPr>
      <w:r>
        <w:rPr>
          <w:rFonts w:hint="eastAsia" w:ascii="宋体" w:hAnsi="宋体"/>
          <w:color w:val="000000"/>
          <w:sz w:val="24"/>
          <w:szCs w:val="24"/>
        </w:rPr>
        <w:t>⑤监测结果及分析</w:t>
      </w:r>
    </w:p>
    <w:p>
      <w:pPr>
        <w:spacing w:line="360" w:lineRule="auto"/>
        <w:ind w:firstLine="482"/>
        <w:rPr>
          <w:rFonts w:ascii="宋体" w:hAnsi="宋体"/>
          <w:color w:val="000000"/>
          <w:sz w:val="24"/>
          <w:szCs w:val="24"/>
        </w:rPr>
      </w:pPr>
      <w:r>
        <w:rPr>
          <w:rFonts w:hint="eastAsia" w:ascii="宋体" w:hAnsi="宋体"/>
          <w:color w:val="000000"/>
          <w:sz w:val="24"/>
          <w:szCs w:val="24"/>
        </w:rPr>
        <w:t>地表水监测结果见表2-29：</w:t>
      </w:r>
    </w:p>
    <w:p>
      <w:pPr>
        <w:spacing w:line="280" w:lineRule="exact"/>
        <w:jc w:val="center"/>
        <w:rPr>
          <w:b/>
          <w:color w:val="000000"/>
          <w:sz w:val="24"/>
          <w:szCs w:val="24"/>
        </w:rPr>
      </w:pPr>
      <w:r>
        <w:rPr>
          <w:rFonts w:hint="eastAsia"/>
          <w:b/>
          <w:color w:val="000000"/>
          <w:sz w:val="24"/>
          <w:szCs w:val="24"/>
        </w:rPr>
        <w:t>表2-29   地表水监测结果一览表</w:t>
      </w:r>
      <w:r>
        <w:rPr>
          <w:b/>
          <w:color w:val="000000"/>
          <w:sz w:val="24"/>
          <w:szCs w:val="24"/>
        </w:rPr>
        <w:t xml:space="preserve"> </w:t>
      </w:r>
      <w:r>
        <w:rPr>
          <w:rFonts w:hint="eastAsia"/>
          <w:b/>
          <w:color w:val="000000"/>
          <w:sz w:val="24"/>
          <w:szCs w:val="24"/>
        </w:rPr>
        <w:t>（单位：</w:t>
      </w:r>
      <w:r>
        <w:rPr>
          <w:b/>
          <w:color w:val="000000"/>
          <w:sz w:val="24"/>
          <w:szCs w:val="24"/>
        </w:rPr>
        <w:t xml:space="preserve"> mg/L</w:t>
      </w:r>
      <w:r>
        <w:rPr>
          <w:rFonts w:hint="eastAsia"/>
          <w:b/>
          <w:color w:val="000000"/>
          <w:sz w:val="24"/>
          <w:szCs w:val="24"/>
        </w:rPr>
        <w:t>，砷、汞：</w:t>
      </w:r>
      <w:r>
        <w:rPr>
          <w:b/>
          <w:color w:val="000000"/>
          <w:sz w:val="24"/>
          <w:szCs w:val="24"/>
        </w:rPr>
        <w:t>ug/L</w:t>
      </w:r>
      <w:r>
        <w:rPr>
          <w:rFonts w:hint="eastAsia"/>
          <w:b/>
          <w:color w:val="000000"/>
          <w:sz w:val="24"/>
          <w:szCs w:val="24"/>
        </w:rPr>
        <w:t>）</w:t>
      </w:r>
    </w:p>
    <w:tbl>
      <w:tblPr>
        <w:tblStyle w:val="35"/>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192"/>
        <w:gridCol w:w="841"/>
        <w:gridCol w:w="63"/>
        <w:gridCol w:w="806"/>
        <w:gridCol w:w="871"/>
        <w:gridCol w:w="869"/>
        <w:gridCol w:w="871"/>
        <w:gridCol w:w="1016"/>
        <w:gridCol w:w="1016"/>
        <w:gridCol w:w="871"/>
        <w:gridCol w:w="8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5000" w:type="pct"/>
            <w:gridSpan w:val="11"/>
            <w:noWrap w:val="0"/>
            <w:vAlign w:val="center"/>
          </w:tcPr>
          <w:p>
            <w:pPr>
              <w:pStyle w:val="44"/>
              <w:spacing w:line="280" w:lineRule="exact"/>
              <w:rPr>
                <w:rFonts w:ascii="宋体" w:hAnsi="宋体" w:eastAsia="宋体"/>
                <w:color w:val="000000"/>
              </w:rPr>
            </w:pPr>
            <w:r>
              <w:rPr>
                <w:rFonts w:hint="eastAsia" w:ascii="宋体" w:hAnsi="宋体" w:eastAsia="宋体"/>
                <w:color w:val="000000"/>
              </w:rPr>
              <w:t>厂址上游</w:t>
            </w:r>
            <w:r>
              <w:rPr>
                <w:rFonts w:ascii="宋体" w:hAnsi="宋体" w:eastAsia="宋体"/>
                <w:color w:val="000000"/>
              </w:rPr>
              <w:t>500m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723"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4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pH</w:t>
            </w:r>
          </w:p>
        </w:tc>
        <w:tc>
          <w:tcPr>
            <w:tcW w:w="468"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NH</w:t>
            </w:r>
            <w:r>
              <w:rPr>
                <w:rFonts w:ascii="宋体" w:hAnsi="宋体" w:eastAsia="宋体"/>
                <w:color w:val="000000"/>
                <w:szCs w:val="21"/>
                <w:vertAlign w:val="subscript"/>
              </w:rPr>
              <w:t>3</w:t>
            </w:r>
            <w:r>
              <w:rPr>
                <w:rFonts w:ascii="宋体" w:hAnsi="宋体" w:eastAsia="宋体"/>
                <w:color w:val="000000"/>
                <w:szCs w:val="21"/>
              </w:rPr>
              <w:t>-N</w:t>
            </w:r>
          </w:p>
        </w:tc>
        <w:tc>
          <w:tcPr>
            <w:tcW w:w="469" w:type="pct"/>
            <w:noWrap w:val="0"/>
            <w:vAlign w:val="center"/>
          </w:tcPr>
          <w:p>
            <w:pPr>
              <w:pStyle w:val="44"/>
              <w:spacing w:line="280" w:lineRule="exact"/>
              <w:rPr>
                <w:rFonts w:ascii="宋体" w:hAnsi="宋体" w:eastAsia="宋体"/>
                <w:color w:val="000000"/>
                <w:szCs w:val="21"/>
                <w:vertAlign w:val="subscript"/>
              </w:rPr>
            </w:pPr>
            <w:r>
              <w:rPr>
                <w:rFonts w:ascii="宋体" w:hAnsi="宋体" w:eastAsia="宋体"/>
                <w:color w:val="000000"/>
                <w:szCs w:val="21"/>
              </w:rPr>
              <w:t>COD</w:t>
            </w:r>
            <w:r>
              <w:rPr>
                <w:rFonts w:ascii="宋体" w:hAnsi="宋体" w:eastAsia="宋体"/>
                <w:color w:val="000000"/>
                <w:szCs w:val="21"/>
                <w:vertAlign w:val="subscript"/>
              </w:rPr>
              <w:t>cr</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Cr</w:t>
            </w:r>
            <w:r>
              <w:rPr>
                <w:rFonts w:ascii="宋体" w:hAnsi="宋体" w:eastAsia="宋体"/>
                <w:color w:val="000000"/>
                <w:szCs w:val="21"/>
                <w:vertAlign w:val="superscript"/>
              </w:rPr>
              <w:t>6+</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BOD</w:t>
            </w:r>
            <w:r>
              <w:rPr>
                <w:rFonts w:ascii="宋体" w:hAnsi="宋体" w:eastAsia="宋体"/>
                <w:color w:val="000000"/>
                <w:szCs w:val="21"/>
                <w:vertAlign w:val="subscript"/>
              </w:rPr>
              <w:t>5</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F</w:t>
            </w:r>
            <w:r>
              <w:rPr>
                <w:rFonts w:ascii="宋体" w:hAnsi="宋体" w:eastAsia="宋体"/>
                <w:color w:val="000000"/>
                <w:szCs w:val="21"/>
                <w:vertAlign w:val="superscript"/>
              </w:rPr>
              <w:t>-</w:t>
            </w:r>
          </w:p>
        </w:tc>
        <w:tc>
          <w:tcPr>
            <w:tcW w:w="54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挥发酚</w:t>
            </w:r>
          </w:p>
        </w:tc>
        <w:tc>
          <w:tcPr>
            <w:tcW w:w="46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石油类</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20190222</w:t>
            </w:r>
          </w:p>
        </w:tc>
        <w:tc>
          <w:tcPr>
            <w:tcW w:w="4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8.00</w:t>
            </w:r>
          </w:p>
        </w:tc>
        <w:tc>
          <w:tcPr>
            <w:tcW w:w="468"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0.051</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13</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2.3</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0.16</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20190223</w:t>
            </w:r>
          </w:p>
        </w:tc>
        <w:tc>
          <w:tcPr>
            <w:tcW w:w="4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7.99</w:t>
            </w:r>
          </w:p>
        </w:tc>
        <w:tc>
          <w:tcPr>
            <w:tcW w:w="468"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0.054</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13</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2.7</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0.16</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20190224</w:t>
            </w:r>
          </w:p>
        </w:tc>
        <w:tc>
          <w:tcPr>
            <w:tcW w:w="4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8.09</w:t>
            </w:r>
          </w:p>
        </w:tc>
        <w:tc>
          <w:tcPr>
            <w:tcW w:w="468"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0.050</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12</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2.1</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0.17</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0.06</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p>
        </w:tc>
        <w:tc>
          <w:tcPr>
            <w:tcW w:w="4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6</w:t>
            </w:r>
            <w:r>
              <w:rPr>
                <w:rFonts w:hint="eastAsia" w:ascii="宋体" w:hAnsi="宋体" w:eastAsia="宋体"/>
                <w:iCs/>
                <w:color w:val="000000"/>
                <w:szCs w:val="21"/>
              </w:rPr>
              <w:t>～</w:t>
            </w:r>
            <w:r>
              <w:rPr>
                <w:rFonts w:ascii="宋体" w:hAnsi="宋体" w:eastAsia="宋体"/>
                <w:iCs/>
                <w:color w:val="000000"/>
                <w:szCs w:val="21"/>
              </w:rPr>
              <w:t>9</w:t>
            </w:r>
          </w:p>
        </w:tc>
        <w:tc>
          <w:tcPr>
            <w:tcW w:w="468"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30</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6</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1.5</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0.01</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0.5</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53"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45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Hg</w:t>
            </w:r>
          </w:p>
        </w:tc>
        <w:tc>
          <w:tcPr>
            <w:tcW w:w="468"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As</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Cu</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Pb</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Zn</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Cd</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2"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20190222</w:t>
            </w:r>
          </w:p>
        </w:tc>
        <w:tc>
          <w:tcPr>
            <w:tcW w:w="4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68"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2"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20190223</w:t>
            </w:r>
          </w:p>
        </w:tc>
        <w:tc>
          <w:tcPr>
            <w:tcW w:w="4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68"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2"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20190224</w:t>
            </w:r>
          </w:p>
        </w:tc>
        <w:tc>
          <w:tcPr>
            <w:tcW w:w="453"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68"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2"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p>
        </w:tc>
        <w:tc>
          <w:tcPr>
            <w:tcW w:w="453"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w:t>
            </w:r>
          </w:p>
        </w:tc>
        <w:tc>
          <w:tcPr>
            <w:tcW w:w="468"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100</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1.0</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2.0</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0.005</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632"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53"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5000" w:type="pct"/>
            <w:gridSpan w:val="11"/>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厂址下游</w:t>
            </w:r>
            <w:r>
              <w:rPr>
                <w:rFonts w:ascii="宋体" w:hAnsi="宋体" w:eastAsia="宋体"/>
                <w:color w:val="000000"/>
                <w:szCs w:val="21"/>
              </w:rPr>
              <w:t>1000m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487"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pH</w:t>
            </w:r>
          </w:p>
        </w:tc>
        <w:tc>
          <w:tcPr>
            <w:tcW w:w="4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NH</w:t>
            </w:r>
            <w:r>
              <w:rPr>
                <w:rFonts w:ascii="宋体" w:hAnsi="宋体" w:eastAsia="宋体"/>
                <w:color w:val="000000"/>
                <w:szCs w:val="21"/>
                <w:vertAlign w:val="subscript"/>
              </w:rPr>
              <w:t>3</w:t>
            </w:r>
            <w:r>
              <w:rPr>
                <w:rFonts w:ascii="宋体" w:hAnsi="宋体" w:eastAsia="宋体"/>
                <w:color w:val="000000"/>
                <w:szCs w:val="21"/>
              </w:rPr>
              <w:t>-N</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COD</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Cr</w:t>
            </w:r>
            <w:r>
              <w:rPr>
                <w:rFonts w:ascii="宋体" w:hAnsi="宋体" w:eastAsia="宋体"/>
                <w:color w:val="000000"/>
                <w:szCs w:val="21"/>
                <w:vertAlign w:val="superscript"/>
              </w:rPr>
              <w:t>6+</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BOD</w:t>
            </w:r>
            <w:r>
              <w:rPr>
                <w:rFonts w:ascii="宋体" w:hAnsi="宋体" w:eastAsia="宋体"/>
                <w:color w:val="000000"/>
                <w:szCs w:val="21"/>
                <w:vertAlign w:val="subscript"/>
              </w:rPr>
              <w:t>5</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F</w:t>
            </w:r>
            <w:r>
              <w:rPr>
                <w:rFonts w:ascii="宋体" w:hAnsi="宋体" w:eastAsia="宋体"/>
                <w:color w:val="000000"/>
                <w:szCs w:val="21"/>
                <w:vertAlign w:val="superscript"/>
              </w:rPr>
              <w:t>-</w:t>
            </w:r>
          </w:p>
        </w:tc>
        <w:tc>
          <w:tcPr>
            <w:tcW w:w="54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挥发酚</w:t>
            </w:r>
          </w:p>
        </w:tc>
        <w:tc>
          <w:tcPr>
            <w:tcW w:w="46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石油类</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20190222</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8.04</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0.120</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19</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2.2</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0.12</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0.09</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20190223</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8.00</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0.124</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19</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2.2</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0.12</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0.08</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20190224</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8.15</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0.130</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18</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2.8</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0.13</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0.07</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6</w:t>
            </w:r>
            <w:r>
              <w:rPr>
                <w:rFonts w:hint="eastAsia" w:ascii="宋体" w:hAnsi="宋体" w:eastAsia="宋体"/>
                <w:iCs/>
                <w:color w:val="000000"/>
                <w:szCs w:val="21"/>
              </w:rPr>
              <w:t>～</w:t>
            </w:r>
            <w:r>
              <w:rPr>
                <w:rFonts w:ascii="宋体" w:hAnsi="宋体" w:eastAsia="宋体"/>
                <w:iCs/>
                <w:color w:val="000000"/>
                <w:szCs w:val="21"/>
              </w:rPr>
              <w:t>9</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30</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6</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1.5</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0.01</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0.5</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87"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487"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Hg</w:t>
            </w:r>
          </w:p>
        </w:tc>
        <w:tc>
          <w:tcPr>
            <w:tcW w:w="4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As</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Cu</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pb</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Zn</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Cd</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20190222</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0.08</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20190223</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20190224</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0.07</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p>
        </w:tc>
        <w:tc>
          <w:tcPr>
            <w:tcW w:w="487"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100</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1.0</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2.0</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0.005</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87"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5000" w:type="pct"/>
            <w:gridSpan w:val="11"/>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厂址下游</w:t>
            </w:r>
            <w:r>
              <w:rPr>
                <w:rFonts w:ascii="宋体" w:hAnsi="宋体" w:eastAsia="宋体"/>
                <w:color w:val="000000"/>
                <w:szCs w:val="21"/>
              </w:rPr>
              <w:t>3000m</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487"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pH</w:t>
            </w:r>
          </w:p>
        </w:tc>
        <w:tc>
          <w:tcPr>
            <w:tcW w:w="4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NH</w:t>
            </w:r>
            <w:r>
              <w:rPr>
                <w:rFonts w:ascii="宋体" w:hAnsi="宋体" w:eastAsia="宋体"/>
                <w:color w:val="000000"/>
                <w:szCs w:val="21"/>
                <w:vertAlign w:val="subscript"/>
              </w:rPr>
              <w:t>3</w:t>
            </w:r>
            <w:r>
              <w:rPr>
                <w:rFonts w:ascii="宋体" w:hAnsi="宋体" w:eastAsia="宋体"/>
                <w:color w:val="000000"/>
                <w:szCs w:val="21"/>
              </w:rPr>
              <w:t>-N</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COD</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Cr</w:t>
            </w:r>
            <w:r>
              <w:rPr>
                <w:rFonts w:ascii="宋体" w:hAnsi="宋体" w:eastAsia="宋体"/>
                <w:color w:val="000000"/>
                <w:szCs w:val="21"/>
                <w:vertAlign w:val="superscript"/>
              </w:rPr>
              <w:t>6+</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BOD</w:t>
            </w:r>
            <w:r>
              <w:rPr>
                <w:rFonts w:ascii="宋体" w:hAnsi="宋体" w:eastAsia="宋体"/>
                <w:color w:val="000000"/>
                <w:szCs w:val="21"/>
                <w:vertAlign w:val="subscript"/>
              </w:rPr>
              <w:t>5</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F</w:t>
            </w:r>
            <w:r>
              <w:rPr>
                <w:rFonts w:ascii="宋体" w:hAnsi="宋体" w:eastAsia="宋体"/>
                <w:color w:val="000000"/>
                <w:szCs w:val="21"/>
                <w:vertAlign w:val="superscript"/>
              </w:rPr>
              <w:t>-</w:t>
            </w:r>
          </w:p>
        </w:tc>
        <w:tc>
          <w:tcPr>
            <w:tcW w:w="54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挥发酚</w:t>
            </w:r>
          </w:p>
        </w:tc>
        <w:tc>
          <w:tcPr>
            <w:tcW w:w="46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石油类</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CN-</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20190222</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7.97</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0.108</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21</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2.1</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0.12</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0.07</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20190223</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8.17</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0.116</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21</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2.1</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0.11</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0.07</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20190224</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8.18</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0.122</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19</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0.004L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2.7</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0.11</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0.0003L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0.08</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iCs/>
                <w:color w:val="000000"/>
                <w:szCs w:val="21"/>
              </w:rPr>
              <w:t>0.004L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6</w:t>
            </w:r>
            <w:r>
              <w:rPr>
                <w:rFonts w:hint="eastAsia" w:ascii="宋体" w:hAnsi="宋体" w:eastAsia="宋体"/>
                <w:iCs/>
                <w:color w:val="000000"/>
                <w:szCs w:val="21"/>
              </w:rPr>
              <w:t>～</w:t>
            </w:r>
            <w:r>
              <w:rPr>
                <w:rFonts w:ascii="宋体" w:hAnsi="宋体" w:eastAsia="宋体"/>
                <w:iCs/>
                <w:color w:val="000000"/>
                <w:szCs w:val="21"/>
              </w:rPr>
              <w:t>9</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30</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6</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1.5</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0.01</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0.5</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87"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487"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Hg</w:t>
            </w:r>
          </w:p>
        </w:tc>
        <w:tc>
          <w:tcPr>
            <w:tcW w:w="4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As</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Cu</w:t>
            </w:r>
          </w:p>
        </w:tc>
        <w:tc>
          <w:tcPr>
            <w:tcW w:w="46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pb</w:t>
            </w:r>
          </w:p>
        </w:tc>
        <w:tc>
          <w:tcPr>
            <w:tcW w:w="46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Zn</w:t>
            </w:r>
          </w:p>
        </w:tc>
        <w:tc>
          <w:tcPr>
            <w:tcW w:w="54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Cd</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20190222</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20190223</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20190224</w:t>
            </w:r>
          </w:p>
        </w:tc>
        <w:tc>
          <w:tcPr>
            <w:tcW w:w="487" w:type="pct"/>
            <w:gridSpan w:val="2"/>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0.01L</w:t>
            </w:r>
          </w:p>
        </w:tc>
        <w:tc>
          <w:tcPr>
            <w:tcW w:w="43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0.2L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0.05L</w:t>
            </w:r>
          </w:p>
        </w:tc>
        <w:tc>
          <w:tcPr>
            <w:tcW w:w="468"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0.001L</w:t>
            </w:r>
          </w:p>
        </w:tc>
        <w:tc>
          <w:tcPr>
            <w:tcW w:w="469"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0.05</w:t>
            </w:r>
          </w:p>
        </w:tc>
        <w:tc>
          <w:tcPr>
            <w:tcW w:w="54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0.0001L</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p>
        </w:tc>
        <w:tc>
          <w:tcPr>
            <w:tcW w:w="487"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100</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1.0</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0.05</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2.0</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w:t>
            </w:r>
            <w:r>
              <w:rPr>
                <w:rFonts w:ascii="宋体" w:hAnsi="宋体" w:eastAsia="宋体"/>
                <w:iCs/>
                <w:color w:val="000000"/>
                <w:szCs w:val="21"/>
              </w:rPr>
              <w:t>0.005</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464" w:hRule="atLeast"/>
        </w:trPr>
        <w:tc>
          <w:tcPr>
            <w:tcW w:w="64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87" w:type="pct"/>
            <w:gridSpan w:val="2"/>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34"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8"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469"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iCs/>
                <w:color w:val="000000"/>
                <w:szCs w:val="21"/>
              </w:rPr>
            </w:pPr>
            <w:r>
              <w:rPr>
                <w:rFonts w:hint="eastAsia" w:ascii="宋体" w:hAnsi="宋体" w:eastAsia="宋体"/>
                <w:iCs/>
                <w:color w:val="000000"/>
                <w:szCs w:val="21"/>
              </w:rPr>
              <w:t>达标</w:t>
            </w:r>
          </w:p>
        </w:tc>
        <w:tc>
          <w:tcPr>
            <w:tcW w:w="547" w:type="pct"/>
            <w:noWrap w:val="0"/>
            <w:vAlign w:val="center"/>
          </w:tcPr>
          <w:p>
            <w:pPr>
              <w:pStyle w:val="44"/>
              <w:spacing w:line="280" w:lineRule="exact"/>
              <w:rPr>
                <w:rFonts w:ascii="宋体" w:hAnsi="宋体" w:eastAsia="宋体"/>
                <w:color w:val="000000"/>
                <w:szCs w:val="21"/>
              </w:rPr>
            </w:pPr>
          </w:p>
        </w:tc>
        <w:tc>
          <w:tcPr>
            <w:tcW w:w="469" w:type="pct"/>
            <w:noWrap w:val="0"/>
            <w:vAlign w:val="center"/>
          </w:tcPr>
          <w:p>
            <w:pPr>
              <w:pStyle w:val="44"/>
              <w:spacing w:line="280" w:lineRule="exact"/>
              <w:rPr>
                <w:rFonts w:ascii="宋体" w:hAnsi="宋体" w:eastAsia="宋体"/>
                <w:color w:val="000000"/>
                <w:szCs w:val="21"/>
              </w:rPr>
            </w:pPr>
          </w:p>
        </w:tc>
        <w:tc>
          <w:tcPr>
            <w:tcW w:w="468" w:type="pct"/>
            <w:noWrap w:val="0"/>
            <w:vAlign w:val="center"/>
          </w:tcPr>
          <w:p>
            <w:pPr>
              <w:pStyle w:val="44"/>
              <w:spacing w:line="280" w:lineRule="exact"/>
              <w:rPr>
                <w:rFonts w:ascii="宋体" w:hAnsi="宋体" w:eastAsia="宋体"/>
                <w:color w:val="000000"/>
                <w:szCs w:val="21"/>
              </w:rPr>
            </w:pPr>
          </w:p>
        </w:tc>
      </w:tr>
    </w:tbl>
    <w:p>
      <w:pPr>
        <w:spacing w:line="360" w:lineRule="auto"/>
        <w:ind w:firstLine="482"/>
        <w:rPr>
          <w:rFonts w:ascii="宋体" w:hAnsi="宋体"/>
          <w:color w:val="000000"/>
          <w:sz w:val="24"/>
          <w:szCs w:val="24"/>
        </w:rPr>
      </w:pPr>
      <w:r>
        <w:rPr>
          <w:rFonts w:hint="eastAsia" w:ascii="宋体" w:hAnsi="宋体"/>
          <w:color w:val="000000"/>
          <w:sz w:val="24"/>
          <w:szCs w:val="24"/>
        </w:rPr>
        <w:t>根据上述监测结果可知，块泽河</w:t>
      </w:r>
      <w:r>
        <w:rPr>
          <w:rFonts w:ascii="宋体" w:hAnsi="宋体"/>
          <w:color w:val="000000"/>
          <w:sz w:val="24"/>
          <w:szCs w:val="24"/>
        </w:rPr>
        <w:t>3</w:t>
      </w:r>
      <w:r>
        <w:rPr>
          <w:rFonts w:hint="eastAsia" w:ascii="宋体" w:hAnsi="宋体"/>
          <w:color w:val="000000"/>
          <w:sz w:val="24"/>
          <w:szCs w:val="24"/>
        </w:rPr>
        <w:t>个断面监测数值均满足《地表水环境质量标准》（</w:t>
      </w:r>
      <w:r>
        <w:rPr>
          <w:rFonts w:ascii="宋体" w:hAnsi="宋体"/>
          <w:color w:val="000000"/>
          <w:sz w:val="24"/>
          <w:szCs w:val="24"/>
        </w:rPr>
        <w:t>GB3838-2002</w:t>
      </w:r>
      <w:r>
        <w:rPr>
          <w:rFonts w:hint="eastAsia" w:ascii="宋体" w:hAnsi="宋体"/>
          <w:color w:val="000000"/>
          <w:sz w:val="24"/>
          <w:szCs w:val="24"/>
        </w:rPr>
        <w:t>）中Ⅳ类水水质标准限值，未出现超标因子。块泽河水质能满足《地表水环境质量标准》（</w:t>
      </w:r>
      <w:r>
        <w:rPr>
          <w:rFonts w:ascii="宋体" w:hAnsi="宋体"/>
          <w:color w:val="000000"/>
          <w:sz w:val="24"/>
          <w:szCs w:val="24"/>
        </w:rPr>
        <w:t>GB3838-2002</w:t>
      </w:r>
      <w:r>
        <w:rPr>
          <w:rFonts w:hint="eastAsia" w:ascii="宋体" w:hAnsi="宋体"/>
          <w:color w:val="000000"/>
          <w:sz w:val="24"/>
          <w:szCs w:val="24"/>
        </w:rPr>
        <w:t>）中Ⅳ类水水质标准。</w:t>
      </w:r>
    </w:p>
    <w:p>
      <w:pPr>
        <w:spacing w:line="360" w:lineRule="auto"/>
        <w:ind w:firstLine="482"/>
        <w:rPr>
          <w:rFonts w:ascii="宋体" w:hAnsi="宋体"/>
          <w:color w:val="000000"/>
          <w:sz w:val="24"/>
          <w:szCs w:val="24"/>
        </w:rPr>
      </w:pPr>
      <w:r>
        <w:rPr>
          <w:rFonts w:hint="eastAsia" w:ascii="宋体" w:hAnsi="宋体"/>
          <w:color w:val="000000"/>
          <w:sz w:val="24"/>
          <w:szCs w:val="24"/>
        </w:rPr>
        <w:t>（5）地下水环境调查</w:t>
      </w:r>
    </w:p>
    <w:p>
      <w:pPr>
        <w:spacing w:line="360" w:lineRule="auto"/>
        <w:ind w:firstLine="482"/>
        <w:rPr>
          <w:rFonts w:ascii="宋体" w:hAnsi="宋体"/>
          <w:color w:val="000000"/>
          <w:sz w:val="24"/>
          <w:szCs w:val="24"/>
        </w:rPr>
      </w:pPr>
      <w:r>
        <w:rPr>
          <w:rFonts w:hint="eastAsia" w:ascii="宋体" w:hAnsi="宋体"/>
          <w:color w:val="000000"/>
          <w:sz w:val="24"/>
          <w:szCs w:val="24"/>
        </w:rPr>
        <w:t>①监测点位布设</w:t>
      </w:r>
    </w:p>
    <w:p>
      <w:pPr>
        <w:spacing w:line="360" w:lineRule="auto"/>
        <w:ind w:firstLine="482"/>
        <w:rPr>
          <w:rFonts w:ascii="宋体" w:hAnsi="宋体"/>
          <w:color w:val="000000"/>
          <w:sz w:val="24"/>
          <w:szCs w:val="24"/>
        </w:rPr>
      </w:pPr>
      <w:r>
        <w:rPr>
          <w:rFonts w:hint="eastAsia" w:ascii="宋体" w:hAnsi="宋体"/>
          <w:color w:val="000000"/>
          <w:sz w:val="24"/>
          <w:szCs w:val="24"/>
        </w:rPr>
        <w:t>根据建设项目特点，结合区域内水文地质条件，共设</w:t>
      </w:r>
      <w:r>
        <w:rPr>
          <w:rFonts w:ascii="宋体" w:hAnsi="宋体"/>
          <w:color w:val="000000"/>
          <w:sz w:val="24"/>
          <w:szCs w:val="24"/>
        </w:rPr>
        <w:t>5</w:t>
      </w:r>
      <w:r>
        <w:rPr>
          <w:rFonts w:hint="eastAsia" w:ascii="宋体" w:hAnsi="宋体"/>
          <w:color w:val="000000"/>
          <w:sz w:val="24"/>
          <w:szCs w:val="24"/>
        </w:rPr>
        <w:t>个监测点位，分别为：厂址出露泉水、老君台村泉水、虾子湾村泉水、犀牛塘村泉水、摩落黑村泉水；</w:t>
      </w:r>
    </w:p>
    <w:p>
      <w:pPr>
        <w:spacing w:line="360" w:lineRule="auto"/>
        <w:ind w:firstLine="482"/>
        <w:rPr>
          <w:rFonts w:ascii="宋体" w:hAnsi="宋体"/>
          <w:color w:val="000000"/>
          <w:sz w:val="24"/>
          <w:szCs w:val="24"/>
        </w:rPr>
      </w:pPr>
      <w:r>
        <w:rPr>
          <w:rFonts w:hint="eastAsia" w:ascii="宋体" w:hAnsi="宋体"/>
          <w:color w:val="000000"/>
          <w:sz w:val="24"/>
          <w:szCs w:val="24"/>
        </w:rPr>
        <w:t>②监测项目</w:t>
      </w:r>
    </w:p>
    <w:p>
      <w:pPr>
        <w:spacing w:line="360" w:lineRule="auto"/>
        <w:ind w:firstLine="482"/>
        <w:rPr>
          <w:rFonts w:ascii="宋体" w:hAnsi="宋体"/>
          <w:color w:val="000000"/>
          <w:sz w:val="24"/>
          <w:szCs w:val="24"/>
        </w:rPr>
      </w:pPr>
      <w:r>
        <w:rPr>
          <w:rFonts w:hint="eastAsia" w:ascii="宋体" w:hAnsi="宋体"/>
          <w:color w:val="000000"/>
          <w:sz w:val="24"/>
          <w:szCs w:val="24"/>
        </w:rPr>
        <w:t>监测项目为</w:t>
      </w:r>
      <w:r>
        <w:rPr>
          <w:rFonts w:ascii="宋体" w:hAnsi="宋体"/>
          <w:color w:val="000000"/>
          <w:sz w:val="24"/>
          <w:szCs w:val="24"/>
        </w:rPr>
        <w:t>pH</w:t>
      </w:r>
      <w:r>
        <w:rPr>
          <w:rFonts w:hint="eastAsia" w:ascii="宋体" w:hAnsi="宋体"/>
          <w:color w:val="000000"/>
          <w:sz w:val="24"/>
          <w:szCs w:val="24"/>
        </w:rPr>
        <w:t>、</w:t>
      </w:r>
      <w:r>
        <w:rPr>
          <w:rFonts w:ascii="宋体" w:hAnsi="宋体"/>
          <w:color w:val="000000"/>
          <w:sz w:val="24"/>
          <w:szCs w:val="24"/>
        </w:rPr>
        <w:t>Pb</w:t>
      </w:r>
      <w:r>
        <w:rPr>
          <w:rFonts w:hint="eastAsia" w:ascii="宋体" w:hAnsi="宋体"/>
          <w:color w:val="000000"/>
          <w:sz w:val="24"/>
          <w:szCs w:val="24"/>
        </w:rPr>
        <w:t>、</w:t>
      </w:r>
      <w:r>
        <w:rPr>
          <w:rFonts w:ascii="宋体" w:hAnsi="宋体"/>
          <w:color w:val="000000"/>
          <w:sz w:val="24"/>
          <w:szCs w:val="24"/>
        </w:rPr>
        <w:t>Zn</w:t>
      </w:r>
      <w:r>
        <w:rPr>
          <w:rFonts w:hint="eastAsia" w:ascii="宋体" w:hAnsi="宋体"/>
          <w:color w:val="000000"/>
          <w:sz w:val="24"/>
          <w:szCs w:val="24"/>
        </w:rPr>
        <w:t>、</w:t>
      </w:r>
      <w:r>
        <w:rPr>
          <w:rFonts w:ascii="宋体" w:hAnsi="宋体"/>
          <w:color w:val="000000"/>
          <w:sz w:val="24"/>
          <w:szCs w:val="24"/>
        </w:rPr>
        <w:t>Cd</w:t>
      </w:r>
      <w:r>
        <w:rPr>
          <w:rFonts w:hint="eastAsia" w:ascii="宋体" w:hAnsi="宋体"/>
          <w:color w:val="000000"/>
          <w:sz w:val="24"/>
          <w:szCs w:val="24"/>
        </w:rPr>
        <w:t>、</w:t>
      </w:r>
      <w:r>
        <w:rPr>
          <w:rFonts w:ascii="宋体" w:hAnsi="宋体"/>
          <w:color w:val="000000"/>
          <w:sz w:val="24"/>
          <w:szCs w:val="24"/>
        </w:rPr>
        <w:t>Cu</w:t>
      </w:r>
      <w:r>
        <w:rPr>
          <w:rFonts w:hint="eastAsia" w:ascii="宋体" w:hAnsi="宋体"/>
          <w:color w:val="000000"/>
          <w:sz w:val="24"/>
          <w:szCs w:val="24"/>
        </w:rPr>
        <w:t>、</w:t>
      </w:r>
      <w:r>
        <w:rPr>
          <w:rFonts w:ascii="宋体" w:hAnsi="宋体"/>
          <w:color w:val="000000"/>
          <w:sz w:val="24"/>
          <w:szCs w:val="24"/>
        </w:rPr>
        <w:t>As</w:t>
      </w:r>
      <w:r>
        <w:rPr>
          <w:rFonts w:hint="eastAsia" w:ascii="宋体" w:hAnsi="宋体"/>
          <w:color w:val="000000"/>
          <w:sz w:val="24"/>
          <w:szCs w:val="24"/>
        </w:rPr>
        <w:t>、</w:t>
      </w:r>
      <w:r>
        <w:rPr>
          <w:rFonts w:ascii="宋体" w:hAnsi="宋体"/>
          <w:color w:val="000000"/>
          <w:sz w:val="24"/>
          <w:szCs w:val="24"/>
        </w:rPr>
        <w:t>Cr6+</w:t>
      </w:r>
      <w:r>
        <w:rPr>
          <w:rFonts w:hint="eastAsia" w:ascii="宋体" w:hAnsi="宋体"/>
          <w:color w:val="000000"/>
          <w:sz w:val="24"/>
          <w:szCs w:val="24"/>
        </w:rPr>
        <w:t>、</w:t>
      </w:r>
      <w:r>
        <w:rPr>
          <w:rFonts w:ascii="宋体" w:hAnsi="宋体"/>
          <w:color w:val="000000"/>
          <w:sz w:val="24"/>
          <w:szCs w:val="24"/>
        </w:rPr>
        <w:t>COD</w:t>
      </w:r>
      <w:r>
        <w:rPr>
          <w:rFonts w:hint="eastAsia" w:ascii="宋体" w:hAnsi="宋体"/>
          <w:color w:val="000000"/>
          <w:sz w:val="24"/>
          <w:szCs w:val="24"/>
        </w:rPr>
        <w:t>、</w:t>
      </w:r>
      <w:r>
        <w:rPr>
          <w:rFonts w:ascii="宋体" w:hAnsi="宋体"/>
          <w:color w:val="000000"/>
          <w:sz w:val="24"/>
          <w:szCs w:val="24"/>
        </w:rPr>
        <w:t>NH</w:t>
      </w:r>
      <w:r>
        <w:rPr>
          <w:rFonts w:ascii="宋体" w:hAnsi="宋体"/>
          <w:color w:val="000000"/>
          <w:sz w:val="24"/>
          <w:szCs w:val="24"/>
          <w:vertAlign w:val="subscript"/>
        </w:rPr>
        <w:t>3</w:t>
      </w:r>
      <w:r>
        <w:rPr>
          <w:rFonts w:ascii="宋体" w:hAnsi="宋体"/>
          <w:color w:val="000000"/>
          <w:sz w:val="24"/>
          <w:szCs w:val="24"/>
        </w:rPr>
        <w:t>-N</w:t>
      </w:r>
      <w:r>
        <w:rPr>
          <w:rFonts w:hint="eastAsia" w:ascii="宋体" w:hAnsi="宋体"/>
          <w:color w:val="000000"/>
          <w:sz w:val="24"/>
          <w:szCs w:val="24"/>
        </w:rPr>
        <w:t>、</w:t>
      </w:r>
      <w:r>
        <w:rPr>
          <w:rFonts w:ascii="宋体" w:hAnsi="宋体"/>
          <w:color w:val="000000"/>
          <w:sz w:val="24"/>
          <w:szCs w:val="24"/>
        </w:rPr>
        <w:t>BOD</w:t>
      </w:r>
      <w:r>
        <w:rPr>
          <w:rFonts w:ascii="宋体" w:hAnsi="宋体"/>
          <w:color w:val="000000"/>
          <w:sz w:val="24"/>
          <w:szCs w:val="24"/>
          <w:vertAlign w:val="subscript"/>
        </w:rPr>
        <w:t>5</w:t>
      </w:r>
      <w:r>
        <w:rPr>
          <w:rFonts w:hint="eastAsia" w:ascii="宋体" w:hAnsi="宋体"/>
          <w:color w:val="000000"/>
          <w:sz w:val="24"/>
          <w:szCs w:val="24"/>
        </w:rPr>
        <w:t>、</w:t>
      </w:r>
      <w:r>
        <w:rPr>
          <w:rFonts w:ascii="宋体" w:hAnsi="宋体"/>
          <w:color w:val="000000"/>
          <w:sz w:val="24"/>
          <w:szCs w:val="24"/>
        </w:rPr>
        <w:t>F-</w:t>
      </w:r>
      <w:r>
        <w:rPr>
          <w:rFonts w:hint="eastAsia" w:ascii="宋体" w:hAnsi="宋体"/>
          <w:color w:val="000000"/>
          <w:sz w:val="24"/>
          <w:szCs w:val="24"/>
        </w:rPr>
        <w:t>、</w:t>
      </w:r>
      <w:r>
        <w:rPr>
          <w:rFonts w:ascii="宋体" w:hAnsi="宋体"/>
          <w:color w:val="000000"/>
          <w:sz w:val="24"/>
          <w:szCs w:val="24"/>
        </w:rPr>
        <w:t>Hg</w:t>
      </w:r>
      <w:r>
        <w:rPr>
          <w:rFonts w:hint="eastAsia" w:ascii="宋体" w:hAnsi="宋体"/>
          <w:color w:val="000000"/>
          <w:sz w:val="24"/>
          <w:szCs w:val="24"/>
        </w:rPr>
        <w:t>、</w:t>
      </w:r>
      <w:r>
        <w:rPr>
          <w:rFonts w:ascii="宋体" w:hAnsi="宋体"/>
          <w:color w:val="000000"/>
          <w:sz w:val="24"/>
          <w:szCs w:val="24"/>
        </w:rPr>
        <w:t>CN-</w:t>
      </w:r>
      <w:r>
        <w:rPr>
          <w:rFonts w:hint="eastAsia" w:ascii="宋体" w:hAnsi="宋体"/>
          <w:color w:val="000000"/>
          <w:sz w:val="24"/>
          <w:szCs w:val="24"/>
        </w:rPr>
        <w:t>、挥发酚、</w:t>
      </w:r>
      <w:r>
        <w:rPr>
          <w:rFonts w:ascii="宋体" w:hAnsi="宋体"/>
          <w:color w:val="000000"/>
          <w:sz w:val="24"/>
          <w:szCs w:val="24"/>
        </w:rPr>
        <w:t>Fe</w:t>
      </w:r>
      <w:r>
        <w:rPr>
          <w:rFonts w:hint="eastAsia" w:ascii="宋体" w:hAnsi="宋体"/>
          <w:color w:val="000000"/>
          <w:sz w:val="24"/>
          <w:szCs w:val="24"/>
        </w:rPr>
        <w:t>、</w:t>
      </w:r>
      <w:r>
        <w:rPr>
          <w:rFonts w:ascii="宋体" w:hAnsi="宋体"/>
          <w:color w:val="000000"/>
          <w:sz w:val="24"/>
          <w:szCs w:val="24"/>
        </w:rPr>
        <w:t>Mn</w:t>
      </w:r>
      <w:r>
        <w:rPr>
          <w:rFonts w:hint="eastAsia" w:ascii="宋体" w:hAnsi="宋体"/>
          <w:color w:val="000000"/>
          <w:sz w:val="24"/>
          <w:szCs w:val="24"/>
        </w:rPr>
        <w:t>、耗氧量、硝酸盐、氯化物、细菌总数，共计</w:t>
      </w:r>
      <w:r>
        <w:rPr>
          <w:rFonts w:ascii="宋体" w:hAnsi="宋体"/>
          <w:color w:val="000000"/>
          <w:sz w:val="24"/>
          <w:szCs w:val="24"/>
        </w:rPr>
        <w:t>20</w:t>
      </w:r>
      <w:r>
        <w:rPr>
          <w:rFonts w:hint="eastAsia" w:ascii="宋体" w:hAnsi="宋体"/>
          <w:color w:val="000000"/>
          <w:sz w:val="24"/>
          <w:szCs w:val="24"/>
        </w:rPr>
        <w:t>项。</w:t>
      </w:r>
    </w:p>
    <w:p>
      <w:pPr>
        <w:spacing w:line="360" w:lineRule="auto"/>
        <w:ind w:firstLine="482"/>
        <w:rPr>
          <w:rFonts w:ascii="宋体" w:hAnsi="宋体"/>
          <w:color w:val="000000"/>
          <w:sz w:val="24"/>
          <w:szCs w:val="24"/>
        </w:rPr>
      </w:pPr>
      <w:r>
        <w:rPr>
          <w:rFonts w:hint="eastAsia" w:ascii="宋体" w:hAnsi="宋体"/>
          <w:color w:val="000000"/>
          <w:sz w:val="24"/>
          <w:szCs w:val="24"/>
        </w:rPr>
        <w:t>③监测日期及监测单位</w:t>
      </w:r>
    </w:p>
    <w:p>
      <w:pPr>
        <w:spacing w:line="360" w:lineRule="auto"/>
        <w:ind w:firstLine="482"/>
        <w:rPr>
          <w:rFonts w:ascii="宋体" w:hAnsi="宋体"/>
          <w:color w:val="000000"/>
          <w:sz w:val="24"/>
          <w:szCs w:val="24"/>
        </w:rPr>
      </w:pPr>
      <w:r>
        <w:rPr>
          <w:rFonts w:ascii="宋体" w:hAnsi="宋体"/>
          <w:color w:val="000000"/>
          <w:sz w:val="24"/>
          <w:szCs w:val="24"/>
        </w:rPr>
        <w:t>2019</w:t>
      </w:r>
      <w:r>
        <w:rPr>
          <w:rFonts w:hint="eastAsia" w:ascii="宋体" w:hAnsi="宋体"/>
          <w:color w:val="000000"/>
          <w:sz w:val="24"/>
          <w:szCs w:val="24"/>
        </w:rPr>
        <w:t>年</w:t>
      </w:r>
      <w:r>
        <w:rPr>
          <w:rFonts w:ascii="宋体" w:hAnsi="宋体"/>
          <w:color w:val="000000"/>
          <w:sz w:val="24"/>
          <w:szCs w:val="24"/>
        </w:rPr>
        <w:t>2</w:t>
      </w:r>
      <w:r>
        <w:rPr>
          <w:rFonts w:hint="eastAsia" w:ascii="宋体" w:hAnsi="宋体"/>
          <w:color w:val="000000"/>
          <w:sz w:val="24"/>
          <w:szCs w:val="24"/>
        </w:rPr>
        <w:t>月</w:t>
      </w:r>
      <w:r>
        <w:rPr>
          <w:rFonts w:ascii="宋体" w:hAnsi="宋体"/>
          <w:color w:val="000000"/>
          <w:sz w:val="24"/>
          <w:szCs w:val="24"/>
        </w:rPr>
        <w:t>22</w:t>
      </w:r>
      <w:r>
        <w:rPr>
          <w:rFonts w:hint="eastAsia" w:ascii="宋体" w:hAnsi="宋体"/>
          <w:color w:val="000000"/>
          <w:sz w:val="24"/>
          <w:szCs w:val="24"/>
        </w:rPr>
        <w:t>日、</w:t>
      </w:r>
      <w:r>
        <w:rPr>
          <w:rFonts w:ascii="宋体" w:hAnsi="宋体"/>
          <w:color w:val="000000"/>
          <w:sz w:val="24"/>
          <w:szCs w:val="24"/>
        </w:rPr>
        <w:t>23</w:t>
      </w:r>
      <w:r>
        <w:rPr>
          <w:rFonts w:hint="eastAsia" w:ascii="宋体" w:hAnsi="宋体"/>
          <w:color w:val="000000"/>
          <w:sz w:val="24"/>
          <w:szCs w:val="24"/>
        </w:rPr>
        <w:t>日，共</w:t>
      </w:r>
      <w:r>
        <w:rPr>
          <w:rFonts w:ascii="宋体" w:hAnsi="宋体"/>
          <w:color w:val="000000"/>
          <w:sz w:val="24"/>
          <w:szCs w:val="24"/>
        </w:rPr>
        <w:t>2</w:t>
      </w:r>
      <w:r>
        <w:rPr>
          <w:rFonts w:hint="eastAsia" w:ascii="宋体" w:hAnsi="宋体"/>
          <w:color w:val="000000"/>
          <w:sz w:val="24"/>
          <w:szCs w:val="24"/>
        </w:rPr>
        <w:t>天，由昆明京诚检测技术有限公司监测。</w:t>
      </w:r>
    </w:p>
    <w:p>
      <w:pPr>
        <w:spacing w:line="360" w:lineRule="auto"/>
        <w:ind w:firstLine="482"/>
        <w:rPr>
          <w:rFonts w:ascii="宋体" w:hAnsi="宋体"/>
          <w:color w:val="000000"/>
          <w:sz w:val="24"/>
          <w:szCs w:val="24"/>
        </w:rPr>
      </w:pPr>
      <w:r>
        <w:rPr>
          <w:rFonts w:hint="eastAsia" w:ascii="宋体" w:hAnsi="宋体"/>
          <w:color w:val="000000"/>
          <w:sz w:val="24"/>
          <w:szCs w:val="24"/>
        </w:rPr>
        <w:t>④监测结果</w:t>
      </w:r>
    </w:p>
    <w:p>
      <w:pPr>
        <w:spacing w:line="360" w:lineRule="auto"/>
        <w:ind w:firstLine="482"/>
        <w:rPr>
          <w:rFonts w:ascii="宋体" w:hAnsi="宋体"/>
          <w:color w:val="000000"/>
          <w:sz w:val="24"/>
          <w:szCs w:val="24"/>
        </w:rPr>
        <w:sectPr>
          <w:pgSz w:w="11906" w:h="16838"/>
          <w:pgMar w:top="1247" w:right="1418" w:bottom="1247" w:left="1418" w:header="851" w:footer="992" w:gutter="0"/>
          <w:cols w:space="720" w:num="1"/>
          <w:titlePg/>
          <w:docGrid w:type="linesAndChars" w:linePitch="326" w:charSpace="0"/>
        </w:sectPr>
      </w:pPr>
      <w:r>
        <w:rPr>
          <w:rFonts w:hint="eastAsia" w:ascii="宋体" w:hAnsi="宋体"/>
          <w:color w:val="000000"/>
          <w:sz w:val="24"/>
          <w:szCs w:val="24"/>
        </w:rPr>
        <w:t>地下水监测结果见表2-30。</w:t>
      </w:r>
    </w:p>
    <w:p>
      <w:pPr>
        <w:tabs>
          <w:tab w:val="center" w:pos="7413"/>
          <w:tab w:val="left" w:pos="13200"/>
        </w:tabs>
        <w:spacing w:line="280" w:lineRule="exact"/>
        <w:jc w:val="center"/>
        <w:rPr>
          <w:b/>
          <w:color w:val="000000"/>
          <w:sz w:val="24"/>
          <w:szCs w:val="24"/>
        </w:rPr>
      </w:pPr>
      <w:r>
        <w:rPr>
          <w:rFonts w:hint="eastAsia"/>
          <w:b/>
          <w:color w:val="000000"/>
          <w:sz w:val="24"/>
          <w:szCs w:val="24"/>
        </w:rPr>
        <w:t>表2-30  地下水监测结果一览表</w:t>
      </w:r>
      <w:r>
        <w:rPr>
          <w:b/>
          <w:color w:val="000000"/>
          <w:sz w:val="24"/>
          <w:szCs w:val="24"/>
        </w:rPr>
        <w:t xml:space="preserve"> </w:t>
      </w:r>
      <w:r>
        <w:rPr>
          <w:rFonts w:hint="eastAsia"/>
          <w:b/>
          <w:color w:val="000000"/>
          <w:sz w:val="24"/>
          <w:szCs w:val="24"/>
        </w:rPr>
        <w:t>（单位：</w:t>
      </w:r>
      <w:r>
        <w:rPr>
          <w:b/>
          <w:color w:val="000000"/>
          <w:sz w:val="24"/>
          <w:szCs w:val="24"/>
        </w:rPr>
        <w:t>mg/L</w:t>
      </w:r>
      <w:r>
        <w:rPr>
          <w:rFonts w:hint="eastAsia"/>
          <w:b/>
          <w:color w:val="000000"/>
          <w:sz w:val="24"/>
          <w:szCs w:val="24"/>
        </w:rPr>
        <w:t>，砷、汞：</w:t>
      </w:r>
      <w:r>
        <w:rPr>
          <w:b/>
          <w:color w:val="000000"/>
          <w:sz w:val="24"/>
          <w:szCs w:val="24"/>
        </w:rPr>
        <w:t>ug/L</w:t>
      </w:r>
      <w:r>
        <w:rPr>
          <w:rFonts w:hint="eastAsia"/>
          <w:b/>
          <w:color w:val="000000"/>
          <w:sz w:val="24"/>
          <w:szCs w:val="24"/>
        </w:rPr>
        <w:t>）</w:t>
      </w:r>
    </w:p>
    <w:tbl>
      <w:tblPr>
        <w:tblStyle w:val="35"/>
        <w:tblW w:w="5131"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45"/>
        <w:gridCol w:w="716"/>
        <w:gridCol w:w="860"/>
        <w:gridCol w:w="1000"/>
        <w:gridCol w:w="6"/>
        <w:gridCol w:w="708"/>
        <w:gridCol w:w="1146"/>
        <w:gridCol w:w="1003"/>
        <w:gridCol w:w="670"/>
        <w:gridCol w:w="696"/>
        <w:gridCol w:w="682"/>
        <w:gridCol w:w="679"/>
        <w:gridCol w:w="679"/>
        <w:gridCol w:w="679"/>
        <w:gridCol w:w="679"/>
        <w:gridCol w:w="679"/>
        <w:gridCol w:w="679"/>
        <w:gridCol w:w="679"/>
        <w:gridCol w:w="664"/>
        <w:gridCol w:w="83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trHeight w:val="203" w:hRule="atLeast"/>
        </w:trPr>
        <w:tc>
          <w:tcPr>
            <w:tcW w:w="4998" w:type="pct"/>
            <w:gridSpan w:val="20"/>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厂址岀露泉水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77" w:hRule="atLeast"/>
        </w:trPr>
        <w:tc>
          <w:tcPr>
            <w:tcW w:w="385" w:type="pct"/>
            <w:noWrap w:val="0"/>
            <w:vAlign w:val="center"/>
          </w:tcPr>
          <w:p>
            <w:pPr>
              <w:pStyle w:val="44"/>
              <w:spacing w:line="280" w:lineRule="exact"/>
              <w:rPr>
                <w:rFonts w:hint="eastAsia"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241"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pH</w:t>
            </w:r>
          </w:p>
        </w:tc>
        <w:tc>
          <w:tcPr>
            <w:tcW w:w="28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氨氮</w:t>
            </w:r>
          </w:p>
        </w:tc>
        <w:tc>
          <w:tcPr>
            <w:tcW w:w="336"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六价铬</w:t>
            </w:r>
          </w:p>
        </w:tc>
        <w:tc>
          <w:tcPr>
            <w:tcW w:w="240" w:type="pct"/>
            <w:gridSpan w:val="2"/>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F</w:t>
            </w:r>
            <w:r>
              <w:rPr>
                <w:rFonts w:ascii="宋体" w:hAnsi="宋体" w:eastAsia="宋体"/>
                <w:bCs/>
                <w:color w:val="000000"/>
                <w:kern w:val="0"/>
                <w:szCs w:val="21"/>
                <w:vertAlign w:val="superscript"/>
              </w:rPr>
              <w:t>-</w:t>
            </w:r>
          </w:p>
        </w:tc>
        <w:tc>
          <w:tcPr>
            <w:tcW w:w="38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挥发酚</w:t>
            </w:r>
          </w:p>
        </w:tc>
        <w:tc>
          <w:tcPr>
            <w:tcW w:w="337" w:type="pct"/>
            <w:noWrap w:val="0"/>
            <w:vAlign w:val="center"/>
          </w:tcPr>
          <w:p>
            <w:pPr>
              <w:pStyle w:val="44"/>
              <w:spacing w:line="280" w:lineRule="exact"/>
              <w:rPr>
                <w:rFonts w:ascii="宋体" w:hAnsi="宋体" w:eastAsia="宋体"/>
                <w:bCs/>
                <w:color w:val="000000"/>
                <w:kern w:val="0"/>
                <w:szCs w:val="21"/>
              </w:rPr>
            </w:pPr>
          </w:p>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氰化物</w:t>
            </w:r>
          </w:p>
          <w:p>
            <w:pPr>
              <w:pStyle w:val="44"/>
              <w:spacing w:line="280" w:lineRule="exact"/>
              <w:rPr>
                <w:rFonts w:ascii="宋体" w:hAnsi="宋体" w:eastAsia="宋体"/>
                <w:bCs/>
                <w:color w:val="000000"/>
                <w:kern w:val="0"/>
                <w:szCs w:val="21"/>
              </w:rPr>
            </w:pPr>
          </w:p>
        </w:tc>
        <w:tc>
          <w:tcPr>
            <w:tcW w:w="22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耗氧量</w:t>
            </w:r>
          </w:p>
        </w:tc>
        <w:tc>
          <w:tcPr>
            <w:tcW w:w="234"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硝酸盐</w:t>
            </w:r>
          </w:p>
        </w:tc>
        <w:tc>
          <w:tcPr>
            <w:tcW w:w="22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氯化物</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菌落总数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铁</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汞</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砷</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铜</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铅</w:t>
            </w:r>
          </w:p>
        </w:tc>
        <w:tc>
          <w:tcPr>
            <w:tcW w:w="223"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锌</w:t>
            </w:r>
          </w:p>
        </w:tc>
        <w:tc>
          <w:tcPr>
            <w:tcW w:w="280" w:type="pct"/>
            <w:noWrap w:val="0"/>
            <w:vAlign w:val="center"/>
          </w:tcPr>
          <w:p>
            <w:pPr>
              <w:pStyle w:val="44"/>
              <w:spacing w:line="280" w:lineRule="exact"/>
              <w:rPr>
                <w:rFonts w:ascii="宋体" w:hAnsi="宋体" w:eastAsia="宋体"/>
                <w:bCs/>
                <w:color w:val="000000"/>
                <w:kern w:val="0"/>
                <w:szCs w:val="21"/>
              </w:rPr>
            </w:pPr>
          </w:p>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镉</w:t>
            </w:r>
          </w:p>
          <w:p>
            <w:pPr>
              <w:pStyle w:val="44"/>
              <w:spacing w:line="280" w:lineRule="exact"/>
              <w:rPr>
                <w:rFonts w:ascii="宋体" w:hAnsi="宋体" w:eastAsia="宋体"/>
                <w:bCs/>
                <w:color w:val="000000"/>
                <w:kern w:val="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67"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2.22</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7.72</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0.056</w:t>
            </w:r>
          </w:p>
        </w:tc>
        <w:tc>
          <w:tcPr>
            <w:tcW w:w="336"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40"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0.09</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1.0</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1.89</w:t>
            </w:r>
          </w:p>
        </w:tc>
        <w:tc>
          <w:tcPr>
            <w:tcW w:w="22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12.4</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56</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0.23</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0.001L</w:t>
            </w:r>
          </w:p>
        </w:tc>
        <w:tc>
          <w:tcPr>
            <w:tcW w:w="223"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80"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498"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2.23</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7.91</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0.062</w:t>
            </w:r>
          </w:p>
        </w:tc>
        <w:tc>
          <w:tcPr>
            <w:tcW w:w="336"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40"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0.09</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0.8</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1.88</w:t>
            </w:r>
          </w:p>
        </w:tc>
        <w:tc>
          <w:tcPr>
            <w:tcW w:w="229"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12.2</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58</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0.25</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0.03</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0.01L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0.001L</w:t>
            </w:r>
          </w:p>
        </w:tc>
        <w:tc>
          <w:tcPr>
            <w:tcW w:w="223"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80"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498"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r>
              <w:rPr>
                <w:rFonts w:ascii="宋体" w:hAnsi="宋体" w:eastAsia="宋体"/>
                <w:color w:val="000000"/>
                <w:szCs w:val="21"/>
              </w:rPr>
              <w:t>mg/L</w:t>
            </w:r>
            <w:r>
              <w:rPr>
                <w:rFonts w:hint="eastAsia" w:ascii="宋体" w:hAnsi="宋体" w:eastAsia="宋体"/>
                <w:color w:val="000000"/>
                <w:szCs w:val="21"/>
              </w:rPr>
              <w:t>）</w:t>
            </w:r>
          </w:p>
        </w:tc>
        <w:tc>
          <w:tcPr>
            <w:tcW w:w="24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6.5~8.5</w:t>
            </w:r>
          </w:p>
        </w:tc>
        <w:tc>
          <w:tcPr>
            <w:tcW w:w="28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33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40"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w:t>
            </w:r>
          </w:p>
        </w:tc>
        <w:tc>
          <w:tcPr>
            <w:tcW w:w="33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2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2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w:t>
            </w:r>
          </w:p>
        </w:tc>
        <w:tc>
          <w:tcPr>
            <w:tcW w:w="22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0.3</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28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56"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24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40"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trHeight w:val="276" w:hRule="atLeast"/>
        </w:trPr>
        <w:tc>
          <w:tcPr>
            <w:tcW w:w="4998" w:type="pct"/>
            <w:gridSpan w:val="20"/>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犀牛塘</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58"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241"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pH</w:t>
            </w:r>
          </w:p>
        </w:tc>
        <w:tc>
          <w:tcPr>
            <w:tcW w:w="28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氨氮</w:t>
            </w:r>
          </w:p>
        </w:tc>
        <w:tc>
          <w:tcPr>
            <w:tcW w:w="338" w:type="pct"/>
            <w:gridSpan w:val="2"/>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六价铬</w:t>
            </w:r>
          </w:p>
        </w:tc>
        <w:tc>
          <w:tcPr>
            <w:tcW w:w="23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F</w:t>
            </w:r>
            <w:r>
              <w:rPr>
                <w:rFonts w:ascii="宋体" w:hAnsi="宋体" w:eastAsia="宋体"/>
                <w:bCs/>
                <w:color w:val="000000"/>
                <w:kern w:val="0"/>
                <w:szCs w:val="21"/>
                <w:vertAlign w:val="superscript"/>
              </w:rPr>
              <w:t>-</w:t>
            </w:r>
          </w:p>
        </w:tc>
        <w:tc>
          <w:tcPr>
            <w:tcW w:w="38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挥发酚</w:t>
            </w:r>
          </w:p>
        </w:tc>
        <w:tc>
          <w:tcPr>
            <w:tcW w:w="337" w:type="pct"/>
            <w:noWrap w:val="0"/>
            <w:vAlign w:val="center"/>
          </w:tcPr>
          <w:p>
            <w:pPr>
              <w:pStyle w:val="44"/>
              <w:spacing w:line="280" w:lineRule="exact"/>
              <w:rPr>
                <w:rFonts w:ascii="宋体" w:hAnsi="宋体" w:eastAsia="宋体"/>
                <w:bCs/>
                <w:color w:val="000000"/>
                <w:kern w:val="0"/>
                <w:szCs w:val="21"/>
              </w:rPr>
            </w:pPr>
          </w:p>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氰化物</w:t>
            </w:r>
          </w:p>
          <w:p>
            <w:pPr>
              <w:pStyle w:val="44"/>
              <w:spacing w:line="280" w:lineRule="exact"/>
              <w:rPr>
                <w:rFonts w:ascii="宋体" w:hAnsi="宋体" w:eastAsia="宋体"/>
                <w:bCs/>
                <w:color w:val="000000"/>
                <w:kern w:val="0"/>
                <w:szCs w:val="21"/>
              </w:rPr>
            </w:pPr>
          </w:p>
        </w:tc>
        <w:tc>
          <w:tcPr>
            <w:tcW w:w="22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耗氧量</w:t>
            </w:r>
          </w:p>
        </w:tc>
        <w:tc>
          <w:tcPr>
            <w:tcW w:w="234"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硝酸盐</w:t>
            </w:r>
          </w:p>
        </w:tc>
        <w:tc>
          <w:tcPr>
            <w:tcW w:w="22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氯化物</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菌落总数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铁</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汞</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砷</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铜</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铅</w:t>
            </w:r>
          </w:p>
        </w:tc>
        <w:tc>
          <w:tcPr>
            <w:tcW w:w="223"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锌</w:t>
            </w:r>
          </w:p>
        </w:tc>
        <w:tc>
          <w:tcPr>
            <w:tcW w:w="280" w:type="pct"/>
            <w:noWrap w:val="0"/>
            <w:vAlign w:val="center"/>
          </w:tcPr>
          <w:p>
            <w:pPr>
              <w:pStyle w:val="44"/>
              <w:spacing w:line="280" w:lineRule="exact"/>
              <w:rPr>
                <w:rFonts w:ascii="宋体" w:hAnsi="宋体" w:eastAsia="宋体"/>
                <w:bCs/>
                <w:color w:val="000000"/>
                <w:kern w:val="0"/>
                <w:szCs w:val="21"/>
              </w:rPr>
            </w:pPr>
          </w:p>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镉</w:t>
            </w:r>
          </w:p>
          <w:p>
            <w:pPr>
              <w:pStyle w:val="44"/>
              <w:spacing w:line="280" w:lineRule="exact"/>
              <w:rPr>
                <w:rFonts w:ascii="宋体" w:hAnsi="宋体" w:eastAsia="宋体"/>
                <w:bCs/>
                <w:color w:val="000000"/>
                <w:kern w:val="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58"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2.22</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7.11</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0.064</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0.17</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0.5L</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1.71</w:t>
            </w:r>
          </w:p>
        </w:tc>
        <w:tc>
          <w:tcPr>
            <w:tcW w:w="22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10.0L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100</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0.28</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0.001L</w:t>
            </w:r>
          </w:p>
        </w:tc>
        <w:tc>
          <w:tcPr>
            <w:tcW w:w="223"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80"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73"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2.23</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7.10</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0.068</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0.18</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0.5L</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1.73</w:t>
            </w:r>
          </w:p>
        </w:tc>
        <w:tc>
          <w:tcPr>
            <w:tcW w:w="229"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10.0L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98</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0.22</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0.02</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0.01L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0.001L</w:t>
            </w:r>
          </w:p>
        </w:tc>
        <w:tc>
          <w:tcPr>
            <w:tcW w:w="223"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80"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7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r>
              <w:rPr>
                <w:rFonts w:ascii="宋体" w:hAnsi="宋体" w:eastAsia="宋体"/>
                <w:color w:val="000000"/>
                <w:szCs w:val="21"/>
              </w:rPr>
              <w:t>mg/L</w:t>
            </w:r>
            <w:r>
              <w:rPr>
                <w:rFonts w:hint="eastAsia" w:ascii="宋体" w:hAnsi="宋体" w:eastAsia="宋体"/>
                <w:color w:val="000000"/>
                <w:szCs w:val="21"/>
              </w:rPr>
              <w:t>）</w:t>
            </w:r>
          </w:p>
        </w:tc>
        <w:tc>
          <w:tcPr>
            <w:tcW w:w="24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6.5~8.5</w:t>
            </w:r>
          </w:p>
        </w:tc>
        <w:tc>
          <w:tcPr>
            <w:tcW w:w="28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338"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3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w:t>
            </w:r>
          </w:p>
        </w:tc>
        <w:tc>
          <w:tcPr>
            <w:tcW w:w="33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2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2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w:t>
            </w:r>
          </w:p>
        </w:tc>
        <w:tc>
          <w:tcPr>
            <w:tcW w:w="22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0.3</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0.001L</w:t>
            </w:r>
          </w:p>
        </w:tc>
        <w:tc>
          <w:tcPr>
            <w:tcW w:w="223"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80"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7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24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8"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trHeight w:val="285" w:hRule="atLeast"/>
        </w:trPr>
        <w:tc>
          <w:tcPr>
            <w:tcW w:w="4998" w:type="pct"/>
            <w:gridSpan w:val="20"/>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老君台</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76"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241"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pH</w:t>
            </w:r>
          </w:p>
        </w:tc>
        <w:tc>
          <w:tcPr>
            <w:tcW w:w="28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氨氮</w:t>
            </w:r>
          </w:p>
        </w:tc>
        <w:tc>
          <w:tcPr>
            <w:tcW w:w="338" w:type="pct"/>
            <w:gridSpan w:val="2"/>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六价铬</w:t>
            </w:r>
          </w:p>
        </w:tc>
        <w:tc>
          <w:tcPr>
            <w:tcW w:w="23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F</w:t>
            </w:r>
            <w:r>
              <w:rPr>
                <w:rFonts w:ascii="宋体" w:hAnsi="宋体" w:eastAsia="宋体"/>
                <w:bCs/>
                <w:color w:val="000000"/>
                <w:kern w:val="0"/>
                <w:szCs w:val="21"/>
                <w:vertAlign w:val="superscript"/>
              </w:rPr>
              <w:t>-</w:t>
            </w:r>
          </w:p>
        </w:tc>
        <w:tc>
          <w:tcPr>
            <w:tcW w:w="38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挥发酚</w:t>
            </w:r>
          </w:p>
        </w:tc>
        <w:tc>
          <w:tcPr>
            <w:tcW w:w="337"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氰化物</w:t>
            </w:r>
          </w:p>
        </w:tc>
        <w:tc>
          <w:tcPr>
            <w:tcW w:w="22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耗氧量</w:t>
            </w:r>
          </w:p>
        </w:tc>
        <w:tc>
          <w:tcPr>
            <w:tcW w:w="234"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硝酸盐</w:t>
            </w:r>
          </w:p>
        </w:tc>
        <w:tc>
          <w:tcPr>
            <w:tcW w:w="22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氯化物</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菌落总数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铁</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汞</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砷</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铜</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铅</w:t>
            </w:r>
          </w:p>
        </w:tc>
        <w:tc>
          <w:tcPr>
            <w:tcW w:w="223"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锌</w:t>
            </w:r>
          </w:p>
        </w:tc>
        <w:tc>
          <w:tcPr>
            <w:tcW w:w="280" w:type="pct"/>
            <w:noWrap w:val="0"/>
            <w:vAlign w:val="center"/>
          </w:tcPr>
          <w:p>
            <w:pPr>
              <w:pStyle w:val="44"/>
              <w:spacing w:line="280" w:lineRule="exact"/>
              <w:rPr>
                <w:rFonts w:ascii="宋体" w:hAnsi="宋体" w:eastAsia="宋体"/>
                <w:bCs/>
                <w:color w:val="000000"/>
                <w:kern w:val="0"/>
                <w:szCs w:val="21"/>
              </w:rPr>
            </w:pPr>
          </w:p>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镉</w:t>
            </w:r>
          </w:p>
          <w:p>
            <w:pPr>
              <w:pStyle w:val="44"/>
              <w:spacing w:line="280" w:lineRule="exact"/>
              <w:rPr>
                <w:rFonts w:ascii="宋体" w:hAnsi="宋体" w:eastAsia="宋体"/>
                <w:bCs/>
                <w:color w:val="000000"/>
                <w:kern w:val="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76"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2.22</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7.21</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0.068</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0.12</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1.89</w:t>
            </w:r>
          </w:p>
        </w:tc>
        <w:tc>
          <w:tcPr>
            <w:tcW w:w="22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10.2</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91</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0.15</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0.001L</w:t>
            </w:r>
          </w:p>
        </w:tc>
        <w:tc>
          <w:tcPr>
            <w:tcW w:w="223"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w:t>
            </w:r>
          </w:p>
        </w:tc>
        <w:tc>
          <w:tcPr>
            <w:tcW w:w="280"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73"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2.23</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7.18</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0.062</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0.12</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0.5L</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1.90</w:t>
            </w:r>
          </w:p>
        </w:tc>
        <w:tc>
          <w:tcPr>
            <w:tcW w:w="229"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10.1</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94</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0.12</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0.01</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0.01L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0.001L</w:t>
            </w:r>
          </w:p>
        </w:tc>
        <w:tc>
          <w:tcPr>
            <w:tcW w:w="223"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w:t>
            </w:r>
          </w:p>
        </w:tc>
        <w:tc>
          <w:tcPr>
            <w:tcW w:w="280"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1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r>
              <w:rPr>
                <w:rFonts w:ascii="宋体" w:hAnsi="宋体" w:eastAsia="宋体"/>
                <w:color w:val="000000"/>
                <w:szCs w:val="21"/>
              </w:rPr>
              <w:t>mg/L</w:t>
            </w:r>
            <w:r>
              <w:rPr>
                <w:rFonts w:hint="eastAsia" w:ascii="宋体" w:hAnsi="宋体" w:eastAsia="宋体"/>
                <w:color w:val="000000"/>
                <w:szCs w:val="21"/>
              </w:rPr>
              <w:t>）</w:t>
            </w:r>
          </w:p>
        </w:tc>
        <w:tc>
          <w:tcPr>
            <w:tcW w:w="24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6.5~8.5</w:t>
            </w:r>
          </w:p>
        </w:tc>
        <w:tc>
          <w:tcPr>
            <w:tcW w:w="28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338"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3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w:t>
            </w:r>
          </w:p>
        </w:tc>
        <w:tc>
          <w:tcPr>
            <w:tcW w:w="33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2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2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w:t>
            </w:r>
          </w:p>
        </w:tc>
        <w:tc>
          <w:tcPr>
            <w:tcW w:w="22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0.3</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28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1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24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8"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trHeight w:val="313" w:hRule="atLeast"/>
        </w:trPr>
        <w:tc>
          <w:tcPr>
            <w:tcW w:w="4998" w:type="pct"/>
            <w:gridSpan w:val="20"/>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虾子湾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20"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241"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pH</w:t>
            </w:r>
          </w:p>
        </w:tc>
        <w:tc>
          <w:tcPr>
            <w:tcW w:w="28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氨氮</w:t>
            </w:r>
          </w:p>
        </w:tc>
        <w:tc>
          <w:tcPr>
            <w:tcW w:w="338" w:type="pct"/>
            <w:gridSpan w:val="2"/>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六价铬</w:t>
            </w:r>
          </w:p>
        </w:tc>
        <w:tc>
          <w:tcPr>
            <w:tcW w:w="23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F</w:t>
            </w:r>
            <w:r>
              <w:rPr>
                <w:rFonts w:ascii="宋体" w:hAnsi="宋体" w:eastAsia="宋体"/>
                <w:bCs/>
                <w:color w:val="000000"/>
                <w:kern w:val="0"/>
                <w:szCs w:val="21"/>
                <w:vertAlign w:val="superscript"/>
              </w:rPr>
              <w:t>-</w:t>
            </w:r>
          </w:p>
        </w:tc>
        <w:tc>
          <w:tcPr>
            <w:tcW w:w="38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挥发酚</w:t>
            </w:r>
          </w:p>
        </w:tc>
        <w:tc>
          <w:tcPr>
            <w:tcW w:w="337" w:type="pct"/>
            <w:noWrap w:val="0"/>
            <w:vAlign w:val="center"/>
          </w:tcPr>
          <w:p>
            <w:pPr>
              <w:pStyle w:val="44"/>
              <w:spacing w:line="280" w:lineRule="exact"/>
              <w:rPr>
                <w:rFonts w:ascii="宋体" w:hAnsi="宋体" w:eastAsia="宋体"/>
                <w:bCs/>
                <w:color w:val="000000"/>
                <w:kern w:val="0"/>
                <w:szCs w:val="21"/>
              </w:rPr>
            </w:pPr>
          </w:p>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氰化物</w:t>
            </w:r>
          </w:p>
          <w:p>
            <w:pPr>
              <w:pStyle w:val="44"/>
              <w:spacing w:line="280" w:lineRule="exact"/>
              <w:rPr>
                <w:rFonts w:ascii="宋体" w:hAnsi="宋体" w:eastAsia="宋体"/>
                <w:bCs/>
                <w:color w:val="000000"/>
                <w:kern w:val="0"/>
                <w:szCs w:val="21"/>
              </w:rPr>
            </w:pPr>
          </w:p>
        </w:tc>
        <w:tc>
          <w:tcPr>
            <w:tcW w:w="22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耗氧量</w:t>
            </w:r>
          </w:p>
        </w:tc>
        <w:tc>
          <w:tcPr>
            <w:tcW w:w="234"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硝酸盐</w:t>
            </w:r>
          </w:p>
        </w:tc>
        <w:tc>
          <w:tcPr>
            <w:tcW w:w="22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氯化物</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菌落总数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铁</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汞</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砷</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铜</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铅</w:t>
            </w:r>
          </w:p>
        </w:tc>
        <w:tc>
          <w:tcPr>
            <w:tcW w:w="223"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锌</w:t>
            </w:r>
          </w:p>
        </w:tc>
        <w:tc>
          <w:tcPr>
            <w:tcW w:w="280" w:type="pct"/>
            <w:noWrap w:val="0"/>
            <w:vAlign w:val="center"/>
          </w:tcPr>
          <w:p>
            <w:pPr>
              <w:pStyle w:val="44"/>
              <w:spacing w:line="280" w:lineRule="exact"/>
              <w:rPr>
                <w:rFonts w:ascii="宋体" w:hAnsi="宋体" w:eastAsia="宋体"/>
                <w:bCs/>
                <w:color w:val="000000"/>
                <w:kern w:val="0"/>
                <w:szCs w:val="21"/>
              </w:rPr>
            </w:pPr>
          </w:p>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镉</w:t>
            </w:r>
          </w:p>
          <w:p>
            <w:pPr>
              <w:pStyle w:val="44"/>
              <w:spacing w:line="280" w:lineRule="exact"/>
              <w:rPr>
                <w:rFonts w:ascii="宋体" w:hAnsi="宋体" w:eastAsia="宋体"/>
                <w:bCs/>
                <w:color w:val="000000"/>
                <w:kern w:val="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20"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2.22</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7.00</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0.064</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0.08</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0.92</w:t>
            </w:r>
          </w:p>
        </w:tc>
        <w:tc>
          <w:tcPr>
            <w:tcW w:w="22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10.0L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31</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0.30</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0.07</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0.001L</w:t>
            </w:r>
          </w:p>
        </w:tc>
        <w:tc>
          <w:tcPr>
            <w:tcW w:w="223"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0.12</w:t>
            </w:r>
          </w:p>
        </w:tc>
        <w:tc>
          <w:tcPr>
            <w:tcW w:w="280"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73"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2.23</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6.89</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0.062</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0.07</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0.97</w:t>
            </w:r>
          </w:p>
        </w:tc>
        <w:tc>
          <w:tcPr>
            <w:tcW w:w="229"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10.0L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40</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0.29</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0.06</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0.01L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0.001L</w:t>
            </w:r>
          </w:p>
        </w:tc>
        <w:tc>
          <w:tcPr>
            <w:tcW w:w="223"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0.07</w:t>
            </w:r>
          </w:p>
        </w:tc>
        <w:tc>
          <w:tcPr>
            <w:tcW w:w="280"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5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r>
              <w:rPr>
                <w:rFonts w:ascii="宋体" w:hAnsi="宋体" w:eastAsia="宋体"/>
                <w:color w:val="000000"/>
                <w:szCs w:val="21"/>
              </w:rPr>
              <w:t>mg/L</w:t>
            </w:r>
            <w:r>
              <w:rPr>
                <w:rFonts w:hint="eastAsia" w:ascii="宋体" w:hAnsi="宋体" w:eastAsia="宋体"/>
                <w:color w:val="000000"/>
                <w:szCs w:val="21"/>
              </w:rPr>
              <w:t>）</w:t>
            </w:r>
          </w:p>
        </w:tc>
        <w:tc>
          <w:tcPr>
            <w:tcW w:w="24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6.5~8.5</w:t>
            </w:r>
          </w:p>
        </w:tc>
        <w:tc>
          <w:tcPr>
            <w:tcW w:w="28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338"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3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w:t>
            </w:r>
          </w:p>
        </w:tc>
        <w:tc>
          <w:tcPr>
            <w:tcW w:w="33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2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2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w:t>
            </w:r>
          </w:p>
        </w:tc>
        <w:tc>
          <w:tcPr>
            <w:tcW w:w="22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0.3</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28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598"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24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8"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trHeight w:val="353" w:hRule="atLeast"/>
        </w:trPr>
        <w:tc>
          <w:tcPr>
            <w:tcW w:w="4998" w:type="pct"/>
            <w:gridSpan w:val="20"/>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摩落黑村</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5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项目</w:t>
            </w:r>
          </w:p>
          <w:p>
            <w:pPr>
              <w:pStyle w:val="44"/>
              <w:spacing w:line="280" w:lineRule="exact"/>
              <w:rPr>
                <w:rFonts w:ascii="宋体" w:hAnsi="宋体" w:eastAsia="宋体"/>
                <w:color w:val="000000"/>
                <w:szCs w:val="21"/>
              </w:rPr>
            </w:pPr>
            <w:r>
              <w:rPr>
                <w:rFonts w:hint="eastAsia" w:ascii="宋体" w:hAnsi="宋体" w:eastAsia="宋体"/>
                <w:color w:val="000000"/>
                <w:szCs w:val="21"/>
              </w:rPr>
              <w:t>日期</w:t>
            </w:r>
          </w:p>
        </w:tc>
        <w:tc>
          <w:tcPr>
            <w:tcW w:w="241"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pH</w:t>
            </w:r>
          </w:p>
        </w:tc>
        <w:tc>
          <w:tcPr>
            <w:tcW w:w="28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氨氮</w:t>
            </w:r>
          </w:p>
        </w:tc>
        <w:tc>
          <w:tcPr>
            <w:tcW w:w="338" w:type="pct"/>
            <w:gridSpan w:val="2"/>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六价铬</w:t>
            </w:r>
          </w:p>
        </w:tc>
        <w:tc>
          <w:tcPr>
            <w:tcW w:w="23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F</w:t>
            </w:r>
            <w:r>
              <w:rPr>
                <w:rFonts w:ascii="宋体" w:hAnsi="宋体" w:eastAsia="宋体"/>
                <w:bCs/>
                <w:color w:val="000000"/>
                <w:kern w:val="0"/>
                <w:szCs w:val="21"/>
                <w:vertAlign w:val="superscript"/>
              </w:rPr>
              <w:t>-</w:t>
            </w:r>
          </w:p>
        </w:tc>
        <w:tc>
          <w:tcPr>
            <w:tcW w:w="38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挥发酚</w:t>
            </w:r>
          </w:p>
        </w:tc>
        <w:tc>
          <w:tcPr>
            <w:tcW w:w="337"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氰化物</w:t>
            </w:r>
          </w:p>
        </w:tc>
        <w:tc>
          <w:tcPr>
            <w:tcW w:w="225"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耗氧量</w:t>
            </w:r>
          </w:p>
        </w:tc>
        <w:tc>
          <w:tcPr>
            <w:tcW w:w="234"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硝酸盐</w:t>
            </w:r>
          </w:p>
        </w:tc>
        <w:tc>
          <w:tcPr>
            <w:tcW w:w="229"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氯化物</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菌落总数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铁</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锰</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汞</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砷</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铜</w:t>
            </w:r>
          </w:p>
        </w:tc>
        <w:tc>
          <w:tcPr>
            <w:tcW w:w="228"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铅</w:t>
            </w:r>
          </w:p>
        </w:tc>
        <w:tc>
          <w:tcPr>
            <w:tcW w:w="223"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锌</w:t>
            </w:r>
          </w:p>
        </w:tc>
        <w:tc>
          <w:tcPr>
            <w:tcW w:w="280" w:type="pct"/>
            <w:noWrap w:val="0"/>
            <w:vAlign w:val="center"/>
          </w:tcPr>
          <w:p>
            <w:pPr>
              <w:pStyle w:val="44"/>
              <w:spacing w:line="280" w:lineRule="exact"/>
              <w:rPr>
                <w:rFonts w:ascii="宋体" w:hAnsi="宋体" w:eastAsia="宋体"/>
                <w:bCs/>
                <w:color w:val="000000"/>
                <w:kern w:val="0"/>
                <w:szCs w:val="21"/>
              </w:rPr>
            </w:pPr>
            <w:r>
              <w:rPr>
                <w:rFonts w:hint="eastAsia" w:ascii="宋体" w:hAnsi="宋体" w:eastAsia="宋体"/>
                <w:bCs/>
                <w:color w:val="000000"/>
                <w:kern w:val="0"/>
                <w:szCs w:val="21"/>
              </w:rPr>
              <w:t>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53"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2.22</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7.41</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0.056</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0.07</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0.5L</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1.53</w:t>
            </w:r>
          </w:p>
        </w:tc>
        <w:tc>
          <w:tcPr>
            <w:tcW w:w="22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10.0L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51</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0.24</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0.02</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0.01L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0.2L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2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0.001L</w:t>
            </w:r>
          </w:p>
        </w:tc>
        <w:tc>
          <w:tcPr>
            <w:tcW w:w="223"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0.05L</w:t>
            </w:r>
          </w:p>
        </w:tc>
        <w:tc>
          <w:tcPr>
            <w:tcW w:w="280"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53" w:hRule="atLeast"/>
        </w:trPr>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2.23</w:t>
            </w:r>
          </w:p>
        </w:tc>
        <w:tc>
          <w:tcPr>
            <w:tcW w:w="241"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7.44</w:t>
            </w:r>
          </w:p>
        </w:tc>
        <w:tc>
          <w:tcPr>
            <w:tcW w:w="289"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0.055</w:t>
            </w:r>
          </w:p>
        </w:tc>
        <w:tc>
          <w:tcPr>
            <w:tcW w:w="338" w:type="pct"/>
            <w:gridSpan w:val="2"/>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38"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0.07</w:t>
            </w:r>
          </w:p>
        </w:tc>
        <w:tc>
          <w:tcPr>
            <w:tcW w:w="38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0.0003L</w:t>
            </w:r>
          </w:p>
        </w:tc>
        <w:tc>
          <w:tcPr>
            <w:tcW w:w="337"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0.004L</w:t>
            </w:r>
          </w:p>
        </w:tc>
        <w:tc>
          <w:tcPr>
            <w:tcW w:w="225"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0.5L</w:t>
            </w:r>
          </w:p>
        </w:tc>
        <w:tc>
          <w:tcPr>
            <w:tcW w:w="234" w:type="pct"/>
            <w:noWrap w:val="0"/>
            <w:vAlign w:val="center"/>
          </w:tcPr>
          <w:p>
            <w:pPr>
              <w:pStyle w:val="44"/>
              <w:spacing w:line="280" w:lineRule="exact"/>
              <w:rPr>
                <w:rFonts w:ascii="宋体" w:hAnsi="宋体" w:eastAsia="宋体"/>
                <w:iCs/>
                <w:color w:val="000000"/>
                <w:kern w:val="0"/>
                <w:szCs w:val="21"/>
              </w:rPr>
            </w:pPr>
            <w:r>
              <w:rPr>
                <w:rFonts w:ascii="宋体" w:hAnsi="宋体" w:eastAsia="宋体"/>
                <w:iCs/>
                <w:color w:val="000000"/>
                <w:kern w:val="0"/>
                <w:szCs w:val="21"/>
              </w:rPr>
              <w:t>1.60</w:t>
            </w:r>
          </w:p>
        </w:tc>
        <w:tc>
          <w:tcPr>
            <w:tcW w:w="229"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10.0L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56</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0.19</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0.02</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0.01L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0.2L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28"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0.001L</w:t>
            </w:r>
          </w:p>
        </w:tc>
        <w:tc>
          <w:tcPr>
            <w:tcW w:w="223"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0.05L</w:t>
            </w:r>
          </w:p>
        </w:tc>
        <w:tc>
          <w:tcPr>
            <w:tcW w:w="280" w:type="pct"/>
            <w:noWrap w:val="0"/>
            <w:vAlign w:val="center"/>
          </w:tcPr>
          <w:p>
            <w:pPr>
              <w:pStyle w:val="44"/>
              <w:spacing w:line="280" w:lineRule="exact"/>
              <w:rPr>
                <w:rFonts w:ascii="宋体" w:hAnsi="宋体" w:eastAsia="宋体"/>
                <w:bCs/>
                <w:color w:val="000000"/>
                <w:kern w:val="0"/>
                <w:szCs w:val="21"/>
              </w:rPr>
            </w:pPr>
            <w:r>
              <w:rPr>
                <w:rFonts w:ascii="宋体" w:hAnsi="宋体" w:eastAsia="宋体"/>
                <w:bCs/>
                <w:color w:val="000000"/>
                <w:kern w:val="0"/>
                <w:szCs w:val="21"/>
              </w:rPr>
              <w:t>0.0001L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5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标准限值（</w:t>
            </w:r>
            <w:r>
              <w:rPr>
                <w:rFonts w:ascii="宋体" w:hAnsi="宋体" w:eastAsia="宋体"/>
                <w:color w:val="000000"/>
                <w:szCs w:val="21"/>
              </w:rPr>
              <w:t>mg/L</w:t>
            </w:r>
            <w:r>
              <w:rPr>
                <w:rFonts w:hint="eastAsia" w:ascii="宋体" w:hAnsi="宋体" w:eastAsia="宋体"/>
                <w:color w:val="000000"/>
                <w:szCs w:val="21"/>
              </w:rPr>
              <w:t>）</w:t>
            </w:r>
          </w:p>
        </w:tc>
        <w:tc>
          <w:tcPr>
            <w:tcW w:w="24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6.5~8.5</w:t>
            </w:r>
          </w:p>
        </w:tc>
        <w:tc>
          <w:tcPr>
            <w:tcW w:w="28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338"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3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38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w:t>
            </w:r>
          </w:p>
        </w:tc>
        <w:tc>
          <w:tcPr>
            <w:tcW w:w="337"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w:t>
            </w:r>
          </w:p>
        </w:tc>
        <w:tc>
          <w:tcPr>
            <w:tcW w:w="22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2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w:t>
            </w:r>
          </w:p>
        </w:tc>
        <w:tc>
          <w:tcPr>
            <w:tcW w:w="229"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0.3</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228"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w:t>
            </w:r>
          </w:p>
        </w:tc>
        <w:tc>
          <w:tcPr>
            <w:tcW w:w="22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28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353" w:hRule="atLeast"/>
        </w:trPr>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24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8"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8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337"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5"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3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9"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2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28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bl>
    <w:p>
      <w:pPr>
        <w:spacing w:line="280" w:lineRule="exact"/>
        <w:jc w:val="left"/>
        <w:rPr>
          <w:color w:val="000000"/>
        </w:rPr>
      </w:pPr>
      <w:r>
        <w:rPr>
          <w:rFonts w:hint="eastAsia"/>
          <w:color w:val="000000"/>
        </w:rPr>
        <w:t>备注：表格中</w:t>
      </w:r>
      <w:r>
        <w:rPr>
          <w:color w:val="000000"/>
        </w:rPr>
        <w:t>“</w:t>
      </w:r>
      <w:r>
        <w:rPr>
          <w:rFonts w:hint="eastAsia"/>
          <w:color w:val="000000"/>
        </w:rPr>
        <w:t>数字</w:t>
      </w:r>
      <w:r>
        <w:rPr>
          <w:color w:val="000000"/>
        </w:rPr>
        <w:t>+L”</w:t>
      </w:r>
      <w:r>
        <w:rPr>
          <w:rFonts w:hint="eastAsia"/>
          <w:color w:val="000000"/>
        </w:rPr>
        <w:t>的检测结果，均表示小于相应测定方法的检出限，数字即为该测定方法的检出限。</w:t>
      </w:r>
    </w:p>
    <w:p>
      <w:pPr>
        <w:spacing w:line="360" w:lineRule="auto"/>
        <w:ind w:firstLine="480" w:firstLineChars="200"/>
        <w:rPr>
          <w:rFonts w:ascii="宋体" w:hAnsi="宋体"/>
          <w:color w:val="000000"/>
          <w:kern w:val="0"/>
          <w:sz w:val="24"/>
          <w:szCs w:val="24"/>
        </w:rPr>
        <w:sectPr>
          <w:pgSz w:w="16838" w:h="11906" w:orient="landscape"/>
          <w:pgMar w:top="1418" w:right="1418" w:bottom="1134" w:left="1134" w:header="720" w:footer="720" w:gutter="0"/>
          <w:cols w:space="720" w:num="1"/>
          <w:titlePg/>
        </w:sectPr>
      </w:pPr>
    </w:p>
    <w:p>
      <w:pPr>
        <w:spacing w:line="360" w:lineRule="auto"/>
        <w:ind w:firstLine="482"/>
        <w:rPr>
          <w:rFonts w:ascii="宋体" w:hAnsi="宋体"/>
          <w:color w:val="000000"/>
          <w:sz w:val="24"/>
          <w:szCs w:val="24"/>
        </w:rPr>
      </w:pPr>
      <w:r>
        <w:rPr>
          <w:rFonts w:hint="eastAsia" w:ascii="宋体" w:hAnsi="宋体"/>
          <w:color w:val="000000"/>
          <w:sz w:val="24"/>
          <w:szCs w:val="24"/>
        </w:rPr>
        <w:t>根据上述监测结果可知，各个监测断面地下水水质均满足《地下水质量标准》（</w:t>
      </w:r>
      <w:r>
        <w:rPr>
          <w:rFonts w:ascii="宋体" w:hAnsi="宋体"/>
          <w:color w:val="000000"/>
          <w:sz w:val="24"/>
          <w:szCs w:val="24"/>
        </w:rPr>
        <w:t>GB/T14848-2017</w:t>
      </w:r>
      <w:r>
        <w:rPr>
          <w:rFonts w:hint="eastAsia" w:ascii="宋体" w:hAnsi="宋体"/>
          <w:color w:val="000000"/>
          <w:sz w:val="24"/>
          <w:szCs w:val="24"/>
        </w:rPr>
        <w:t>）中Ⅲ类标准相关限值要求，因此，项目区域地下水水质均能满足《地下水质量标准》（</w:t>
      </w:r>
      <w:r>
        <w:rPr>
          <w:rFonts w:ascii="宋体" w:hAnsi="宋体"/>
          <w:color w:val="000000"/>
          <w:sz w:val="24"/>
          <w:szCs w:val="24"/>
        </w:rPr>
        <w:t>GB/T14848-2017</w:t>
      </w:r>
      <w:r>
        <w:rPr>
          <w:rFonts w:hint="eastAsia" w:ascii="宋体" w:hAnsi="宋体"/>
          <w:color w:val="000000"/>
          <w:sz w:val="24"/>
          <w:szCs w:val="24"/>
        </w:rPr>
        <w:t>）中Ⅲ类标准。</w:t>
      </w:r>
    </w:p>
    <w:p>
      <w:pPr>
        <w:spacing w:line="360" w:lineRule="auto"/>
        <w:ind w:firstLine="482"/>
        <w:rPr>
          <w:rFonts w:ascii="宋体" w:hAnsi="宋体"/>
          <w:color w:val="000000"/>
          <w:sz w:val="24"/>
          <w:szCs w:val="24"/>
        </w:rPr>
      </w:pPr>
      <w:r>
        <w:rPr>
          <w:rFonts w:hint="eastAsia" w:ascii="宋体" w:hAnsi="宋体"/>
          <w:color w:val="000000"/>
          <w:sz w:val="24"/>
          <w:szCs w:val="24"/>
        </w:rPr>
        <w:t>（6）河流底泥</w:t>
      </w:r>
    </w:p>
    <w:p>
      <w:pPr>
        <w:spacing w:line="360" w:lineRule="auto"/>
        <w:ind w:firstLine="482"/>
        <w:rPr>
          <w:rFonts w:ascii="宋体" w:hAnsi="宋体"/>
          <w:color w:val="000000"/>
          <w:sz w:val="24"/>
          <w:szCs w:val="24"/>
        </w:rPr>
      </w:pPr>
      <w:r>
        <w:rPr>
          <w:rFonts w:hint="eastAsia" w:ascii="宋体" w:hAnsi="宋体"/>
          <w:color w:val="000000"/>
          <w:sz w:val="24"/>
          <w:szCs w:val="24"/>
        </w:rPr>
        <w:t>昆明京诚检测技术有限公司于</w:t>
      </w:r>
      <w:r>
        <w:rPr>
          <w:rFonts w:ascii="宋体" w:hAnsi="宋体"/>
          <w:color w:val="000000"/>
          <w:sz w:val="24"/>
          <w:szCs w:val="24"/>
        </w:rPr>
        <w:t>2019</w:t>
      </w:r>
      <w:r>
        <w:rPr>
          <w:rFonts w:hint="eastAsia" w:ascii="宋体" w:hAnsi="宋体"/>
          <w:color w:val="000000"/>
          <w:sz w:val="24"/>
          <w:szCs w:val="24"/>
        </w:rPr>
        <w:t>年</w:t>
      </w:r>
      <w:r>
        <w:rPr>
          <w:rFonts w:ascii="宋体" w:hAnsi="宋体"/>
          <w:color w:val="000000"/>
          <w:sz w:val="24"/>
          <w:szCs w:val="24"/>
        </w:rPr>
        <w:t>2</w:t>
      </w:r>
      <w:r>
        <w:rPr>
          <w:rFonts w:hint="eastAsia" w:ascii="宋体" w:hAnsi="宋体"/>
          <w:color w:val="000000"/>
          <w:sz w:val="24"/>
          <w:szCs w:val="24"/>
        </w:rPr>
        <w:t>月</w:t>
      </w:r>
      <w:r>
        <w:rPr>
          <w:rFonts w:ascii="宋体" w:hAnsi="宋体"/>
          <w:color w:val="000000"/>
          <w:sz w:val="24"/>
          <w:szCs w:val="24"/>
        </w:rPr>
        <w:t>22</w:t>
      </w:r>
      <w:r>
        <w:rPr>
          <w:rFonts w:hint="eastAsia" w:ascii="宋体" w:hAnsi="宋体"/>
          <w:color w:val="000000"/>
          <w:sz w:val="24"/>
          <w:szCs w:val="24"/>
        </w:rPr>
        <w:t>日对项目区域河流底泥进行现状监测。</w:t>
      </w:r>
    </w:p>
    <w:p>
      <w:pPr>
        <w:spacing w:line="360" w:lineRule="auto"/>
        <w:ind w:firstLine="482"/>
        <w:rPr>
          <w:rFonts w:ascii="宋体" w:hAnsi="宋体"/>
          <w:color w:val="000000"/>
          <w:sz w:val="24"/>
          <w:szCs w:val="24"/>
        </w:rPr>
      </w:pPr>
      <w:r>
        <w:rPr>
          <w:rFonts w:hint="eastAsia" w:ascii="宋体" w:hAnsi="宋体"/>
          <w:color w:val="000000"/>
          <w:sz w:val="24"/>
          <w:szCs w:val="24"/>
        </w:rPr>
        <w:t>①监测断面布设</w:t>
      </w:r>
    </w:p>
    <w:p>
      <w:pPr>
        <w:spacing w:line="360" w:lineRule="auto"/>
        <w:ind w:firstLine="482"/>
        <w:rPr>
          <w:rFonts w:ascii="宋体" w:hAnsi="宋体"/>
          <w:color w:val="000000"/>
          <w:sz w:val="24"/>
          <w:szCs w:val="24"/>
        </w:rPr>
      </w:pPr>
      <w:r>
        <w:rPr>
          <w:rFonts w:hint="eastAsia" w:ascii="宋体" w:hAnsi="宋体"/>
          <w:color w:val="000000"/>
          <w:sz w:val="24"/>
          <w:szCs w:val="24"/>
        </w:rPr>
        <w:t>监测共布设两个断面，分别为项目区域块泽河上游</w:t>
      </w:r>
      <w:r>
        <w:rPr>
          <w:rFonts w:ascii="宋体" w:hAnsi="宋体"/>
          <w:color w:val="000000"/>
          <w:sz w:val="24"/>
          <w:szCs w:val="24"/>
        </w:rPr>
        <w:t>500m</w:t>
      </w:r>
      <w:r>
        <w:rPr>
          <w:rFonts w:hint="eastAsia" w:ascii="宋体" w:hAnsi="宋体"/>
          <w:color w:val="000000"/>
          <w:sz w:val="24"/>
          <w:szCs w:val="24"/>
        </w:rPr>
        <w:t>处（</w:t>
      </w:r>
      <w:r>
        <w:rPr>
          <w:rFonts w:ascii="宋体" w:hAnsi="宋体"/>
          <w:color w:val="000000"/>
          <w:sz w:val="24"/>
          <w:szCs w:val="24"/>
        </w:rPr>
        <w:t>1#</w:t>
      </w:r>
      <w:r>
        <w:rPr>
          <w:rFonts w:hint="eastAsia" w:ascii="宋体" w:hAnsi="宋体"/>
          <w:color w:val="000000"/>
          <w:sz w:val="24"/>
          <w:szCs w:val="24"/>
        </w:rPr>
        <w:t>）和块泽河下游</w:t>
      </w:r>
      <w:r>
        <w:rPr>
          <w:rFonts w:ascii="宋体" w:hAnsi="宋体"/>
          <w:color w:val="000000"/>
          <w:sz w:val="24"/>
          <w:szCs w:val="24"/>
        </w:rPr>
        <w:t>1000m</w:t>
      </w:r>
      <w:r>
        <w:rPr>
          <w:rFonts w:hint="eastAsia" w:ascii="宋体" w:hAnsi="宋体"/>
          <w:color w:val="000000"/>
          <w:sz w:val="24"/>
          <w:szCs w:val="24"/>
        </w:rPr>
        <w:t>处；</w:t>
      </w:r>
    </w:p>
    <w:p>
      <w:pPr>
        <w:spacing w:line="360" w:lineRule="auto"/>
        <w:ind w:firstLine="482"/>
        <w:rPr>
          <w:rFonts w:ascii="宋体" w:hAnsi="宋体"/>
          <w:color w:val="000000"/>
          <w:sz w:val="24"/>
          <w:szCs w:val="24"/>
        </w:rPr>
      </w:pPr>
      <w:r>
        <w:rPr>
          <w:rFonts w:hint="eastAsia" w:ascii="宋体" w:hAnsi="宋体"/>
          <w:color w:val="000000"/>
          <w:sz w:val="24"/>
          <w:szCs w:val="24"/>
        </w:rPr>
        <w:t>②监测项目</w:t>
      </w:r>
    </w:p>
    <w:p>
      <w:pPr>
        <w:spacing w:line="360" w:lineRule="auto"/>
        <w:ind w:firstLine="482"/>
        <w:rPr>
          <w:rFonts w:ascii="宋体" w:hAnsi="宋体"/>
          <w:color w:val="000000"/>
          <w:sz w:val="24"/>
          <w:szCs w:val="24"/>
        </w:rPr>
      </w:pPr>
      <w:r>
        <w:rPr>
          <w:rFonts w:hint="eastAsia" w:ascii="宋体" w:hAnsi="宋体"/>
          <w:color w:val="000000"/>
          <w:sz w:val="24"/>
          <w:szCs w:val="24"/>
        </w:rPr>
        <w:t>结合项目特点，选取监测因子为</w:t>
      </w:r>
      <w:r>
        <w:rPr>
          <w:rFonts w:ascii="宋体" w:hAnsi="宋体"/>
          <w:color w:val="000000"/>
          <w:sz w:val="24"/>
          <w:szCs w:val="24"/>
        </w:rPr>
        <w:t>PH</w:t>
      </w:r>
      <w:r>
        <w:rPr>
          <w:rFonts w:hint="eastAsia" w:ascii="宋体" w:hAnsi="宋体"/>
          <w:color w:val="000000"/>
          <w:sz w:val="24"/>
          <w:szCs w:val="24"/>
        </w:rPr>
        <w:t>、</w:t>
      </w:r>
      <w:r>
        <w:rPr>
          <w:rFonts w:ascii="宋体" w:hAnsi="宋体"/>
          <w:color w:val="000000"/>
          <w:sz w:val="24"/>
          <w:szCs w:val="24"/>
        </w:rPr>
        <w:t>Pb</w:t>
      </w:r>
      <w:r>
        <w:rPr>
          <w:rFonts w:hint="eastAsia" w:ascii="宋体" w:hAnsi="宋体"/>
          <w:color w:val="000000"/>
          <w:sz w:val="24"/>
          <w:szCs w:val="24"/>
        </w:rPr>
        <w:t>、</w:t>
      </w:r>
      <w:r>
        <w:rPr>
          <w:rFonts w:ascii="宋体" w:hAnsi="宋体"/>
          <w:color w:val="000000"/>
          <w:sz w:val="24"/>
          <w:szCs w:val="24"/>
        </w:rPr>
        <w:t>Zn</w:t>
      </w:r>
      <w:r>
        <w:rPr>
          <w:rFonts w:hint="eastAsia" w:ascii="宋体" w:hAnsi="宋体"/>
          <w:color w:val="000000"/>
          <w:sz w:val="24"/>
          <w:szCs w:val="24"/>
        </w:rPr>
        <w:t>、</w:t>
      </w:r>
      <w:r>
        <w:rPr>
          <w:rFonts w:ascii="宋体" w:hAnsi="宋体"/>
          <w:color w:val="000000"/>
          <w:sz w:val="24"/>
          <w:szCs w:val="24"/>
        </w:rPr>
        <w:t>Cd</w:t>
      </w:r>
      <w:r>
        <w:rPr>
          <w:rFonts w:hint="eastAsia" w:ascii="宋体" w:hAnsi="宋体"/>
          <w:color w:val="000000"/>
          <w:sz w:val="24"/>
          <w:szCs w:val="24"/>
        </w:rPr>
        <w:t>、</w:t>
      </w:r>
      <w:r>
        <w:rPr>
          <w:rFonts w:ascii="宋体" w:hAnsi="宋体"/>
          <w:color w:val="000000"/>
          <w:sz w:val="24"/>
          <w:szCs w:val="24"/>
        </w:rPr>
        <w:t>Cu</w:t>
      </w:r>
      <w:r>
        <w:rPr>
          <w:rFonts w:hint="eastAsia" w:ascii="宋体" w:hAnsi="宋体"/>
          <w:color w:val="000000"/>
          <w:sz w:val="24"/>
          <w:szCs w:val="24"/>
        </w:rPr>
        <w:t>、</w:t>
      </w:r>
      <w:r>
        <w:rPr>
          <w:rFonts w:ascii="宋体" w:hAnsi="宋体"/>
          <w:color w:val="000000"/>
          <w:sz w:val="24"/>
          <w:szCs w:val="24"/>
        </w:rPr>
        <w:t>As</w:t>
      </w:r>
      <w:r>
        <w:rPr>
          <w:rFonts w:hint="eastAsia" w:ascii="宋体" w:hAnsi="宋体"/>
          <w:color w:val="000000"/>
          <w:sz w:val="24"/>
          <w:szCs w:val="24"/>
        </w:rPr>
        <w:t>、总铬、</w:t>
      </w:r>
      <w:r>
        <w:rPr>
          <w:rFonts w:ascii="宋体" w:hAnsi="宋体"/>
          <w:color w:val="000000"/>
          <w:sz w:val="24"/>
          <w:szCs w:val="24"/>
        </w:rPr>
        <w:t>Hg</w:t>
      </w:r>
      <w:r>
        <w:rPr>
          <w:rFonts w:hint="eastAsia" w:ascii="宋体" w:hAnsi="宋体"/>
          <w:color w:val="000000"/>
          <w:sz w:val="24"/>
          <w:szCs w:val="24"/>
        </w:rPr>
        <w:t>为监测因子；</w:t>
      </w:r>
    </w:p>
    <w:p>
      <w:pPr>
        <w:spacing w:line="360" w:lineRule="auto"/>
        <w:ind w:firstLine="482"/>
        <w:rPr>
          <w:rFonts w:ascii="宋体" w:hAnsi="宋体"/>
          <w:color w:val="000000"/>
          <w:sz w:val="24"/>
          <w:szCs w:val="24"/>
        </w:rPr>
      </w:pPr>
      <w:r>
        <w:rPr>
          <w:rFonts w:hint="eastAsia" w:ascii="宋体" w:hAnsi="宋体"/>
          <w:color w:val="000000"/>
          <w:sz w:val="24"/>
          <w:szCs w:val="24"/>
        </w:rPr>
        <w:t>③监测时间与频次</w:t>
      </w:r>
    </w:p>
    <w:p>
      <w:pPr>
        <w:spacing w:line="360" w:lineRule="auto"/>
        <w:ind w:firstLine="482"/>
        <w:rPr>
          <w:rFonts w:ascii="宋体" w:hAnsi="宋体"/>
          <w:color w:val="000000"/>
          <w:sz w:val="24"/>
          <w:szCs w:val="24"/>
        </w:rPr>
      </w:pPr>
      <w:r>
        <w:rPr>
          <w:rFonts w:hint="eastAsia" w:ascii="宋体" w:hAnsi="宋体"/>
          <w:color w:val="000000"/>
          <w:sz w:val="24"/>
          <w:szCs w:val="24"/>
        </w:rPr>
        <w:t>监测</w:t>
      </w:r>
      <w:r>
        <w:rPr>
          <w:rFonts w:ascii="宋体" w:hAnsi="宋体"/>
          <w:color w:val="000000"/>
          <w:sz w:val="24"/>
          <w:szCs w:val="24"/>
        </w:rPr>
        <w:t>1</w:t>
      </w:r>
      <w:r>
        <w:rPr>
          <w:rFonts w:hint="eastAsia" w:ascii="宋体" w:hAnsi="宋体"/>
          <w:color w:val="000000"/>
          <w:sz w:val="24"/>
          <w:szCs w:val="24"/>
        </w:rPr>
        <w:t>天，取样</w:t>
      </w:r>
      <w:r>
        <w:rPr>
          <w:rFonts w:ascii="宋体" w:hAnsi="宋体"/>
          <w:color w:val="000000"/>
          <w:sz w:val="24"/>
          <w:szCs w:val="24"/>
        </w:rPr>
        <w:t>1</w:t>
      </w:r>
      <w:r>
        <w:rPr>
          <w:rFonts w:hint="eastAsia" w:ascii="宋体" w:hAnsi="宋体"/>
          <w:color w:val="000000"/>
          <w:sz w:val="24"/>
          <w:szCs w:val="24"/>
        </w:rPr>
        <w:t>次；</w:t>
      </w:r>
    </w:p>
    <w:p>
      <w:pPr>
        <w:spacing w:line="360" w:lineRule="auto"/>
        <w:ind w:firstLine="482"/>
        <w:rPr>
          <w:rFonts w:ascii="宋体" w:hAnsi="宋体"/>
          <w:color w:val="000000"/>
          <w:sz w:val="24"/>
          <w:szCs w:val="24"/>
        </w:rPr>
      </w:pPr>
      <w:r>
        <w:rPr>
          <w:rFonts w:hint="eastAsia" w:ascii="宋体" w:hAnsi="宋体"/>
          <w:color w:val="000000"/>
          <w:sz w:val="24"/>
          <w:szCs w:val="24"/>
        </w:rPr>
        <w:t>④监测方法</w:t>
      </w:r>
    </w:p>
    <w:p>
      <w:pPr>
        <w:spacing w:line="360" w:lineRule="auto"/>
        <w:ind w:firstLine="482"/>
        <w:rPr>
          <w:rFonts w:ascii="宋体" w:hAnsi="宋体"/>
          <w:color w:val="000000"/>
          <w:sz w:val="24"/>
          <w:szCs w:val="24"/>
        </w:rPr>
      </w:pPr>
      <w:r>
        <w:rPr>
          <w:rFonts w:hint="eastAsia" w:ascii="宋体" w:hAnsi="宋体"/>
          <w:color w:val="000000"/>
          <w:sz w:val="24"/>
          <w:szCs w:val="24"/>
        </w:rPr>
        <w:t>按《环境监测技术规范》及相关技术规范执行；</w:t>
      </w:r>
    </w:p>
    <w:p>
      <w:pPr>
        <w:spacing w:line="360" w:lineRule="auto"/>
        <w:ind w:firstLine="482"/>
        <w:rPr>
          <w:rFonts w:ascii="宋体" w:hAnsi="宋体"/>
          <w:color w:val="000000"/>
          <w:sz w:val="24"/>
          <w:szCs w:val="24"/>
        </w:rPr>
      </w:pPr>
      <w:r>
        <w:rPr>
          <w:rFonts w:hint="eastAsia" w:ascii="宋体" w:hAnsi="宋体"/>
          <w:color w:val="000000"/>
          <w:sz w:val="24"/>
          <w:szCs w:val="24"/>
        </w:rPr>
        <w:t>⑤监测结果</w:t>
      </w:r>
    </w:p>
    <w:p>
      <w:pPr>
        <w:spacing w:line="360" w:lineRule="auto"/>
        <w:ind w:firstLine="482"/>
        <w:rPr>
          <w:rFonts w:ascii="宋体" w:hAnsi="宋体"/>
          <w:color w:val="000000"/>
          <w:sz w:val="24"/>
          <w:szCs w:val="24"/>
        </w:rPr>
      </w:pPr>
      <w:r>
        <w:rPr>
          <w:rFonts w:hint="eastAsia" w:ascii="宋体" w:hAnsi="宋体"/>
          <w:color w:val="000000"/>
          <w:sz w:val="24"/>
          <w:szCs w:val="24"/>
        </w:rPr>
        <w:t>河流底泥监测结果如表2-31所示：</w:t>
      </w:r>
    </w:p>
    <w:p>
      <w:pPr>
        <w:spacing w:line="280" w:lineRule="exact"/>
        <w:jc w:val="center"/>
        <w:rPr>
          <w:rFonts w:ascii="宋体"/>
          <w:b/>
          <w:color w:val="000000"/>
          <w:sz w:val="24"/>
          <w:szCs w:val="24"/>
        </w:rPr>
      </w:pPr>
      <w:r>
        <w:rPr>
          <w:rFonts w:hint="eastAsia" w:ascii="宋体" w:hAnsi="宋体"/>
          <w:b/>
          <w:color w:val="000000"/>
          <w:sz w:val="24"/>
          <w:szCs w:val="24"/>
        </w:rPr>
        <w:t>表2-31</w:t>
      </w:r>
      <w:r>
        <w:rPr>
          <w:rFonts w:ascii="宋体" w:hAnsi="宋体"/>
          <w:b/>
          <w:color w:val="000000"/>
          <w:sz w:val="24"/>
          <w:szCs w:val="24"/>
        </w:rPr>
        <w:t xml:space="preserve"> </w:t>
      </w:r>
      <w:r>
        <w:rPr>
          <w:rFonts w:hint="eastAsia" w:ascii="宋体" w:hAnsi="宋体"/>
          <w:b/>
          <w:color w:val="000000"/>
          <w:sz w:val="24"/>
          <w:szCs w:val="24"/>
        </w:rPr>
        <w:t>河流底泥监测结果</w:t>
      </w:r>
    </w:p>
    <w:tbl>
      <w:tblPr>
        <w:tblStyle w:val="35"/>
        <w:tblW w:w="4998"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79"/>
        <w:gridCol w:w="1443"/>
        <w:gridCol w:w="1004"/>
        <w:gridCol w:w="899"/>
        <w:gridCol w:w="836"/>
        <w:gridCol w:w="786"/>
        <w:gridCol w:w="716"/>
        <w:gridCol w:w="620"/>
        <w:gridCol w:w="756"/>
        <w:gridCol w:w="620"/>
        <w:gridCol w:w="80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96" w:hRule="atLeast"/>
          <w:jc w:val="center"/>
        </w:trPr>
        <w:tc>
          <w:tcPr>
            <w:tcW w:w="564"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样品编号</w:t>
            </w:r>
          </w:p>
        </w:tc>
        <w:tc>
          <w:tcPr>
            <w:tcW w:w="754"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采样点位</w:t>
            </w:r>
          </w:p>
        </w:tc>
        <w:tc>
          <w:tcPr>
            <w:tcW w:w="525"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采样时间</w:t>
            </w:r>
          </w:p>
        </w:tc>
        <w:tc>
          <w:tcPr>
            <w:tcW w:w="3157" w:type="pct"/>
            <w:gridSpan w:val="8"/>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检测结果（单位：</w:t>
            </w:r>
            <w:r>
              <w:rPr>
                <w:rFonts w:ascii="宋体" w:hAnsi="宋体" w:eastAsia="宋体"/>
                <w:color w:val="000000"/>
                <w:szCs w:val="21"/>
              </w:rPr>
              <w:t>pH</w:t>
            </w:r>
            <w:r>
              <w:rPr>
                <w:rFonts w:hint="eastAsia" w:ascii="宋体" w:hAnsi="宋体" w:eastAsia="宋体"/>
                <w:color w:val="000000"/>
                <w:szCs w:val="21"/>
              </w:rPr>
              <w:t>无量纲，其它为</w:t>
            </w:r>
            <w:r>
              <w:rPr>
                <w:rFonts w:ascii="宋体" w:hAnsi="宋体" w:eastAsia="宋体"/>
                <w:color w:val="000000"/>
                <w:szCs w:val="21"/>
              </w:rPr>
              <w:t>mg/kg</w:t>
            </w:r>
            <w:r>
              <w:rPr>
                <w:rFonts w:hint="eastAsia" w:ascii="宋体" w:hAnsi="宋体" w:eastAsia="宋体"/>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16" w:hRule="atLeast"/>
          <w:jc w:val="center"/>
        </w:trPr>
        <w:tc>
          <w:tcPr>
            <w:tcW w:w="564" w:type="pct"/>
            <w:vMerge w:val="continue"/>
            <w:noWrap w:val="0"/>
            <w:vAlign w:val="center"/>
          </w:tcPr>
          <w:p>
            <w:pPr>
              <w:pStyle w:val="44"/>
              <w:spacing w:line="280" w:lineRule="exact"/>
              <w:rPr>
                <w:rFonts w:ascii="宋体" w:hAnsi="宋体" w:eastAsia="宋体"/>
                <w:bCs/>
                <w:color w:val="000000"/>
                <w:szCs w:val="21"/>
              </w:rPr>
            </w:pPr>
          </w:p>
        </w:tc>
        <w:tc>
          <w:tcPr>
            <w:tcW w:w="754" w:type="pct"/>
            <w:vMerge w:val="continue"/>
            <w:noWrap w:val="0"/>
            <w:vAlign w:val="center"/>
          </w:tcPr>
          <w:p>
            <w:pPr>
              <w:pStyle w:val="44"/>
              <w:spacing w:line="280" w:lineRule="exact"/>
              <w:rPr>
                <w:rFonts w:ascii="宋体" w:hAnsi="宋体" w:eastAsia="宋体"/>
                <w:bCs/>
                <w:color w:val="000000"/>
                <w:szCs w:val="21"/>
              </w:rPr>
            </w:pPr>
          </w:p>
        </w:tc>
        <w:tc>
          <w:tcPr>
            <w:tcW w:w="525" w:type="pct"/>
            <w:vMerge w:val="continue"/>
            <w:noWrap w:val="0"/>
            <w:vAlign w:val="center"/>
          </w:tcPr>
          <w:p>
            <w:pPr>
              <w:pStyle w:val="44"/>
              <w:spacing w:line="280" w:lineRule="exact"/>
              <w:rPr>
                <w:rFonts w:ascii="宋体" w:hAnsi="宋体" w:eastAsia="宋体"/>
                <w:bCs/>
                <w:color w:val="000000"/>
                <w:szCs w:val="21"/>
              </w:rPr>
            </w:pPr>
          </w:p>
        </w:tc>
        <w:tc>
          <w:tcPr>
            <w:tcW w:w="47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pH</w:t>
            </w:r>
          </w:p>
        </w:tc>
        <w:tc>
          <w:tcPr>
            <w:tcW w:w="437"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铜</w:t>
            </w:r>
          </w:p>
        </w:tc>
        <w:tc>
          <w:tcPr>
            <w:tcW w:w="411"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锌</w:t>
            </w:r>
          </w:p>
        </w:tc>
        <w:tc>
          <w:tcPr>
            <w:tcW w:w="37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铅</w:t>
            </w:r>
          </w:p>
        </w:tc>
        <w:tc>
          <w:tcPr>
            <w:tcW w:w="32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砷</w:t>
            </w:r>
          </w:p>
        </w:tc>
        <w:tc>
          <w:tcPr>
            <w:tcW w:w="395"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汞</w:t>
            </w:r>
          </w:p>
        </w:tc>
        <w:tc>
          <w:tcPr>
            <w:tcW w:w="32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镉</w:t>
            </w:r>
          </w:p>
        </w:tc>
        <w:tc>
          <w:tcPr>
            <w:tcW w:w="421"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总铬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66" w:hRule="atLeast"/>
          <w:jc w:val="center"/>
        </w:trPr>
        <w:tc>
          <w:tcPr>
            <w:tcW w:w="564"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DN1932P1-1</w:t>
            </w:r>
          </w:p>
        </w:tc>
        <w:tc>
          <w:tcPr>
            <w:tcW w:w="75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块泽河厂址上游</w:t>
            </w:r>
          </w:p>
        </w:tc>
        <w:tc>
          <w:tcPr>
            <w:tcW w:w="525" w:type="pct"/>
            <w:vMerge w:val="restar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2019</w:t>
            </w:r>
            <w:r>
              <w:rPr>
                <w:rFonts w:hint="eastAsia" w:ascii="宋体" w:hAnsi="宋体" w:eastAsia="宋体"/>
                <w:iCs/>
                <w:color w:val="000000"/>
                <w:szCs w:val="21"/>
              </w:rPr>
              <w:t>年</w:t>
            </w:r>
            <w:r>
              <w:rPr>
                <w:rFonts w:ascii="宋体" w:hAnsi="宋体" w:eastAsia="宋体"/>
                <w:iCs/>
                <w:color w:val="000000"/>
                <w:szCs w:val="21"/>
              </w:rPr>
              <w:t>2</w:t>
            </w:r>
            <w:r>
              <w:rPr>
                <w:rFonts w:hint="eastAsia" w:ascii="宋体" w:hAnsi="宋体" w:eastAsia="宋体"/>
                <w:iCs/>
                <w:color w:val="000000"/>
                <w:szCs w:val="21"/>
              </w:rPr>
              <w:t>月</w:t>
            </w:r>
            <w:r>
              <w:rPr>
                <w:rFonts w:ascii="宋体" w:hAnsi="宋体" w:eastAsia="宋体"/>
                <w:iCs/>
                <w:color w:val="000000"/>
                <w:szCs w:val="21"/>
              </w:rPr>
              <w:t>22</w:t>
            </w:r>
            <w:r>
              <w:rPr>
                <w:rFonts w:hint="eastAsia" w:ascii="宋体" w:hAnsi="宋体" w:eastAsia="宋体"/>
                <w:iCs/>
                <w:color w:val="000000"/>
                <w:szCs w:val="21"/>
              </w:rPr>
              <w:t>日</w:t>
            </w:r>
          </w:p>
        </w:tc>
        <w:tc>
          <w:tcPr>
            <w:tcW w:w="47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6.49</w:t>
            </w:r>
          </w:p>
        </w:tc>
        <w:tc>
          <w:tcPr>
            <w:tcW w:w="43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116</w:t>
            </w:r>
          </w:p>
        </w:tc>
        <w:tc>
          <w:tcPr>
            <w:tcW w:w="41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275</w:t>
            </w:r>
          </w:p>
        </w:tc>
        <w:tc>
          <w:tcPr>
            <w:tcW w:w="37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448</w:t>
            </w:r>
          </w:p>
        </w:tc>
        <w:tc>
          <w:tcPr>
            <w:tcW w:w="32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16.1</w:t>
            </w:r>
          </w:p>
        </w:tc>
        <w:tc>
          <w:tcPr>
            <w:tcW w:w="39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0.590</w:t>
            </w:r>
          </w:p>
        </w:tc>
        <w:tc>
          <w:tcPr>
            <w:tcW w:w="32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9.2</w:t>
            </w:r>
          </w:p>
        </w:tc>
        <w:tc>
          <w:tcPr>
            <w:tcW w:w="42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111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37" w:hRule="atLeast"/>
          <w:jc w:val="center"/>
        </w:trPr>
        <w:tc>
          <w:tcPr>
            <w:tcW w:w="564" w:type="pct"/>
            <w:noWrap w:val="0"/>
            <w:vAlign w:val="center"/>
          </w:tcPr>
          <w:p>
            <w:pPr>
              <w:pStyle w:val="44"/>
              <w:spacing w:line="280" w:lineRule="exact"/>
              <w:rPr>
                <w:rFonts w:ascii="宋体" w:hAnsi="宋体" w:eastAsia="宋体"/>
                <w:color w:val="000000"/>
                <w:szCs w:val="21"/>
              </w:rPr>
            </w:pPr>
            <w:r>
              <w:rPr>
                <w:rFonts w:ascii="宋体" w:hAnsi="宋体" w:eastAsia="宋体"/>
                <w:bCs/>
                <w:color w:val="000000"/>
                <w:szCs w:val="21"/>
              </w:rPr>
              <w:t>DN1932Q1-1</w:t>
            </w:r>
          </w:p>
        </w:tc>
        <w:tc>
          <w:tcPr>
            <w:tcW w:w="754" w:type="pct"/>
            <w:noWrap w:val="0"/>
            <w:vAlign w:val="center"/>
          </w:tcPr>
          <w:p>
            <w:pPr>
              <w:pStyle w:val="44"/>
              <w:spacing w:line="280" w:lineRule="exact"/>
              <w:rPr>
                <w:rFonts w:ascii="宋体" w:hAnsi="宋体" w:eastAsia="宋体"/>
                <w:color w:val="000000"/>
                <w:szCs w:val="21"/>
              </w:rPr>
            </w:pPr>
            <w:r>
              <w:rPr>
                <w:rFonts w:hint="eastAsia" w:ascii="宋体" w:hAnsi="宋体" w:eastAsia="宋体"/>
                <w:bCs/>
                <w:color w:val="000000"/>
                <w:szCs w:val="21"/>
              </w:rPr>
              <w:t>块泽河厂址下游</w:t>
            </w:r>
          </w:p>
        </w:tc>
        <w:tc>
          <w:tcPr>
            <w:tcW w:w="525" w:type="pct"/>
            <w:vMerge w:val="continue"/>
            <w:noWrap w:val="0"/>
            <w:vAlign w:val="center"/>
          </w:tcPr>
          <w:p>
            <w:pPr>
              <w:pStyle w:val="44"/>
              <w:spacing w:line="280" w:lineRule="exact"/>
              <w:rPr>
                <w:rFonts w:ascii="宋体" w:hAnsi="宋体" w:eastAsia="宋体"/>
                <w:iCs/>
                <w:color w:val="000000"/>
                <w:szCs w:val="21"/>
              </w:rPr>
            </w:pPr>
          </w:p>
        </w:tc>
        <w:tc>
          <w:tcPr>
            <w:tcW w:w="47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6.32</w:t>
            </w:r>
          </w:p>
        </w:tc>
        <w:tc>
          <w:tcPr>
            <w:tcW w:w="43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132</w:t>
            </w:r>
          </w:p>
        </w:tc>
        <w:tc>
          <w:tcPr>
            <w:tcW w:w="41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132</w:t>
            </w:r>
          </w:p>
        </w:tc>
        <w:tc>
          <w:tcPr>
            <w:tcW w:w="37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36.8</w:t>
            </w:r>
          </w:p>
        </w:tc>
        <w:tc>
          <w:tcPr>
            <w:tcW w:w="32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16.0</w:t>
            </w:r>
          </w:p>
        </w:tc>
        <w:tc>
          <w:tcPr>
            <w:tcW w:w="39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0.097</w:t>
            </w:r>
          </w:p>
        </w:tc>
        <w:tc>
          <w:tcPr>
            <w:tcW w:w="32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0.83</w:t>
            </w:r>
          </w:p>
        </w:tc>
        <w:tc>
          <w:tcPr>
            <w:tcW w:w="42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119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37" w:hRule="atLeast"/>
          <w:jc w:val="center"/>
        </w:trPr>
        <w:tc>
          <w:tcPr>
            <w:tcW w:w="1843" w:type="pct"/>
            <w:gridSpan w:val="3"/>
            <w:noWrap w:val="0"/>
            <w:vAlign w:val="center"/>
          </w:tcPr>
          <w:p>
            <w:pPr>
              <w:pStyle w:val="44"/>
              <w:spacing w:line="280" w:lineRule="exact"/>
              <w:rPr>
                <w:rFonts w:ascii="宋体" w:hAnsi="宋体" w:eastAsia="宋体"/>
                <w:iCs/>
                <w:color w:val="000000"/>
                <w:szCs w:val="21"/>
              </w:rPr>
            </w:pPr>
            <w:r>
              <w:rPr>
                <w:rFonts w:hint="eastAsia" w:ascii="宋体" w:hAnsi="宋体" w:eastAsia="宋体"/>
                <w:bCs/>
                <w:color w:val="000000"/>
                <w:szCs w:val="21"/>
              </w:rPr>
              <w:t>农用污泥污染物控制标准（</w:t>
            </w:r>
            <w:r>
              <w:rPr>
                <w:rFonts w:ascii="宋体" w:hAnsi="宋体" w:eastAsia="宋体"/>
                <w:bCs/>
                <w:color w:val="000000"/>
                <w:szCs w:val="21"/>
              </w:rPr>
              <w:t>A</w:t>
            </w:r>
            <w:r>
              <w:rPr>
                <w:rFonts w:hint="eastAsia" w:ascii="宋体" w:hAnsi="宋体" w:eastAsia="宋体"/>
                <w:bCs/>
                <w:color w:val="000000"/>
                <w:szCs w:val="21"/>
              </w:rPr>
              <w:t>级）</w:t>
            </w:r>
          </w:p>
        </w:tc>
        <w:tc>
          <w:tcPr>
            <w:tcW w:w="47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w:t>
            </w:r>
          </w:p>
        </w:tc>
        <w:tc>
          <w:tcPr>
            <w:tcW w:w="43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500</w:t>
            </w:r>
          </w:p>
        </w:tc>
        <w:tc>
          <w:tcPr>
            <w:tcW w:w="41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1200</w:t>
            </w:r>
          </w:p>
        </w:tc>
        <w:tc>
          <w:tcPr>
            <w:tcW w:w="37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300</w:t>
            </w:r>
          </w:p>
        </w:tc>
        <w:tc>
          <w:tcPr>
            <w:tcW w:w="32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30</w:t>
            </w:r>
          </w:p>
        </w:tc>
        <w:tc>
          <w:tcPr>
            <w:tcW w:w="39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3</w:t>
            </w:r>
          </w:p>
        </w:tc>
        <w:tc>
          <w:tcPr>
            <w:tcW w:w="32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w:t>
            </w:r>
          </w:p>
        </w:tc>
        <w:tc>
          <w:tcPr>
            <w:tcW w:w="42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37" w:hRule="atLeast"/>
          <w:jc w:val="center"/>
        </w:trPr>
        <w:tc>
          <w:tcPr>
            <w:tcW w:w="1843" w:type="pct"/>
            <w:gridSpan w:val="3"/>
            <w:noWrap w:val="0"/>
            <w:vAlign w:val="center"/>
          </w:tcPr>
          <w:p>
            <w:pPr>
              <w:pStyle w:val="44"/>
              <w:spacing w:line="280" w:lineRule="exact"/>
              <w:rPr>
                <w:rFonts w:ascii="宋体" w:hAnsi="宋体" w:eastAsia="宋体"/>
                <w:iCs/>
                <w:color w:val="000000"/>
                <w:szCs w:val="21"/>
              </w:rPr>
            </w:pPr>
            <w:r>
              <w:rPr>
                <w:rFonts w:hint="eastAsia" w:ascii="宋体" w:hAnsi="宋体" w:eastAsia="宋体"/>
                <w:bCs/>
                <w:iCs/>
                <w:color w:val="000000"/>
                <w:szCs w:val="21"/>
              </w:rPr>
              <w:t>农用污泥污染物控制标准（</w:t>
            </w:r>
            <w:r>
              <w:rPr>
                <w:rFonts w:ascii="宋体" w:hAnsi="宋体" w:eastAsia="宋体"/>
                <w:bCs/>
                <w:iCs/>
                <w:color w:val="000000"/>
                <w:szCs w:val="21"/>
              </w:rPr>
              <w:t>B</w:t>
            </w:r>
            <w:r>
              <w:rPr>
                <w:rFonts w:hint="eastAsia" w:ascii="宋体" w:hAnsi="宋体" w:eastAsia="宋体"/>
                <w:bCs/>
                <w:iCs/>
                <w:color w:val="000000"/>
                <w:szCs w:val="21"/>
              </w:rPr>
              <w:t>级）</w:t>
            </w:r>
          </w:p>
        </w:tc>
        <w:tc>
          <w:tcPr>
            <w:tcW w:w="470"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w:t>
            </w:r>
          </w:p>
        </w:tc>
        <w:tc>
          <w:tcPr>
            <w:tcW w:w="437"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1500</w:t>
            </w:r>
          </w:p>
        </w:tc>
        <w:tc>
          <w:tcPr>
            <w:tcW w:w="411"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3000</w:t>
            </w:r>
          </w:p>
        </w:tc>
        <w:tc>
          <w:tcPr>
            <w:tcW w:w="37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1000</w:t>
            </w:r>
          </w:p>
        </w:tc>
        <w:tc>
          <w:tcPr>
            <w:tcW w:w="324"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75</w:t>
            </w:r>
          </w:p>
        </w:tc>
        <w:tc>
          <w:tcPr>
            <w:tcW w:w="395" w:type="pct"/>
            <w:noWrap w:val="0"/>
            <w:vAlign w:val="center"/>
          </w:tcPr>
          <w:p>
            <w:pPr>
              <w:pStyle w:val="44"/>
              <w:spacing w:line="280" w:lineRule="exact"/>
              <w:rPr>
                <w:rFonts w:ascii="宋体" w:hAnsi="宋体" w:eastAsia="宋体"/>
                <w:iCs/>
                <w:color w:val="000000"/>
                <w:szCs w:val="21"/>
              </w:rPr>
            </w:pPr>
            <w:r>
              <w:rPr>
                <w:rFonts w:ascii="宋体" w:hAnsi="宋体" w:eastAsia="宋体"/>
                <w:iCs/>
                <w:color w:val="000000"/>
                <w:szCs w:val="21"/>
              </w:rPr>
              <w:t>15</w:t>
            </w:r>
          </w:p>
        </w:tc>
        <w:tc>
          <w:tcPr>
            <w:tcW w:w="32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421"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1000</w:t>
            </w:r>
          </w:p>
        </w:tc>
      </w:tr>
    </w:tbl>
    <w:p>
      <w:pPr>
        <w:spacing w:before="120" w:beforeLines="50" w:line="360" w:lineRule="auto"/>
        <w:ind w:firstLine="482"/>
        <w:rPr>
          <w:rFonts w:ascii="宋体" w:hAnsi="宋体"/>
          <w:color w:val="000000"/>
          <w:sz w:val="24"/>
          <w:szCs w:val="24"/>
        </w:rPr>
      </w:pPr>
      <w:r>
        <w:rPr>
          <w:rFonts w:hint="eastAsia" w:ascii="宋体" w:hAnsi="宋体"/>
          <w:color w:val="000000"/>
          <w:sz w:val="24"/>
          <w:szCs w:val="24"/>
        </w:rPr>
        <w:t>根据上述监测结果可知，块泽河上游底泥铅、镉超出《农用污泥污染物控制标准》（</w:t>
      </w:r>
      <w:r>
        <w:rPr>
          <w:rFonts w:ascii="宋体" w:hAnsi="宋体"/>
          <w:color w:val="000000"/>
          <w:sz w:val="24"/>
          <w:szCs w:val="24"/>
        </w:rPr>
        <w:t>GB4284-2018</w:t>
      </w:r>
      <w:r>
        <w:rPr>
          <w:rFonts w:hint="eastAsia" w:ascii="宋体" w:hAnsi="宋体"/>
          <w:color w:val="000000"/>
          <w:sz w:val="24"/>
          <w:szCs w:val="24"/>
        </w:rPr>
        <w:t>）中</w:t>
      </w:r>
      <w:r>
        <w:rPr>
          <w:rFonts w:ascii="宋体" w:hAnsi="宋体"/>
          <w:color w:val="000000"/>
          <w:sz w:val="24"/>
          <w:szCs w:val="24"/>
        </w:rPr>
        <w:t>A</w:t>
      </w:r>
      <w:r>
        <w:rPr>
          <w:rFonts w:hint="eastAsia" w:ascii="宋体" w:hAnsi="宋体"/>
          <w:color w:val="000000"/>
          <w:sz w:val="24"/>
          <w:szCs w:val="24"/>
        </w:rPr>
        <w:t>级污泥控制标准，但未超出</w:t>
      </w:r>
      <w:r>
        <w:rPr>
          <w:rFonts w:ascii="宋体" w:hAnsi="宋体"/>
          <w:color w:val="000000"/>
          <w:sz w:val="24"/>
          <w:szCs w:val="24"/>
        </w:rPr>
        <w:t>B</w:t>
      </w:r>
      <w:r>
        <w:rPr>
          <w:rFonts w:hint="eastAsia" w:ascii="宋体" w:hAnsi="宋体"/>
          <w:color w:val="000000"/>
          <w:sz w:val="24"/>
          <w:szCs w:val="24"/>
        </w:rPr>
        <w:t>级控制标准，上游其余因子及下游底泥所有监测因子均满足</w:t>
      </w:r>
      <w:r>
        <w:rPr>
          <w:rFonts w:ascii="宋体" w:hAnsi="宋体"/>
          <w:color w:val="000000"/>
          <w:sz w:val="24"/>
          <w:szCs w:val="24"/>
        </w:rPr>
        <w:t>A</w:t>
      </w:r>
      <w:r>
        <w:rPr>
          <w:rFonts w:hint="eastAsia" w:ascii="宋体" w:hAnsi="宋体"/>
          <w:color w:val="000000"/>
          <w:sz w:val="24"/>
          <w:szCs w:val="24"/>
        </w:rPr>
        <w:t>级污泥相关限值要求，且项目区域下游底泥质量现状优于上游，说明本项目运营对下游河流底泥的影响较小。</w:t>
      </w:r>
    </w:p>
    <w:p>
      <w:pPr>
        <w:spacing w:line="360" w:lineRule="auto"/>
        <w:ind w:firstLine="482"/>
        <w:rPr>
          <w:rFonts w:ascii="宋体" w:hAnsi="宋体"/>
          <w:color w:val="000000"/>
          <w:sz w:val="24"/>
          <w:szCs w:val="24"/>
        </w:rPr>
      </w:pPr>
      <w:r>
        <w:rPr>
          <w:rFonts w:hint="eastAsia" w:ascii="宋体" w:hAnsi="宋体"/>
          <w:color w:val="000000"/>
          <w:sz w:val="24"/>
          <w:szCs w:val="24"/>
        </w:rPr>
        <w:t>固体废弃物主要包括：采矿废石、尾矿、生活垃圾、旱厕污泥。</w:t>
      </w:r>
    </w:p>
    <w:p>
      <w:pPr>
        <w:spacing w:line="360" w:lineRule="auto"/>
        <w:ind w:firstLine="482"/>
        <w:rPr>
          <w:rFonts w:ascii="宋体" w:hAnsi="宋体"/>
          <w:color w:val="000000"/>
          <w:sz w:val="24"/>
          <w:szCs w:val="24"/>
        </w:rPr>
      </w:pPr>
      <w:r>
        <w:rPr>
          <w:rFonts w:hint="eastAsia" w:ascii="宋体" w:hAnsi="宋体"/>
          <w:color w:val="000000"/>
          <w:sz w:val="24"/>
          <w:szCs w:val="24"/>
        </w:rPr>
        <w:t>（7）采矿废石</w:t>
      </w:r>
    </w:p>
    <w:p>
      <w:pPr>
        <w:spacing w:line="360" w:lineRule="auto"/>
        <w:ind w:firstLine="482"/>
        <w:rPr>
          <w:rFonts w:ascii="宋体" w:hAnsi="宋体"/>
          <w:color w:val="000000"/>
          <w:sz w:val="24"/>
          <w:szCs w:val="24"/>
        </w:rPr>
      </w:pPr>
      <w:r>
        <w:rPr>
          <w:rFonts w:hint="eastAsia" w:ascii="宋体" w:hAnsi="宋体"/>
          <w:color w:val="000000"/>
          <w:sz w:val="24"/>
          <w:szCs w:val="24"/>
        </w:rPr>
        <w:t>根据现场调查，采矿废石产生量约为</w:t>
      </w:r>
      <w:r>
        <w:rPr>
          <w:rFonts w:ascii="宋体" w:hAnsi="宋体"/>
          <w:color w:val="000000"/>
          <w:sz w:val="24"/>
          <w:szCs w:val="24"/>
        </w:rPr>
        <w:t>9900t/a</w:t>
      </w:r>
      <w:r>
        <w:rPr>
          <w:rFonts w:hint="eastAsia" w:ascii="宋体" w:hAnsi="宋体"/>
          <w:color w:val="000000"/>
          <w:sz w:val="24"/>
          <w:szCs w:val="24"/>
        </w:rPr>
        <w:t>，产生的采矿废石堆存于废石堆场，后期逐步用于采空区回填。</w:t>
      </w:r>
    </w:p>
    <w:p>
      <w:pPr>
        <w:spacing w:line="360" w:lineRule="auto"/>
        <w:ind w:firstLine="482"/>
        <w:rPr>
          <w:rFonts w:hint="eastAsia" w:ascii="宋体" w:hAnsi="宋体"/>
          <w:color w:val="000000"/>
          <w:sz w:val="24"/>
          <w:szCs w:val="24"/>
        </w:rPr>
      </w:pPr>
      <w:r>
        <w:rPr>
          <w:rFonts w:hint="eastAsia" w:ascii="宋体" w:hAnsi="宋体"/>
          <w:color w:val="000000"/>
          <w:sz w:val="24"/>
          <w:szCs w:val="24"/>
        </w:rPr>
        <w:t>根据云南罗平锌电股份公司委托云南尘清环境监测有限公司于</w:t>
      </w:r>
      <w:r>
        <w:rPr>
          <w:rFonts w:ascii="宋体" w:hAnsi="宋体"/>
          <w:color w:val="000000"/>
          <w:sz w:val="24"/>
          <w:szCs w:val="24"/>
        </w:rPr>
        <w:t>2019</w:t>
      </w:r>
      <w:r>
        <w:rPr>
          <w:rFonts w:hint="eastAsia" w:ascii="宋体" w:hAnsi="宋体"/>
          <w:color w:val="000000"/>
          <w:sz w:val="24"/>
          <w:szCs w:val="24"/>
        </w:rPr>
        <w:t>年</w:t>
      </w:r>
      <w:r>
        <w:rPr>
          <w:rFonts w:ascii="宋体" w:hAnsi="宋体"/>
          <w:color w:val="000000"/>
          <w:sz w:val="24"/>
          <w:szCs w:val="24"/>
        </w:rPr>
        <w:t>8</w:t>
      </w:r>
      <w:r>
        <w:rPr>
          <w:rFonts w:hint="eastAsia" w:ascii="宋体" w:hAnsi="宋体"/>
          <w:color w:val="000000"/>
          <w:sz w:val="24"/>
          <w:szCs w:val="24"/>
        </w:rPr>
        <w:t>月</w:t>
      </w:r>
      <w:r>
        <w:rPr>
          <w:rFonts w:ascii="宋体" w:hAnsi="宋体"/>
          <w:color w:val="000000"/>
          <w:sz w:val="24"/>
          <w:szCs w:val="24"/>
        </w:rPr>
        <w:t>1</w:t>
      </w:r>
      <w:r>
        <w:rPr>
          <w:rFonts w:hint="eastAsia" w:ascii="宋体" w:hAnsi="宋体"/>
          <w:color w:val="000000"/>
          <w:sz w:val="24"/>
          <w:szCs w:val="24"/>
        </w:rPr>
        <w:t>日、</w:t>
      </w:r>
      <w:r>
        <w:rPr>
          <w:rFonts w:ascii="宋体" w:hAnsi="宋体"/>
          <w:color w:val="000000"/>
          <w:sz w:val="24"/>
          <w:szCs w:val="24"/>
        </w:rPr>
        <w:t>2</w:t>
      </w:r>
      <w:r>
        <w:rPr>
          <w:rFonts w:hint="eastAsia" w:ascii="宋体" w:hAnsi="宋体"/>
          <w:color w:val="000000"/>
          <w:sz w:val="24"/>
          <w:szCs w:val="24"/>
        </w:rPr>
        <w:t>日对废石堆场废石进行属性鉴别监测，监测结果如表2-32：</w:t>
      </w:r>
    </w:p>
    <w:p>
      <w:pPr>
        <w:spacing w:line="360" w:lineRule="auto"/>
        <w:ind w:firstLine="482"/>
        <w:rPr>
          <w:rFonts w:hint="eastAsia" w:ascii="宋体" w:hAnsi="宋体"/>
          <w:color w:val="00000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hint="eastAsia" w:ascii="宋体" w:hAnsi="宋体"/>
          <w:color w:val="000000"/>
          <w:kern w:val="0"/>
          <w:sz w:val="24"/>
          <w:szCs w:val="24"/>
        </w:rPr>
      </w:pPr>
    </w:p>
    <w:p>
      <w:pPr>
        <w:spacing w:line="360" w:lineRule="auto"/>
        <w:ind w:firstLine="480" w:firstLineChars="200"/>
        <w:rPr>
          <w:rFonts w:ascii="宋体" w:hAnsi="宋体"/>
          <w:color w:val="000000"/>
          <w:kern w:val="0"/>
          <w:sz w:val="24"/>
          <w:szCs w:val="24"/>
        </w:rPr>
        <w:sectPr>
          <w:footerReference r:id="rId6" w:type="first"/>
          <w:pgSz w:w="11906" w:h="16838"/>
          <w:pgMar w:top="1418" w:right="1134" w:bottom="1134" w:left="1418" w:header="720" w:footer="720" w:gutter="0"/>
          <w:cols w:space="720" w:num="1"/>
          <w:titlePg/>
        </w:sectPr>
      </w:pPr>
    </w:p>
    <w:p>
      <w:pPr>
        <w:spacing w:line="280" w:lineRule="exact"/>
        <w:jc w:val="center"/>
        <w:rPr>
          <w:b/>
          <w:color w:val="000000"/>
          <w:sz w:val="24"/>
          <w:szCs w:val="24"/>
        </w:rPr>
      </w:pPr>
      <w:r>
        <w:rPr>
          <w:rFonts w:hint="eastAsia"/>
          <w:b/>
          <w:color w:val="000000"/>
          <w:sz w:val="24"/>
          <w:szCs w:val="24"/>
        </w:rPr>
        <w:t>表2-32</w:t>
      </w:r>
      <w:r>
        <w:rPr>
          <w:b/>
          <w:color w:val="000000"/>
          <w:sz w:val="24"/>
          <w:szCs w:val="24"/>
        </w:rPr>
        <w:t xml:space="preserve"> </w:t>
      </w:r>
      <w:r>
        <w:rPr>
          <w:rFonts w:hint="eastAsia"/>
          <w:b/>
          <w:color w:val="000000"/>
          <w:sz w:val="24"/>
          <w:szCs w:val="24"/>
        </w:rPr>
        <w:t>废石检测结果表</w:t>
      </w:r>
    </w:p>
    <w:tbl>
      <w:tblPr>
        <w:tblStyle w:val="35"/>
        <w:tblW w:w="5000"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059"/>
        <w:gridCol w:w="969"/>
        <w:gridCol w:w="972"/>
        <w:gridCol w:w="972"/>
        <w:gridCol w:w="973"/>
        <w:gridCol w:w="973"/>
        <w:gridCol w:w="973"/>
        <w:gridCol w:w="973"/>
        <w:gridCol w:w="973"/>
        <w:gridCol w:w="973"/>
        <w:gridCol w:w="973"/>
        <w:gridCol w:w="1587"/>
        <w:gridCol w:w="1520"/>
        <w:gridCol w:w="67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bottom"/>
          </w:tcPr>
          <w:p>
            <w:pPr>
              <w:pStyle w:val="44"/>
              <w:spacing w:line="280" w:lineRule="exact"/>
              <w:rPr>
                <w:rFonts w:ascii="宋体" w:hAnsi="宋体" w:eastAsia="宋体"/>
                <w:color w:val="000000"/>
                <w:szCs w:val="21"/>
              </w:rPr>
            </w:pPr>
            <w:r>
              <w:rPr>
                <w:rFonts w:hint="eastAsia" w:ascii="宋体" w:hAnsi="宋体" w:eastAsia="宋体"/>
                <w:color w:val="000000"/>
                <w:szCs w:val="21"/>
              </w:rPr>
              <w:t>样品</w:t>
            </w:r>
          </w:p>
          <w:p>
            <w:pPr>
              <w:pStyle w:val="44"/>
              <w:spacing w:line="280" w:lineRule="exact"/>
              <w:rPr>
                <w:rFonts w:ascii="宋体" w:hAnsi="宋体" w:eastAsia="宋体"/>
                <w:color w:val="000000"/>
                <w:szCs w:val="21"/>
              </w:rPr>
            </w:pPr>
            <w:r>
              <w:rPr>
                <w:rFonts w:hint="eastAsia" w:ascii="宋体" w:hAnsi="宋体" w:eastAsia="宋体"/>
                <w:color w:val="000000"/>
                <w:szCs w:val="21"/>
              </w:rPr>
              <w:t>项目</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9#</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GB5805.3-2007</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GB87978-1996</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color w:val="000000"/>
                <w:szCs w:val="21"/>
              </w:rPr>
              <w:t>镉</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color w:val="000000"/>
                <w:szCs w:val="21"/>
              </w:rPr>
              <w:t>铜</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color w:val="000000"/>
                <w:szCs w:val="21"/>
              </w:rPr>
              <w:t>锌</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0.154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0.273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0.193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0.205</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0.100</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0.216</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0.159</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0.293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0.126</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0.260</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color w:val="000000"/>
                <w:szCs w:val="21"/>
              </w:rPr>
              <w:t>铅</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bCs/>
                <w:color w:val="000000"/>
                <w:szCs w:val="21"/>
              </w:rPr>
            </w:pPr>
            <w:r>
              <w:rPr>
                <w:rFonts w:hint="eastAsia" w:ascii="宋体" w:hAnsi="宋体" w:eastAsia="宋体"/>
                <w:color w:val="000000"/>
                <w:szCs w:val="21"/>
              </w:rPr>
              <w:t>铬</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铍</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钡</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六价铬</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镍</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银</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0.01L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砷</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0.0059</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0.0047</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0.0040</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0.0028</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0.0029</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0.0035</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0.0053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0.0044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0.0067</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0.5</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硒</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0.0022</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0.0021</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0.0022</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0.0017</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0.0021</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0.0033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0.0031</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0.0028</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0.0023</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522" w:type="pct"/>
            <w:noWrap w:val="0"/>
            <w:vAlign w:val="center"/>
          </w:tcPr>
          <w:p>
            <w:pPr>
              <w:pStyle w:val="44"/>
              <w:spacing w:line="280" w:lineRule="exact"/>
              <w:rPr>
                <w:rFonts w:ascii="宋体" w:hAnsi="宋体" w:eastAsia="宋体"/>
                <w:color w:val="000000"/>
                <w:szCs w:val="21"/>
              </w:rPr>
            </w:pP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pH</w:t>
            </w:r>
            <w:r>
              <w:rPr>
                <w:rFonts w:hint="eastAsia" w:ascii="宋体" w:hAnsi="宋体" w:eastAsia="宋体"/>
                <w:color w:val="000000"/>
                <w:szCs w:val="21"/>
              </w:rPr>
              <w:t>（</w:t>
            </w:r>
            <w:r>
              <w:rPr>
                <w:rFonts w:hint="eastAsia" w:ascii="宋体" w:hAnsi="宋体" w:eastAsia="宋体"/>
                <w:bCs/>
                <w:color w:val="000000"/>
                <w:szCs w:val="21"/>
              </w:rPr>
              <w:t>无量纲</w:t>
            </w:r>
            <w:r>
              <w:rPr>
                <w:rFonts w:hint="eastAsia" w:ascii="宋体" w:hAnsi="宋体" w:eastAsia="宋体"/>
                <w:color w:val="000000"/>
                <w:szCs w:val="21"/>
              </w:rPr>
              <w:t>）</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8.11</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8.14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8.08</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8.24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8.01</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8.26</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8.28</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7.96</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8.33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8.59</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6~9</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氰化物（</w:t>
            </w:r>
            <w:r>
              <w:rPr>
                <w:rFonts w:ascii="宋体" w:hAnsi="宋体" w:eastAsia="宋体"/>
                <w:color w:val="000000"/>
                <w:szCs w:val="21"/>
              </w:rPr>
              <w:t>µg/L</w:t>
            </w:r>
            <w:r>
              <w:rPr>
                <w:rFonts w:hint="eastAsia" w:ascii="宋体" w:hAnsi="宋体" w:eastAsia="宋体"/>
                <w:color w:val="000000"/>
                <w:szCs w:val="21"/>
              </w:rPr>
              <w:t>）</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1.3</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0.9</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1.8</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1.1</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0.1L</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64"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氟化物</w:t>
            </w:r>
          </w:p>
        </w:tc>
        <w:tc>
          <w:tcPr>
            <w:tcW w:w="33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0.130</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0.0568</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0.107</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0.117</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0.0959</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0.115</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0.137</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0.0964</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0.0572</w:t>
            </w:r>
          </w:p>
        </w:tc>
        <w:tc>
          <w:tcPr>
            <w:tcW w:w="334"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0.174</w:t>
            </w:r>
          </w:p>
        </w:tc>
        <w:tc>
          <w:tcPr>
            <w:tcW w:w="545"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522"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230"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bl>
    <w:p>
      <w:pPr>
        <w:spacing w:before="120" w:beforeLines="50" w:line="360" w:lineRule="auto"/>
        <w:ind w:firstLine="482"/>
        <w:rPr>
          <w:rFonts w:ascii="宋体" w:hAnsi="宋体"/>
          <w:color w:val="000000"/>
          <w:sz w:val="24"/>
          <w:szCs w:val="24"/>
        </w:rPr>
      </w:pPr>
      <w:r>
        <w:rPr>
          <w:rFonts w:hint="eastAsia" w:ascii="宋体" w:hAnsi="宋体"/>
          <w:color w:val="000000"/>
          <w:sz w:val="24"/>
          <w:szCs w:val="24"/>
        </w:rPr>
        <w:t>根据监测结果可知，产生的采矿废石不属于危险废物，属于第Ⅰ类一般固体废物，废石堆场满足第Ⅰ类一般固体废物的堆存要求。</w:t>
      </w:r>
    </w:p>
    <w:p>
      <w:pPr>
        <w:spacing w:line="360" w:lineRule="auto"/>
        <w:ind w:firstLine="482"/>
        <w:rPr>
          <w:rFonts w:ascii="宋体" w:hAnsi="宋体"/>
          <w:color w:val="000000"/>
          <w:sz w:val="24"/>
          <w:szCs w:val="24"/>
        </w:rPr>
      </w:pPr>
      <w:r>
        <w:rPr>
          <w:rFonts w:hint="eastAsia" w:ascii="宋体" w:hAnsi="宋体"/>
          <w:color w:val="000000"/>
          <w:sz w:val="24"/>
          <w:szCs w:val="24"/>
        </w:rPr>
        <w:t>采矿废石产生量为</w:t>
      </w:r>
      <w:r>
        <w:rPr>
          <w:rFonts w:ascii="宋体" w:hAnsi="宋体"/>
          <w:color w:val="000000"/>
          <w:sz w:val="24"/>
          <w:szCs w:val="24"/>
        </w:rPr>
        <w:t>33t/d</w:t>
      </w:r>
      <w:r>
        <w:rPr>
          <w:rFonts w:hint="eastAsia" w:ascii="宋体" w:hAnsi="宋体"/>
          <w:color w:val="000000"/>
          <w:sz w:val="24"/>
          <w:szCs w:val="24"/>
        </w:rPr>
        <w:t>，</w:t>
      </w:r>
      <w:r>
        <w:rPr>
          <w:rFonts w:ascii="宋体" w:hAnsi="宋体"/>
          <w:color w:val="000000"/>
          <w:sz w:val="24"/>
          <w:szCs w:val="24"/>
        </w:rPr>
        <w:t>9900t/a</w:t>
      </w:r>
      <w:r>
        <w:rPr>
          <w:rFonts w:hint="eastAsia" w:ascii="宋体" w:hAnsi="宋体"/>
          <w:color w:val="000000"/>
          <w:sz w:val="24"/>
          <w:szCs w:val="24"/>
        </w:rPr>
        <w:t>，上述废石全部堆存于废石堆场，后期用于采空区回填。同时，废石堆场已经按照环评要求建设完成了排洪沟及拦渣坝。</w:t>
      </w:r>
    </w:p>
    <w:p>
      <w:pPr>
        <w:spacing w:line="360" w:lineRule="auto"/>
        <w:ind w:firstLine="482"/>
        <w:rPr>
          <w:rFonts w:ascii="宋体" w:hAnsi="宋体"/>
          <w:color w:val="000000"/>
          <w:sz w:val="24"/>
          <w:szCs w:val="24"/>
        </w:rPr>
      </w:pPr>
      <w:r>
        <w:rPr>
          <w:rFonts w:hint="eastAsia" w:ascii="宋体" w:hAnsi="宋体"/>
          <w:color w:val="000000"/>
          <w:sz w:val="24"/>
          <w:szCs w:val="24"/>
        </w:rPr>
        <w:t>（8）尾矿</w:t>
      </w:r>
    </w:p>
    <w:p>
      <w:pPr>
        <w:spacing w:line="360" w:lineRule="auto"/>
        <w:ind w:firstLine="482"/>
        <w:rPr>
          <w:rFonts w:hint="eastAsia" w:ascii="宋体" w:hAnsi="宋体"/>
          <w:color w:val="000000"/>
          <w:sz w:val="24"/>
          <w:szCs w:val="24"/>
        </w:rPr>
      </w:pPr>
      <w:r>
        <w:rPr>
          <w:rFonts w:hint="eastAsia" w:ascii="宋体" w:hAnsi="宋体"/>
          <w:color w:val="000000"/>
          <w:sz w:val="24"/>
          <w:szCs w:val="24"/>
        </w:rPr>
        <w:t>引用</w:t>
      </w:r>
      <w:r>
        <w:rPr>
          <w:rFonts w:ascii="宋体" w:hAnsi="宋体"/>
          <w:color w:val="000000"/>
          <w:sz w:val="24"/>
          <w:szCs w:val="24"/>
        </w:rPr>
        <w:t>2018</w:t>
      </w:r>
      <w:r>
        <w:rPr>
          <w:rFonts w:hint="eastAsia" w:ascii="宋体" w:hAnsi="宋体"/>
          <w:color w:val="000000"/>
          <w:sz w:val="24"/>
          <w:szCs w:val="24"/>
        </w:rPr>
        <w:t>年</w:t>
      </w:r>
      <w:r>
        <w:rPr>
          <w:rFonts w:ascii="宋体" w:hAnsi="宋体"/>
          <w:color w:val="000000"/>
          <w:sz w:val="24"/>
          <w:szCs w:val="24"/>
        </w:rPr>
        <w:t>1</w:t>
      </w:r>
      <w:r>
        <w:rPr>
          <w:rFonts w:hint="eastAsia" w:ascii="宋体" w:hAnsi="宋体"/>
          <w:color w:val="000000"/>
          <w:sz w:val="24"/>
          <w:szCs w:val="24"/>
        </w:rPr>
        <w:t>月</w:t>
      </w:r>
      <w:r>
        <w:rPr>
          <w:rFonts w:ascii="宋体" w:hAnsi="宋体"/>
          <w:color w:val="000000"/>
          <w:sz w:val="24"/>
          <w:szCs w:val="24"/>
        </w:rPr>
        <w:t>4</w:t>
      </w:r>
      <w:r>
        <w:rPr>
          <w:rFonts w:hint="eastAsia" w:ascii="宋体" w:hAnsi="宋体"/>
          <w:color w:val="000000"/>
          <w:sz w:val="24"/>
          <w:szCs w:val="24"/>
        </w:rPr>
        <w:t>日至</w:t>
      </w:r>
      <w:r>
        <w:rPr>
          <w:rFonts w:ascii="宋体" w:hAnsi="宋体"/>
          <w:color w:val="000000"/>
          <w:sz w:val="24"/>
          <w:szCs w:val="24"/>
        </w:rPr>
        <w:t>6</w:t>
      </w:r>
      <w:r>
        <w:rPr>
          <w:rFonts w:hint="eastAsia" w:ascii="宋体" w:hAnsi="宋体"/>
          <w:color w:val="000000"/>
          <w:sz w:val="24"/>
          <w:szCs w:val="24"/>
        </w:rPr>
        <w:t>日由云南省环境监测中心站对云南罗平锌电股份有限公司富乐铅锌矿采选项目选矿厂产生的尾矿浸出毒性的监测报告（云环监字﹝</w:t>
      </w:r>
      <w:r>
        <w:rPr>
          <w:rFonts w:ascii="宋体" w:hAnsi="宋体"/>
          <w:color w:val="000000"/>
          <w:sz w:val="24"/>
          <w:szCs w:val="24"/>
        </w:rPr>
        <w:t>2017</w:t>
      </w:r>
      <w:r>
        <w:rPr>
          <w:rFonts w:hint="eastAsia" w:ascii="宋体" w:hAnsi="宋体"/>
          <w:color w:val="000000"/>
          <w:sz w:val="24"/>
          <w:szCs w:val="24"/>
        </w:rPr>
        <w:t>﹞</w:t>
      </w:r>
      <w:r>
        <w:rPr>
          <w:rFonts w:ascii="宋体" w:hAnsi="宋体"/>
          <w:color w:val="000000"/>
          <w:sz w:val="24"/>
          <w:szCs w:val="24"/>
        </w:rPr>
        <w:t xml:space="preserve"> —219</w:t>
      </w:r>
      <w:r>
        <w:rPr>
          <w:rFonts w:hint="eastAsia" w:ascii="宋体" w:hAnsi="宋体"/>
          <w:color w:val="000000"/>
          <w:sz w:val="24"/>
          <w:szCs w:val="24"/>
        </w:rPr>
        <w:t>号）进行尾矿属性鉴别的判定，监测结果如表2-33：</w:t>
      </w:r>
    </w:p>
    <w:p>
      <w:pPr>
        <w:ind w:firstLine="480"/>
        <w:rPr>
          <w:rFonts w:hint="eastAsia"/>
          <w:color w:val="000000"/>
        </w:rPr>
      </w:pPr>
    </w:p>
    <w:p>
      <w:pPr>
        <w:jc w:val="center"/>
        <w:rPr>
          <w:b/>
          <w:bCs/>
          <w:color w:val="000000"/>
          <w:sz w:val="24"/>
          <w:szCs w:val="24"/>
        </w:rPr>
      </w:pPr>
      <w:r>
        <w:rPr>
          <w:rFonts w:hint="eastAsia"/>
          <w:b/>
          <w:color w:val="000000"/>
          <w:sz w:val="24"/>
          <w:szCs w:val="24"/>
        </w:rPr>
        <w:t xml:space="preserve">表2-33  </w:t>
      </w:r>
      <w:r>
        <w:rPr>
          <w:rFonts w:hint="eastAsia"/>
          <w:b/>
          <w:bCs/>
          <w:color w:val="000000"/>
          <w:sz w:val="24"/>
          <w:szCs w:val="24"/>
        </w:rPr>
        <w:t>固体废物监测结果</w:t>
      </w:r>
    </w:p>
    <w:tbl>
      <w:tblPr>
        <w:tblStyle w:val="35"/>
        <w:tblW w:w="4990"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005"/>
        <w:gridCol w:w="1049"/>
        <w:gridCol w:w="55"/>
        <w:gridCol w:w="1354"/>
        <w:gridCol w:w="58"/>
        <w:gridCol w:w="1412"/>
        <w:gridCol w:w="1412"/>
        <w:gridCol w:w="1412"/>
        <w:gridCol w:w="1253"/>
        <w:gridCol w:w="9"/>
        <w:gridCol w:w="1401"/>
        <w:gridCol w:w="9"/>
        <w:gridCol w:w="1401"/>
        <w:gridCol w:w="12"/>
        <w:gridCol w:w="1689"/>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183" w:hRule="atLeast"/>
          <w:jc w:val="center"/>
        </w:trPr>
        <w:tc>
          <w:tcPr>
            <w:tcW w:w="690"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样品编号</w:t>
            </w:r>
          </w:p>
        </w:tc>
        <w:tc>
          <w:tcPr>
            <w:tcW w:w="380" w:type="pct"/>
            <w:gridSpan w:val="2"/>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采样点名称</w:t>
            </w:r>
          </w:p>
        </w:tc>
        <w:tc>
          <w:tcPr>
            <w:tcW w:w="3930" w:type="pct"/>
            <w:gridSpan w:val="1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监测结果（单位：</w:t>
            </w:r>
            <w:r>
              <w:rPr>
                <w:rFonts w:ascii="宋体" w:hAnsi="宋体" w:eastAsia="宋体"/>
                <w:color w:val="000000"/>
                <w:szCs w:val="21"/>
              </w:rPr>
              <w:t>pH</w:t>
            </w:r>
            <w:r>
              <w:rPr>
                <w:rFonts w:hint="eastAsia" w:ascii="宋体" w:hAnsi="宋体" w:eastAsia="宋体"/>
                <w:color w:val="000000"/>
                <w:szCs w:val="21"/>
              </w:rPr>
              <w:t>无量纲，其它为</w:t>
            </w:r>
            <w:r>
              <w:rPr>
                <w:rFonts w:ascii="宋体" w:hAnsi="宋体" w:eastAsia="宋体"/>
                <w:color w:val="000000"/>
                <w:szCs w:val="21"/>
              </w:rPr>
              <w:t>mg/L</w:t>
            </w:r>
            <w:r>
              <w:rPr>
                <w:rFonts w:hint="eastAsia" w:ascii="宋体" w:hAnsi="宋体" w:eastAsia="宋体"/>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26" w:hRule="atLeast"/>
          <w:jc w:val="center"/>
        </w:trPr>
        <w:tc>
          <w:tcPr>
            <w:tcW w:w="690" w:type="pct"/>
            <w:vMerge w:val="continue"/>
            <w:noWrap w:val="0"/>
            <w:vAlign w:val="center"/>
          </w:tcPr>
          <w:p>
            <w:pPr>
              <w:pStyle w:val="44"/>
              <w:spacing w:line="280" w:lineRule="exact"/>
              <w:rPr>
                <w:rFonts w:ascii="宋体" w:hAnsi="宋体" w:eastAsia="宋体"/>
                <w:color w:val="000000"/>
                <w:szCs w:val="21"/>
              </w:rPr>
            </w:pP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pH</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铜</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铅</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锌</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镉</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铬</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镍</w:t>
            </w:r>
          </w:p>
        </w:tc>
        <w:tc>
          <w:tcPr>
            <w:tcW w:w="58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铍</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w:t>
            </w:r>
          </w:p>
        </w:tc>
        <w:tc>
          <w:tcPr>
            <w:tcW w:w="380" w:type="pct"/>
            <w:gridSpan w:val="2"/>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尾矿库</w:t>
            </w:r>
          </w:p>
        </w:tc>
        <w:tc>
          <w:tcPr>
            <w:tcW w:w="486"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8.60</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0.048</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GF180228A-1-2</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7.40</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0.232</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GF180228A-1-3</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8.96</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0.084</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0.046</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GF180228A-1-4</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7.72</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0.340</w:t>
            </w:r>
          </w:p>
        </w:tc>
        <w:tc>
          <w:tcPr>
            <w:tcW w:w="434"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0.024</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GF180228A-1-5</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7.50</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1.69</w:t>
            </w:r>
          </w:p>
        </w:tc>
        <w:tc>
          <w:tcPr>
            <w:tcW w:w="434"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0.058</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GF180228A-1-6</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8.18</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0.096</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GF180228A-1-7</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8.66</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0.029</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GF180228A-1-8</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7.80</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0.719</w:t>
            </w:r>
          </w:p>
        </w:tc>
        <w:tc>
          <w:tcPr>
            <w:tcW w:w="434"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0.008</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GF180228A-1-9</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8.50</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0.055</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GF180228A-1-10</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8.69</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0.058</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GF180228A-1-11</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8.35</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0.024</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GF180228A-1-12</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8.81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0.036</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GF180228A-1-13</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8.72</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0.045</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GF180228A-1-14</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8.94</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0.037</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GF180228A-1-15</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8.82</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0.048</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GF180228A-1-16</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8.79</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0.064</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GF180228A-1-17</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8.71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0.054</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GF180228A-1-18</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8.59</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0.051</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0.150</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GF180228A-1-19</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8.56</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0.061</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0.123</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0.003</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GF180228A-1-20</w:t>
            </w:r>
          </w:p>
        </w:tc>
        <w:tc>
          <w:tcPr>
            <w:tcW w:w="380" w:type="pct"/>
            <w:gridSpan w:val="2"/>
            <w:vMerge w:val="continue"/>
            <w:noWrap w:val="0"/>
            <w:vAlign w:val="center"/>
          </w:tcPr>
          <w:p>
            <w:pPr>
              <w:pStyle w:val="44"/>
              <w:spacing w:line="280" w:lineRule="exact"/>
              <w:rPr>
                <w:rFonts w:ascii="宋体" w:hAnsi="宋体" w:eastAsia="宋体"/>
                <w:color w:val="000000"/>
                <w:szCs w:val="21"/>
              </w:rPr>
            </w:pP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7.85</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0.144</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1.02</w:t>
            </w:r>
          </w:p>
        </w:tc>
        <w:tc>
          <w:tcPr>
            <w:tcW w:w="434"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0.031</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0.01</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w:t>
            </w:r>
            <w:r>
              <w:rPr>
                <w:rFonts w:ascii="宋体" w:hAnsi="宋体" w:eastAsia="宋体"/>
                <w:color w:val="000000"/>
                <w:szCs w:val="21"/>
              </w:rPr>
              <w:t>0.0003</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1070" w:type="pct"/>
            <w:gridSpan w:val="3"/>
            <w:noWrap w:val="0"/>
            <w:vAlign w:val="center"/>
          </w:tcPr>
          <w:p>
            <w:pPr>
              <w:pStyle w:val="44"/>
              <w:spacing w:line="280" w:lineRule="exact"/>
              <w:rPr>
                <w:rFonts w:ascii="宋体" w:hAnsi="宋体" w:eastAsia="宋体"/>
                <w:bCs/>
                <w:color w:val="000000"/>
                <w:szCs w:val="21"/>
              </w:rPr>
            </w:pPr>
            <w:r>
              <w:rPr>
                <w:rFonts w:ascii="宋体" w:hAnsi="宋体" w:eastAsia="宋体"/>
                <w:color w:val="000000"/>
                <w:szCs w:val="21"/>
              </w:rPr>
              <w:t>GB5805.3-2007</w:t>
            </w:r>
            <w:r>
              <w:rPr>
                <w:rFonts w:hint="eastAsia" w:ascii="宋体" w:hAnsi="宋体" w:eastAsia="宋体"/>
                <w:color w:val="000000"/>
                <w:szCs w:val="21"/>
              </w:rPr>
              <w:t>（</w:t>
            </w:r>
            <w:r>
              <w:rPr>
                <w:rFonts w:ascii="宋体" w:hAnsi="宋体" w:eastAsia="宋体"/>
                <w:color w:val="000000"/>
                <w:szCs w:val="21"/>
              </w:rPr>
              <w:t>mg/L</w:t>
            </w:r>
            <w:r>
              <w:rPr>
                <w:rFonts w:hint="eastAsia" w:ascii="宋体" w:hAnsi="宋体" w:eastAsia="宋体"/>
                <w:color w:val="000000"/>
                <w:szCs w:val="21"/>
              </w:rPr>
              <w:t>）</w:t>
            </w: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434"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485"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486"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581" w:type="pct"/>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1070" w:type="pct"/>
            <w:gridSpan w:val="3"/>
            <w:noWrap w:val="0"/>
            <w:vAlign w:val="center"/>
          </w:tcPr>
          <w:p>
            <w:pPr>
              <w:pStyle w:val="44"/>
              <w:spacing w:line="280" w:lineRule="exact"/>
              <w:rPr>
                <w:rFonts w:ascii="宋体" w:hAnsi="宋体" w:eastAsia="宋体"/>
                <w:bCs/>
                <w:color w:val="000000"/>
                <w:szCs w:val="21"/>
              </w:rPr>
            </w:pPr>
            <w:r>
              <w:rPr>
                <w:rFonts w:ascii="宋体" w:hAnsi="宋体" w:eastAsia="宋体"/>
                <w:color w:val="000000"/>
                <w:szCs w:val="21"/>
              </w:rPr>
              <w:t>GB87978-1996</w:t>
            </w:r>
            <w:r>
              <w:rPr>
                <w:rFonts w:hint="eastAsia" w:ascii="宋体" w:hAnsi="宋体" w:eastAsia="宋体"/>
                <w:color w:val="000000"/>
                <w:szCs w:val="21"/>
              </w:rPr>
              <w:t>（</w:t>
            </w:r>
            <w:r>
              <w:rPr>
                <w:rFonts w:ascii="宋体" w:hAnsi="宋体" w:eastAsia="宋体"/>
                <w:color w:val="000000"/>
                <w:szCs w:val="21"/>
              </w:rPr>
              <w:t>mg/L</w:t>
            </w:r>
            <w:r>
              <w:rPr>
                <w:rFonts w:hint="eastAsia" w:ascii="宋体" w:hAnsi="宋体" w:eastAsia="宋体"/>
                <w:color w:val="000000"/>
                <w:szCs w:val="21"/>
              </w:rPr>
              <w:t>）</w:t>
            </w:r>
          </w:p>
        </w:tc>
        <w:tc>
          <w:tcPr>
            <w:tcW w:w="486" w:type="pct"/>
            <w:gridSpan w:val="2"/>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6~9</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486"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434"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0.1</w:t>
            </w:r>
          </w:p>
        </w:tc>
        <w:tc>
          <w:tcPr>
            <w:tcW w:w="485"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486" w:type="pct"/>
            <w:gridSpan w:val="2"/>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581" w:type="pct"/>
            <w:noWrap/>
            <w:vAlign w:val="center"/>
          </w:tcPr>
          <w:p>
            <w:pPr>
              <w:pStyle w:val="44"/>
              <w:spacing w:line="280" w:lineRule="exact"/>
              <w:rPr>
                <w:rFonts w:ascii="宋体" w:hAnsi="宋体" w:eastAsia="宋体"/>
                <w:color w:val="000000"/>
                <w:szCs w:val="21"/>
              </w:rPr>
            </w:pPr>
            <w:r>
              <w:rPr>
                <w:rFonts w:ascii="宋体" w:hAnsi="宋体" w:eastAsia="宋体"/>
                <w:color w:val="000000"/>
                <w:szCs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1070" w:type="pct"/>
            <w:gridSpan w:val="3"/>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达标情况</w:t>
            </w:r>
          </w:p>
        </w:tc>
        <w:tc>
          <w:tcPr>
            <w:tcW w:w="486" w:type="pct"/>
            <w:gridSpan w:val="2"/>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8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34"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85"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486" w:type="pct"/>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c>
          <w:tcPr>
            <w:tcW w:w="581" w:type="pct"/>
            <w:noWrap/>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达标</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183" w:hRule="atLeast"/>
          <w:jc w:val="center"/>
        </w:trPr>
        <w:tc>
          <w:tcPr>
            <w:tcW w:w="690" w:type="pct"/>
            <w:vMerge w:val="restar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样品编号</w:t>
            </w:r>
          </w:p>
        </w:tc>
        <w:tc>
          <w:tcPr>
            <w:tcW w:w="361" w:type="pct"/>
            <w:vMerge w:val="restar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采样点名称</w:t>
            </w:r>
          </w:p>
        </w:tc>
        <w:tc>
          <w:tcPr>
            <w:tcW w:w="3949" w:type="pct"/>
            <w:gridSpan w:val="13"/>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监测结果（单位：汞、硒和砷为</w:t>
            </w:r>
            <w:r>
              <w:rPr>
                <w:rFonts w:ascii="宋体" w:hAnsi="宋体" w:eastAsia="宋体"/>
                <w:bCs/>
                <w:color w:val="000000"/>
                <w:szCs w:val="21"/>
              </w:rPr>
              <w:t>µg/L</w:t>
            </w:r>
            <w:r>
              <w:rPr>
                <w:rFonts w:hint="eastAsia" w:ascii="宋体" w:hAnsi="宋体" w:eastAsia="宋体"/>
                <w:bCs/>
                <w:color w:val="000000"/>
                <w:szCs w:val="21"/>
              </w:rPr>
              <w:t>，其它为</w:t>
            </w:r>
            <w:r>
              <w:rPr>
                <w:rFonts w:ascii="宋体" w:hAnsi="宋体" w:eastAsia="宋体"/>
                <w:bCs/>
                <w:color w:val="000000"/>
                <w:szCs w:val="21"/>
              </w:rPr>
              <w:t>mg/L</w:t>
            </w:r>
            <w:r>
              <w:rPr>
                <w:rFonts w:hint="eastAsia" w:ascii="宋体" w:hAnsi="宋体" w:eastAsia="宋体"/>
                <w:bCs/>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27" w:hRule="atLeast"/>
          <w:jc w:val="center"/>
        </w:trPr>
        <w:tc>
          <w:tcPr>
            <w:tcW w:w="690" w:type="pct"/>
            <w:vMerge w:val="continue"/>
            <w:noWrap w:val="0"/>
            <w:vAlign w:val="center"/>
          </w:tcPr>
          <w:p>
            <w:pPr>
              <w:pStyle w:val="44"/>
              <w:spacing w:line="280" w:lineRule="exact"/>
              <w:rPr>
                <w:rFonts w:ascii="宋体" w:hAnsi="宋体" w:eastAsia="宋体"/>
                <w:bCs/>
                <w:color w:val="000000"/>
                <w:szCs w:val="21"/>
              </w:rPr>
            </w:pP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钡</w:t>
            </w:r>
          </w:p>
        </w:tc>
        <w:tc>
          <w:tcPr>
            <w:tcW w:w="506"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银</w:t>
            </w:r>
          </w:p>
        </w:tc>
        <w:tc>
          <w:tcPr>
            <w:tcW w:w="486"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砷</w:t>
            </w:r>
          </w:p>
        </w:tc>
        <w:tc>
          <w:tcPr>
            <w:tcW w:w="486"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汞</w:t>
            </w:r>
          </w:p>
        </w:tc>
        <w:tc>
          <w:tcPr>
            <w:tcW w:w="431"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硒</w:t>
            </w: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氟化物</w:t>
            </w:r>
          </w:p>
        </w:tc>
        <w:tc>
          <w:tcPr>
            <w:tcW w:w="4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氰化物</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六价铬</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w:t>
            </w:r>
          </w:p>
        </w:tc>
        <w:tc>
          <w:tcPr>
            <w:tcW w:w="361" w:type="pct"/>
            <w:vMerge w:val="restar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尾矿库</w:t>
            </w:r>
          </w:p>
        </w:tc>
        <w:tc>
          <w:tcPr>
            <w:tcW w:w="4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0.248</w:t>
            </w:r>
          </w:p>
        </w:tc>
        <w:tc>
          <w:tcPr>
            <w:tcW w:w="431"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5.3</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0.066</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GF180228A-1-2</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0.210</w:t>
            </w:r>
          </w:p>
        </w:tc>
        <w:tc>
          <w:tcPr>
            <w:tcW w:w="431"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10.0</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0.061</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0.004</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GF180228A-1-3</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0.6</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0.326</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4.1</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0.068</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0.004</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GF180228A-1-4</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0.250</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13.3</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0.100</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GF180228A-1-5</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0.2</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0.132</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29.2</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0.045</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0.007</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GF180228A-1-6</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0.130</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11.6</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0.082</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GF180228A-1-7</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4.3</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0.079</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0.004</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GF180228A-1-8</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11.1</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0.072</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GF180228A-1-9</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0.6</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6.1</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0.062</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0.006</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GF180228A-1-10</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0.2</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4.8</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0.054</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0.006</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GF180228A-1-11</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2.7</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0.065</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GF180228A-1-12</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5.6</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0.053</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0.004</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GF180228A-1-13</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0.2</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5.0</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0.113</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0.006</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GF180228A-1-14</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5.1</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0.076</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GF180228A-1-15</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4.3</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0.059</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0.007</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GF180228A-1-16</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4.3</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0.050</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GF180228A-1-17</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0.2</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0.046</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5.2</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0.073</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0.004</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GF180228A-1-18</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5.4</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0.068</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0.005</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GF180228A-1-19</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5.4</w:t>
            </w: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0.007</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690" w:type="pct"/>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GF180228A-1-20</w:t>
            </w:r>
          </w:p>
        </w:tc>
        <w:tc>
          <w:tcPr>
            <w:tcW w:w="361" w:type="pct"/>
            <w:vMerge w:val="continue"/>
            <w:noWrap w:val="0"/>
            <w:vAlign w:val="center"/>
          </w:tcPr>
          <w:p>
            <w:pPr>
              <w:pStyle w:val="44"/>
              <w:spacing w:line="280" w:lineRule="exact"/>
              <w:rPr>
                <w:rFonts w:ascii="宋体" w:hAnsi="宋体" w:eastAsia="宋体"/>
                <w:bCs/>
                <w:color w:val="000000"/>
                <w:szCs w:val="21"/>
              </w:rPr>
            </w:pP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0.1</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0.015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19.2</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0.098</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0.007</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w:t>
            </w:r>
            <w:r>
              <w:rPr>
                <w:rFonts w:ascii="宋体" w:hAnsi="宋体" w:eastAsia="宋体"/>
                <w:bCs/>
                <w:color w:val="000000"/>
                <w:szCs w:val="21"/>
              </w:rPr>
              <w:t>0.004</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1051"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color w:val="000000"/>
                <w:szCs w:val="21"/>
              </w:rPr>
              <w:t>GB5805.3-2007</w:t>
            </w:r>
            <w:r>
              <w:rPr>
                <w:rFonts w:hint="eastAsia" w:ascii="宋体" w:hAnsi="宋体" w:eastAsia="宋体"/>
                <w:color w:val="000000"/>
                <w:szCs w:val="21"/>
              </w:rPr>
              <w:t>（</w:t>
            </w:r>
            <w:r>
              <w:rPr>
                <w:rFonts w:ascii="宋体" w:hAnsi="宋体" w:eastAsia="宋体"/>
                <w:color w:val="000000"/>
                <w:szCs w:val="21"/>
              </w:rPr>
              <w:t>mg/L</w:t>
            </w:r>
            <w:r>
              <w:rPr>
                <w:rFonts w:hint="eastAsia" w:ascii="宋体" w:hAnsi="宋体" w:eastAsia="宋体"/>
                <w:color w:val="000000"/>
                <w:szCs w:val="21"/>
              </w:rPr>
              <w:t>）</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100</w:t>
            </w:r>
          </w:p>
        </w:tc>
        <w:tc>
          <w:tcPr>
            <w:tcW w:w="506"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0.1</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100</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w:t>
            </w:r>
          </w:p>
        </w:tc>
        <w:tc>
          <w:tcPr>
            <w:tcW w:w="5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1051"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color w:val="000000"/>
                <w:szCs w:val="21"/>
              </w:rPr>
              <w:t>GB87978-1996</w:t>
            </w:r>
            <w:r>
              <w:rPr>
                <w:rFonts w:hint="eastAsia" w:ascii="宋体" w:hAnsi="宋体" w:eastAsia="宋体"/>
                <w:color w:val="000000"/>
                <w:szCs w:val="21"/>
              </w:rPr>
              <w:t>（</w:t>
            </w:r>
            <w:r>
              <w:rPr>
                <w:rFonts w:ascii="宋体" w:hAnsi="宋体" w:eastAsia="宋体"/>
                <w:color w:val="000000"/>
                <w:szCs w:val="21"/>
              </w:rPr>
              <w:t>mg/L</w:t>
            </w:r>
            <w:r>
              <w:rPr>
                <w:rFonts w:hint="eastAsia" w:ascii="宋体" w:hAnsi="宋体" w:eastAsia="宋体"/>
                <w:color w:val="000000"/>
                <w:szCs w:val="21"/>
              </w:rPr>
              <w:t>）</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w:t>
            </w:r>
          </w:p>
        </w:tc>
        <w:tc>
          <w:tcPr>
            <w:tcW w:w="506"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0.5</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0.5</w:t>
            </w:r>
          </w:p>
        </w:tc>
        <w:tc>
          <w:tcPr>
            <w:tcW w:w="486"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0.05</w:t>
            </w:r>
          </w:p>
        </w:tc>
        <w:tc>
          <w:tcPr>
            <w:tcW w:w="431" w:type="pct"/>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w:t>
            </w:r>
          </w:p>
        </w:tc>
        <w:tc>
          <w:tcPr>
            <w:tcW w:w="485" w:type="pct"/>
            <w:gridSpan w:val="2"/>
            <w:noWrap/>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30</w:t>
            </w:r>
          </w:p>
        </w:tc>
        <w:tc>
          <w:tcPr>
            <w:tcW w:w="4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5</w:t>
            </w:r>
          </w:p>
        </w:tc>
        <w:tc>
          <w:tcPr>
            <w:tcW w:w="585" w:type="pct"/>
            <w:gridSpan w:val="2"/>
            <w:noWrap w:val="0"/>
            <w:vAlign w:val="center"/>
          </w:tcPr>
          <w:p>
            <w:pPr>
              <w:pStyle w:val="44"/>
              <w:spacing w:line="280" w:lineRule="exact"/>
              <w:rPr>
                <w:rFonts w:ascii="宋体" w:hAnsi="宋体" w:eastAsia="宋体"/>
                <w:bCs/>
                <w:color w:val="000000"/>
                <w:szCs w:val="21"/>
              </w:rPr>
            </w:pPr>
            <w:r>
              <w:rPr>
                <w:rFonts w:ascii="宋体" w:hAnsi="宋体" w:eastAsia="宋体"/>
                <w:bCs/>
                <w:color w:val="000000"/>
                <w:szCs w:val="21"/>
              </w:rPr>
              <w:t>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pct"/>
          <w:wAfter w:w="0" w:type="pct"/>
          <w:trHeight w:val="209" w:hRule="atLeast"/>
          <w:jc w:val="center"/>
        </w:trPr>
        <w:tc>
          <w:tcPr>
            <w:tcW w:w="1051"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color w:val="000000"/>
                <w:szCs w:val="21"/>
              </w:rPr>
              <w:t>达标情况</w:t>
            </w: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c>
          <w:tcPr>
            <w:tcW w:w="506"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c>
          <w:tcPr>
            <w:tcW w:w="486"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c>
          <w:tcPr>
            <w:tcW w:w="431" w:type="pct"/>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c>
          <w:tcPr>
            <w:tcW w:w="485" w:type="pct"/>
            <w:gridSpan w:val="2"/>
            <w:noWrap/>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c>
          <w:tcPr>
            <w:tcW w:w="4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c>
          <w:tcPr>
            <w:tcW w:w="585" w:type="pct"/>
            <w:gridSpan w:val="2"/>
            <w:noWrap w:val="0"/>
            <w:vAlign w:val="center"/>
          </w:tcPr>
          <w:p>
            <w:pPr>
              <w:pStyle w:val="44"/>
              <w:spacing w:line="280" w:lineRule="exact"/>
              <w:rPr>
                <w:rFonts w:ascii="宋体" w:hAnsi="宋体" w:eastAsia="宋体"/>
                <w:bCs/>
                <w:color w:val="000000"/>
                <w:szCs w:val="21"/>
              </w:rPr>
            </w:pPr>
            <w:r>
              <w:rPr>
                <w:rFonts w:hint="eastAsia" w:ascii="宋体" w:hAnsi="宋体" w:eastAsia="宋体"/>
                <w:bCs/>
                <w:color w:val="000000"/>
                <w:szCs w:val="21"/>
              </w:rPr>
              <w:t>达标</w:t>
            </w:r>
          </w:p>
        </w:tc>
      </w:tr>
    </w:tbl>
    <w:p>
      <w:pPr>
        <w:spacing w:line="360" w:lineRule="auto"/>
        <w:ind w:firstLine="482"/>
        <w:rPr>
          <w:color w:val="000000"/>
          <w:sz w:val="24"/>
          <w:szCs w:val="24"/>
        </w:rPr>
      </w:pPr>
      <w:r>
        <w:rPr>
          <w:rFonts w:hint="eastAsia"/>
          <w:color w:val="000000"/>
          <w:sz w:val="24"/>
          <w:szCs w:val="24"/>
        </w:rPr>
        <w:t>据鉴别结果，尾矿不属于危险废物，属于第</w:t>
      </w:r>
      <w:r>
        <w:rPr>
          <w:rFonts w:hint="eastAsia" w:ascii="宋体" w:hAnsi="宋体" w:cs="宋体"/>
          <w:color w:val="000000"/>
          <w:sz w:val="24"/>
          <w:szCs w:val="24"/>
        </w:rPr>
        <w:t>Ⅰ</w:t>
      </w:r>
      <w:r>
        <w:rPr>
          <w:rFonts w:hint="eastAsia"/>
          <w:color w:val="000000"/>
          <w:sz w:val="24"/>
          <w:szCs w:val="24"/>
        </w:rPr>
        <w:t>类一般工业固体废物。且现状生产条件下，尾矿产生量为</w:t>
      </w:r>
      <w:r>
        <w:rPr>
          <w:color w:val="000000"/>
          <w:sz w:val="24"/>
          <w:szCs w:val="24"/>
        </w:rPr>
        <w:t>141.54t/d</w:t>
      </w:r>
      <w:r>
        <w:rPr>
          <w:rFonts w:hint="eastAsia"/>
          <w:color w:val="000000"/>
          <w:sz w:val="24"/>
          <w:szCs w:val="24"/>
        </w:rPr>
        <w:t>，</w:t>
      </w:r>
      <w:r>
        <w:rPr>
          <w:color w:val="000000"/>
          <w:sz w:val="24"/>
          <w:szCs w:val="24"/>
        </w:rPr>
        <w:t>42462.7 t/a</w:t>
      </w:r>
      <w:r>
        <w:rPr>
          <w:rFonts w:hint="eastAsia"/>
          <w:color w:val="000000"/>
          <w:sz w:val="24"/>
          <w:szCs w:val="24"/>
        </w:rPr>
        <w:t>，产生的尾矿全部堆存于鸡西尾矿库，对周围环境产生的影响较小。鸡西尾矿库已经建设完成，能够处置生产过程中产生的尾矿。</w:t>
      </w:r>
    </w:p>
    <w:p>
      <w:pPr>
        <w:spacing w:line="360" w:lineRule="auto"/>
        <w:ind w:firstLine="420" w:firstLineChars="200"/>
        <w:rPr>
          <w:color w:val="000000"/>
        </w:rPr>
        <w:sectPr>
          <w:pgSz w:w="16838" w:h="11906" w:orient="landscape"/>
          <w:pgMar w:top="1418" w:right="1247" w:bottom="1418" w:left="1247" w:header="720" w:footer="720" w:gutter="0"/>
          <w:cols w:space="720" w:num="1"/>
          <w:titlePg/>
        </w:sectPr>
      </w:pPr>
    </w:p>
    <w:p>
      <w:pPr>
        <w:pStyle w:val="5"/>
        <w:spacing w:before="240" w:beforeLines="100" w:after="120" w:afterLines="50" w:line="360" w:lineRule="auto"/>
        <w:rPr>
          <w:rFonts w:hint="eastAsia" w:ascii="宋体" w:hAnsi="宋体"/>
          <w:color w:val="000000"/>
          <w:sz w:val="28"/>
          <w:szCs w:val="28"/>
        </w:rPr>
      </w:pPr>
      <w:bookmarkStart w:id="175" w:name="_Toc23000876"/>
      <w:r>
        <w:rPr>
          <w:rFonts w:hint="eastAsia" w:ascii="宋体" w:hAnsi="宋体"/>
          <w:color w:val="000000"/>
          <w:sz w:val="28"/>
          <w:szCs w:val="28"/>
        </w:rPr>
        <w:t>2.4.6</w:t>
      </w:r>
      <w:r>
        <w:rPr>
          <w:rFonts w:ascii="宋体" w:hAnsi="宋体"/>
          <w:color w:val="000000"/>
          <w:sz w:val="28"/>
          <w:szCs w:val="28"/>
        </w:rPr>
        <w:t>污染</w:t>
      </w:r>
      <w:r>
        <w:rPr>
          <w:rFonts w:hint="eastAsia" w:ascii="宋体" w:hAnsi="宋体"/>
          <w:color w:val="000000"/>
          <w:sz w:val="28"/>
          <w:szCs w:val="28"/>
        </w:rPr>
        <w:t>物产生和排放情况</w:t>
      </w:r>
      <w:bookmarkEnd w:id="175"/>
    </w:p>
    <w:p>
      <w:pPr>
        <w:spacing w:line="360" w:lineRule="auto"/>
        <w:ind w:firstLine="600"/>
        <w:rPr>
          <w:rFonts w:hint="eastAsia" w:ascii="宋体" w:hAnsi="宋体"/>
          <w:b/>
          <w:color w:val="000000"/>
          <w:sz w:val="24"/>
          <w:szCs w:val="24"/>
        </w:rPr>
      </w:pPr>
      <w:r>
        <w:rPr>
          <w:rFonts w:hint="eastAsia" w:ascii="宋体" w:hAnsi="宋体"/>
          <w:b/>
          <w:color w:val="000000"/>
          <w:kern w:val="0"/>
          <w:sz w:val="24"/>
          <w:szCs w:val="24"/>
        </w:rPr>
        <w:t>2.4.6.1</w:t>
      </w:r>
      <w:r>
        <w:rPr>
          <w:rFonts w:hint="eastAsia" w:ascii="宋体" w:hAnsi="宋体"/>
          <w:b/>
          <w:color w:val="000000"/>
          <w:sz w:val="24"/>
          <w:szCs w:val="24"/>
        </w:rPr>
        <w:t>矿山污染源产生情况</w:t>
      </w:r>
    </w:p>
    <w:p>
      <w:pPr>
        <w:spacing w:line="360" w:lineRule="auto"/>
        <w:ind w:firstLine="480" w:firstLineChars="200"/>
        <w:rPr>
          <w:rFonts w:hint="eastAsia"/>
          <w:color w:val="000000"/>
          <w:sz w:val="24"/>
        </w:rPr>
      </w:pPr>
      <w:bookmarkStart w:id="176" w:name="_Toc532506324"/>
      <w:r>
        <w:rPr>
          <w:rFonts w:hint="eastAsia"/>
          <w:color w:val="000000"/>
          <w:sz w:val="24"/>
        </w:rPr>
        <w:t>（1）矿井涌水，采矿厂矿井涌水量约50m3/d，污染物主要pH、SS、Pb、Zn、Cd、As等，其中SS指标稍高。井下设有水仓收集井下涌水，坑道设排水沟，流入水仓，经沉淀池沉淀后， 40m3用于井下用于采矿生产（采矿喷洒水抑尘），10m3抽至选矿厂用于选矿补充水。</w:t>
      </w:r>
    </w:p>
    <w:p>
      <w:pPr>
        <w:spacing w:line="360" w:lineRule="auto"/>
        <w:ind w:firstLine="480" w:firstLineChars="200"/>
        <w:rPr>
          <w:rFonts w:hint="eastAsia"/>
          <w:color w:val="000000"/>
          <w:sz w:val="24"/>
        </w:rPr>
      </w:pPr>
      <w:r>
        <w:rPr>
          <w:rFonts w:hint="eastAsia"/>
          <w:color w:val="000000"/>
          <w:sz w:val="24"/>
        </w:rPr>
        <w:t>（2）采矿废石，采矿废石排放量约为33t/d，废石主要成份是石英、其次是方解石等。采矿过程产生的废石，堆存于废石堆场，然后逐步用于井下回填。</w:t>
      </w:r>
    </w:p>
    <w:p>
      <w:pPr>
        <w:spacing w:line="360" w:lineRule="auto"/>
        <w:ind w:firstLine="480" w:firstLineChars="200"/>
        <w:rPr>
          <w:rFonts w:hint="eastAsia"/>
          <w:color w:val="000000"/>
          <w:sz w:val="24"/>
        </w:rPr>
      </w:pPr>
      <w:r>
        <w:rPr>
          <w:rFonts w:hint="eastAsia"/>
          <w:color w:val="000000"/>
          <w:sz w:val="24"/>
        </w:rPr>
        <w:t xml:space="preserve">（3）废气，项目废气主要为采矿通风井排出的污风、物料运输、废石堆存过程中产生的扬尘、食堂运营过程中产生的油烟。 </w:t>
      </w:r>
    </w:p>
    <w:p>
      <w:pPr>
        <w:spacing w:line="360" w:lineRule="auto"/>
        <w:ind w:firstLine="480" w:firstLineChars="200"/>
        <w:rPr>
          <w:rFonts w:hint="eastAsia"/>
          <w:color w:val="000000"/>
          <w:sz w:val="24"/>
        </w:rPr>
      </w:pPr>
      <w:r>
        <w:rPr>
          <w:rFonts w:hint="eastAsia"/>
          <w:color w:val="000000"/>
          <w:sz w:val="24"/>
        </w:rPr>
        <w:t>采矿通风井污风主要成分为在坑内采掘作业面、凿岩爆破、矿岩装卸、放矿运输等作业过程中产生的矿岩粉尘和含CO、NOx等有害气体的爆破烟尘。坑内采矿采用湿式作业方式，并在产尘点及通道加强洒水、喷雾，提高坑内空气的含水率，有效降低坑内粉尘，同时在井下设置了通风除尘设施，根据相关资料，由通风机排出的污风中粉尘浓度小于2mg/m3，达到《大气污染物综合排放标准》（GB16297－1996）表2中的二级排放标准；爆破用硝铵炸药，消耗量约为36120kg/a。通过类比调查，硝铵炸药爆炸，主要产生炮烟，炮烟产生量0.9m</w:t>
      </w:r>
      <w:r>
        <w:rPr>
          <w:rFonts w:hint="eastAsia"/>
          <w:color w:val="000000"/>
          <w:sz w:val="24"/>
          <w:vertAlign w:val="superscript"/>
        </w:rPr>
        <w:t>3</w:t>
      </w:r>
      <w:r>
        <w:rPr>
          <w:rFonts w:hint="eastAsia"/>
          <w:color w:val="000000"/>
          <w:sz w:val="24"/>
        </w:rPr>
        <w:t>/Kg，其中污染物NO</w:t>
      </w:r>
      <w:r>
        <w:rPr>
          <w:rFonts w:hint="eastAsia"/>
          <w:color w:val="000000"/>
          <w:sz w:val="24"/>
          <w:vertAlign w:val="subscript"/>
        </w:rPr>
        <w:t>2</w:t>
      </w:r>
      <w:r>
        <w:rPr>
          <w:rFonts w:hint="eastAsia"/>
          <w:color w:val="000000"/>
          <w:sz w:val="24"/>
        </w:rPr>
        <w:t>及CO产生量分别为：28.75mg/Kg、14.5mg/Kg。本工程采场放炮每天作业两次，炸药消耗量60kg/次（折合成硝铵炸药），按炸药量换算，每次爆破主要污染物NO</w:t>
      </w:r>
      <w:r>
        <w:rPr>
          <w:rFonts w:hint="eastAsia"/>
          <w:color w:val="000000"/>
          <w:sz w:val="24"/>
          <w:vertAlign w:val="subscript"/>
        </w:rPr>
        <w:t>2</w:t>
      </w:r>
      <w:r>
        <w:rPr>
          <w:rFonts w:hint="eastAsia"/>
          <w:color w:val="000000"/>
          <w:sz w:val="24"/>
        </w:rPr>
        <w:t>和CO产生量分别为：1.72g、0.87g，爆破时有害气体NO2和CO的短时间浓度分别为31.8mg/m</w:t>
      </w:r>
      <w:r>
        <w:rPr>
          <w:rFonts w:hint="eastAsia"/>
          <w:color w:val="000000"/>
          <w:sz w:val="24"/>
          <w:vertAlign w:val="superscript"/>
        </w:rPr>
        <w:t>3</w:t>
      </w:r>
      <w:r>
        <w:rPr>
          <w:rFonts w:hint="eastAsia"/>
          <w:color w:val="000000"/>
          <w:sz w:val="24"/>
        </w:rPr>
        <w:t>和16.1mg/m</w:t>
      </w:r>
      <w:r>
        <w:rPr>
          <w:rFonts w:hint="eastAsia"/>
          <w:color w:val="000000"/>
          <w:sz w:val="24"/>
          <w:vertAlign w:val="superscript"/>
        </w:rPr>
        <w:t>3</w:t>
      </w:r>
      <w:r>
        <w:rPr>
          <w:rFonts w:hint="eastAsia"/>
          <w:color w:val="000000"/>
          <w:sz w:val="24"/>
        </w:rPr>
        <w:t>，均超过《工业企业设计卫生标准》（GBZ2-2002）中相关标准。但由于是爆破瞬间产生的污染物浓度，随着时间推移以及井下通风装置的运行，污染物在空气中不断扩散，其浓度不断降低，最后通过井下通风装置外排，能达到《大气污染物综合排放标准》（GB16297－1996）中相关标准要求。</w:t>
      </w:r>
    </w:p>
    <w:p>
      <w:pPr>
        <w:spacing w:line="360" w:lineRule="auto"/>
        <w:ind w:firstLine="480" w:firstLineChars="200"/>
        <w:rPr>
          <w:rFonts w:hint="eastAsia"/>
          <w:color w:val="000000"/>
          <w:sz w:val="24"/>
        </w:rPr>
      </w:pPr>
      <w:r>
        <w:rPr>
          <w:rFonts w:hint="eastAsia"/>
          <w:color w:val="000000"/>
          <w:sz w:val="24"/>
        </w:rPr>
        <w:t xml:space="preserve">物料运输、废石堆存过程产生一定量的扬尘。矿石运输进出矿区时，产生一定的扬尘，但由于采用轨道运输，并采取洒水扬尘等措施，扬尘得到有效的控制，对周围环境影响较小。 </w:t>
      </w:r>
    </w:p>
    <w:p>
      <w:pPr>
        <w:spacing w:line="360" w:lineRule="auto"/>
        <w:ind w:firstLine="480" w:firstLineChars="200"/>
        <w:rPr>
          <w:rFonts w:hint="eastAsia"/>
          <w:color w:val="000000"/>
          <w:sz w:val="24"/>
        </w:rPr>
      </w:pPr>
      <w:r>
        <w:rPr>
          <w:rFonts w:hint="eastAsia"/>
          <w:color w:val="000000"/>
          <w:sz w:val="24"/>
        </w:rPr>
        <w:t>（4）噪声，矿井生产的噪声源主要为矿井提升系统、风机房、轨道矿车等，源强70-95db(A)。对噪声源的防治，除尽量选用低噪声机电设备外，对车间及厂区的布局进行优化，通风井的各种风机、空压机等通风设备布置在远离生活区和居民区的空旷地带，对于高噪声设备采取消声、吸声、隔声、减振等措施。</w:t>
      </w:r>
    </w:p>
    <w:p>
      <w:pPr>
        <w:spacing w:line="360" w:lineRule="auto"/>
        <w:ind w:firstLine="480" w:firstLineChars="200"/>
        <w:rPr>
          <w:rFonts w:hint="eastAsia"/>
          <w:color w:val="000000"/>
          <w:sz w:val="24"/>
        </w:rPr>
      </w:pPr>
      <w:r>
        <w:rPr>
          <w:rFonts w:hint="eastAsia"/>
          <w:color w:val="000000"/>
          <w:sz w:val="24"/>
        </w:rPr>
        <w:t>（5）生活污染源，项目有独立的办公区，占地1500m</w:t>
      </w:r>
      <w:r>
        <w:rPr>
          <w:rFonts w:hint="eastAsia"/>
          <w:color w:val="000000"/>
          <w:sz w:val="24"/>
          <w:vertAlign w:val="superscript"/>
        </w:rPr>
        <w:t>2</w:t>
      </w:r>
      <w:r>
        <w:rPr>
          <w:rFonts w:hint="eastAsia"/>
          <w:color w:val="000000"/>
          <w:sz w:val="24"/>
        </w:rPr>
        <w:t>，职工477人。产生生活污水和生活垃圾、饮食油烟等污染物。职工均为当地人，仅在上班时在厂里。每年产生生活污水5724m</w:t>
      </w:r>
      <w:r>
        <w:rPr>
          <w:rFonts w:hint="eastAsia"/>
          <w:color w:val="000000"/>
          <w:sz w:val="24"/>
          <w:vertAlign w:val="superscript"/>
        </w:rPr>
        <w:t>3</w:t>
      </w:r>
      <w:r>
        <w:rPr>
          <w:rFonts w:hint="eastAsia"/>
          <w:color w:val="000000"/>
          <w:sz w:val="24"/>
        </w:rPr>
        <w:t>（每人每天50m</w:t>
      </w:r>
      <w:r>
        <w:rPr>
          <w:rFonts w:hint="eastAsia"/>
          <w:color w:val="000000"/>
          <w:sz w:val="24"/>
          <w:vertAlign w:val="superscript"/>
        </w:rPr>
        <w:t>3</w:t>
      </w:r>
      <w:r>
        <w:rPr>
          <w:rFonts w:hint="eastAsia"/>
          <w:color w:val="000000"/>
          <w:sz w:val="24"/>
        </w:rPr>
        <w:t>用水，40m</w:t>
      </w:r>
      <w:r>
        <w:rPr>
          <w:rFonts w:hint="eastAsia"/>
          <w:color w:val="000000"/>
          <w:sz w:val="24"/>
          <w:vertAlign w:val="superscript"/>
        </w:rPr>
        <w:t>3</w:t>
      </w:r>
      <w:r>
        <w:rPr>
          <w:rFonts w:hint="eastAsia"/>
          <w:color w:val="000000"/>
          <w:sz w:val="24"/>
        </w:rPr>
        <w:t>排水，使用旱厕），生活垃圾143.1t（每人每天产生1kg垃圾）。</w:t>
      </w:r>
    </w:p>
    <w:p>
      <w:pPr>
        <w:spacing w:line="360" w:lineRule="auto"/>
        <w:ind w:firstLine="480" w:firstLineChars="200"/>
        <w:rPr>
          <w:rFonts w:hint="eastAsia" w:ascii="宋体" w:hAnsi="宋体"/>
          <w:color w:val="000000"/>
          <w:spacing w:val="8"/>
          <w:sz w:val="24"/>
          <w:szCs w:val="24"/>
        </w:rPr>
      </w:pPr>
      <w:r>
        <w:rPr>
          <w:rFonts w:hint="eastAsia"/>
          <w:color w:val="000000"/>
          <w:sz w:val="24"/>
        </w:rPr>
        <w:t>采矿厂有一个职工食堂，供一个班的职工伙食。食堂以煤、焦炭为燃料，会产生少量的燃煤废气和食堂油烟。据核算废气量35.28万m</w:t>
      </w:r>
      <w:r>
        <w:rPr>
          <w:rFonts w:hint="eastAsia"/>
          <w:color w:val="000000"/>
          <w:sz w:val="24"/>
          <w:vertAlign w:val="superscript"/>
        </w:rPr>
        <w:t>3</w:t>
      </w:r>
      <w:r>
        <w:rPr>
          <w:rFonts w:hint="eastAsia"/>
          <w:color w:val="000000"/>
          <w:sz w:val="24"/>
        </w:rPr>
        <w:t>/a，烟尘1.39t/a， SO20.28t/a,油烟气量约18.0万m</w:t>
      </w:r>
      <w:r>
        <w:rPr>
          <w:rFonts w:hint="eastAsia"/>
          <w:color w:val="000000"/>
          <w:sz w:val="24"/>
          <w:vertAlign w:val="superscript"/>
        </w:rPr>
        <w:t>3</w:t>
      </w:r>
      <w:r>
        <w:rPr>
          <w:rFonts w:hint="eastAsia"/>
          <w:color w:val="000000"/>
          <w:sz w:val="24"/>
        </w:rPr>
        <w:t>/a，油烟浓</w:t>
      </w:r>
      <w:r>
        <w:rPr>
          <w:rFonts w:hint="eastAsia"/>
          <w:color w:val="000000"/>
          <w:sz w:val="24"/>
          <w:szCs w:val="24"/>
        </w:rPr>
        <w:t>度约</w:t>
      </w:r>
      <w:r>
        <w:rPr>
          <w:rFonts w:hint="eastAsia" w:ascii="宋体" w:hAnsi="宋体"/>
          <w:color w:val="000000"/>
          <w:spacing w:val="8"/>
          <w:sz w:val="24"/>
          <w:szCs w:val="24"/>
        </w:rPr>
        <w:t>4mg/m</w:t>
      </w:r>
      <w:r>
        <w:rPr>
          <w:rFonts w:hint="eastAsia" w:ascii="宋体" w:hAnsi="宋体"/>
          <w:color w:val="000000"/>
          <w:spacing w:val="8"/>
          <w:sz w:val="24"/>
          <w:szCs w:val="24"/>
          <w:vertAlign w:val="superscript"/>
        </w:rPr>
        <w:t>3</w:t>
      </w:r>
    </w:p>
    <w:bookmarkEnd w:id="176"/>
    <w:p>
      <w:pPr>
        <w:spacing w:line="360" w:lineRule="auto"/>
        <w:ind w:firstLine="482" w:firstLineChars="200"/>
        <w:rPr>
          <w:rFonts w:hint="eastAsia"/>
          <w:b/>
          <w:color w:val="000000"/>
          <w:sz w:val="24"/>
        </w:rPr>
      </w:pPr>
      <w:r>
        <w:rPr>
          <w:rFonts w:hint="eastAsia"/>
          <w:b/>
          <w:color w:val="000000"/>
          <w:sz w:val="24"/>
        </w:rPr>
        <w:t>2.4.6.2选矿厂产排污情况</w:t>
      </w:r>
    </w:p>
    <w:p>
      <w:pPr>
        <w:spacing w:line="360" w:lineRule="auto"/>
        <w:ind w:firstLine="480" w:firstLineChars="200"/>
        <w:rPr>
          <w:rFonts w:hint="eastAsia"/>
          <w:color w:val="000000"/>
          <w:sz w:val="24"/>
        </w:rPr>
      </w:pPr>
      <w:bookmarkStart w:id="177" w:name="_Toc353362726"/>
      <w:r>
        <w:rPr>
          <w:rFonts w:hint="eastAsia"/>
          <w:color w:val="000000"/>
          <w:sz w:val="24"/>
        </w:rPr>
        <w:t>（1）破碎工段</w:t>
      </w:r>
    </w:p>
    <w:p>
      <w:pPr>
        <w:spacing w:line="360" w:lineRule="auto"/>
        <w:ind w:firstLine="480" w:firstLineChars="200"/>
        <w:rPr>
          <w:color w:val="000000"/>
          <w:sz w:val="24"/>
        </w:rPr>
      </w:pPr>
      <w:r>
        <w:rPr>
          <w:rFonts w:hint="eastAsia"/>
          <w:color w:val="000000"/>
          <w:sz w:val="24"/>
        </w:rPr>
        <w:t>破碎工段产生的主要污染为噪声、粉尘和扬尘，由于属间歇性生产，产生污染也为间歇性产排污。硫化矿系统和氧化矿系统各有一套破碎工序，氧化矿系统离矿井口较近，原矿由轨道运输至其附近，因此氧化矿采用矿车运至原矿堆场，硫化矿则采用矿车运至原矿临时堆场后由汽车运输（运距约300余m）破碎工序，原料破碎采用封闭式作业，破碎工序设在厂房内，原无除尘设施，破碎粉尘和扬尘无组织排放，硫化矿系统已安装除尘器，采用喷淋除尘方式除尘。</w:t>
      </w:r>
    </w:p>
    <w:p>
      <w:pPr>
        <w:spacing w:line="360" w:lineRule="auto"/>
        <w:ind w:firstLine="480" w:firstLineChars="200"/>
        <w:outlineLvl w:val="0"/>
        <w:rPr>
          <w:rFonts w:hint="eastAsia"/>
          <w:color w:val="000000"/>
          <w:sz w:val="24"/>
        </w:rPr>
      </w:pPr>
      <w:r>
        <w:rPr>
          <w:rFonts w:hint="eastAsia"/>
          <w:color w:val="000000"/>
          <w:sz w:val="24"/>
        </w:rPr>
        <w:t>（2）磨浮工段</w:t>
      </w:r>
    </w:p>
    <w:p>
      <w:pPr>
        <w:spacing w:line="360" w:lineRule="auto"/>
        <w:ind w:firstLine="480" w:firstLineChars="200"/>
        <w:rPr>
          <w:rFonts w:hint="eastAsia"/>
          <w:color w:val="000000"/>
          <w:sz w:val="24"/>
        </w:rPr>
      </w:pPr>
      <w:r>
        <w:rPr>
          <w:rFonts w:hint="eastAsia"/>
          <w:color w:val="000000"/>
          <w:sz w:val="24"/>
        </w:rPr>
        <w:t>磨浮工段产生的主要污染为噪声和废水，整个浮选过程是一个串联流程，先分别通过两个二段粗选、三段精选和一段扫选流程，先选出铅精矿，后选出锌精矿，然后尾矿进入小浮选回收有价金属，之后尾矿和废水进入摇床重选工序，重选后的尾矿送到鸡西尾矿库堆存，废水经50m³/h污水处理站处理后回用于生产。（3）浓密脱水工段</w:t>
      </w:r>
    </w:p>
    <w:p>
      <w:pPr>
        <w:spacing w:line="360" w:lineRule="auto"/>
        <w:ind w:firstLine="480" w:firstLineChars="200"/>
        <w:rPr>
          <w:rFonts w:hint="eastAsia"/>
          <w:color w:val="000000"/>
          <w:sz w:val="24"/>
        </w:rPr>
      </w:pPr>
      <w:r>
        <w:rPr>
          <w:rFonts w:hint="eastAsia"/>
          <w:color w:val="000000"/>
          <w:sz w:val="24"/>
        </w:rPr>
        <w:t>浓密脱水工段主要污染为噪声和废水，废水为浓密机脱出的浓密废水，经汇集进入汇集池，重复利用于尾矿重选工序用水。废水中含有微量的重金属元素（Pb、Zn等），根据水量平衡，浓密废水产生量约152.6m</w:t>
      </w:r>
      <w:r>
        <w:rPr>
          <w:rFonts w:hint="eastAsia"/>
          <w:color w:val="000000"/>
          <w:sz w:val="24"/>
          <w:vertAlign w:val="superscript"/>
        </w:rPr>
        <w:t>3</w:t>
      </w:r>
      <w:r>
        <w:rPr>
          <w:rFonts w:hint="eastAsia"/>
          <w:color w:val="000000"/>
          <w:sz w:val="24"/>
        </w:rPr>
        <w:t>/d。据矿厂提供资料，废水中重金属浓度在0.01%以下，为周期性不连续排放，经泵抽入摇床重选系统重复利用。</w:t>
      </w:r>
    </w:p>
    <w:p>
      <w:pPr>
        <w:spacing w:line="360" w:lineRule="auto"/>
        <w:ind w:firstLine="480" w:firstLineChars="200"/>
        <w:outlineLvl w:val="0"/>
        <w:rPr>
          <w:rFonts w:hint="eastAsia"/>
          <w:color w:val="000000"/>
          <w:sz w:val="24"/>
        </w:rPr>
      </w:pPr>
      <w:r>
        <w:rPr>
          <w:rFonts w:hint="eastAsia"/>
          <w:color w:val="000000"/>
          <w:sz w:val="24"/>
        </w:rPr>
        <w:t>（4）重选工序（尾矿）</w:t>
      </w:r>
    </w:p>
    <w:p>
      <w:pPr>
        <w:spacing w:line="360" w:lineRule="auto"/>
        <w:ind w:firstLine="480" w:firstLineChars="200"/>
        <w:rPr>
          <w:color w:val="000000"/>
          <w:sz w:val="24"/>
        </w:rPr>
      </w:pPr>
      <w:r>
        <w:rPr>
          <w:rFonts w:hint="eastAsia"/>
          <w:color w:val="000000"/>
          <w:sz w:val="24"/>
        </w:rPr>
        <w:t>重选工序的主要污染是尾矿、废水和噪声。公司</w:t>
      </w:r>
      <w:r>
        <w:rPr>
          <w:rFonts w:ascii="Calibri" w:hAnsi="Calibri"/>
          <w:color w:val="000000"/>
          <w:sz w:val="24"/>
        </w:rPr>
        <w:t>于2018年建设完成了鸡西尾矿库的建设工作</w:t>
      </w:r>
      <w:r>
        <w:rPr>
          <w:rFonts w:hint="eastAsia"/>
          <w:color w:val="000000"/>
          <w:sz w:val="24"/>
        </w:rPr>
        <w:t>，选矿后的尾矿全部堆存于尾矿库</w:t>
      </w:r>
      <w:r>
        <w:rPr>
          <w:rFonts w:ascii="Calibri" w:hAnsi="Calibri"/>
          <w:color w:val="000000"/>
          <w:sz w:val="24"/>
        </w:rPr>
        <w:t>；建设完成了初期雨水收集池（100m</w:t>
      </w:r>
      <w:r>
        <w:rPr>
          <w:rFonts w:ascii="Calibri" w:hAnsi="Calibri"/>
          <w:color w:val="000000"/>
          <w:sz w:val="24"/>
          <w:vertAlign w:val="superscript"/>
        </w:rPr>
        <w:t>3</w:t>
      </w:r>
      <w:r>
        <w:rPr>
          <w:rFonts w:ascii="Calibri" w:hAnsi="Calibri"/>
          <w:color w:val="000000"/>
          <w:sz w:val="24"/>
        </w:rPr>
        <w:t>），同时还有一个原矿堆场初期雨水收集池（100m</w:t>
      </w:r>
      <w:r>
        <w:rPr>
          <w:rFonts w:ascii="Calibri" w:hAnsi="Calibri"/>
          <w:color w:val="000000"/>
          <w:sz w:val="24"/>
          <w:vertAlign w:val="superscript"/>
        </w:rPr>
        <w:t>3</w:t>
      </w:r>
      <w:r>
        <w:rPr>
          <w:rFonts w:ascii="Calibri" w:hAnsi="Calibri"/>
          <w:color w:val="000000"/>
          <w:sz w:val="24"/>
        </w:rPr>
        <w:t>），同时进一步完善了厂区内雨污分流系统，建设了两个150m</w:t>
      </w:r>
      <w:r>
        <w:rPr>
          <w:rFonts w:ascii="Calibri" w:hAnsi="Calibri"/>
          <w:color w:val="000000"/>
          <w:sz w:val="24"/>
          <w:vertAlign w:val="superscript"/>
        </w:rPr>
        <w:t>3</w:t>
      </w:r>
      <w:r>
        <w:rPr>
          <w:rFonts w:ascii="Calibri" w:hAnsi="Calibri"/>
          <w:color w:val="000000"/>
          <w:sz w:val="24"/>
        </w:rPr>
        <w:t>的污水收集池，用于选矿过程产生的废水收集；已经单独开展了处理规模为50m3/h，工艺为“调和沉淀+活性炭吸附”的污水处理站建设，选矿产生的选矿废水经处置后能够全部回用，不外排。</w:t>
      </w:r>
    </w:p>
    <w:p>
      <w:pPr>
        <w:spacing w:line="360" w:lineRule="auto"/>
        <w:ind w:firstLine="482" w:firstLineChars="200"/>
        <w:outlineLvl w:val="0"/>
        <w:rPr>
          <w:rFonts w:hint="eastAsia"/>
          <w:b/>
          <w:color w:val="000000"/>
          <w:sz w:val="24"/>
        </w:rPr>
      </w:pPr>
      <w:r>
        <w:rPr>
          <w:rFonts w:hint="eastAsia"/>
          <w:b/>
          <w:color w:val="000000"/>
          <w:sz w:val="24"/>
        </w:rPr>
        <w:t>2.4.6.3污染物产生排放情况</w:t>
      </w:r>
      <w:bookmarkEnd w:id="177"/>
    </w:p>
    <w:p>
      <w:pPr>
        <w:spacing w:line="360" w:lineRule="auto"/>
        <w:ind w:firstLine="480" w:firstLineChars="200"/>
        <w:rPr>
          <w:rFonts w:hint="eastAsia" w:ascii="Calibri" w:hAnsi="Calibri"/>
          <w:color w:val="000000"/>
          <w:sz w:val="24"/>
        </w:rPr>
      </w:pPr>
      <w:r>
        <w:rPr>
          <w:rFonts w:hint="eastAsia" w:ascii="Calibri" w:hAnsi="Calibri"/>
          <w:color w:val="000000"/>
          <w:sz w:val="24"/>
        </w:rPr>
        <w:t>（1）废气产生排放情况</w:t>
      </w:r>
    </w:p>
    <w:p>
      <w:pPr>
        <w:spacing w:line="360" w:lineRule="auto"/>
        <w:ind w:firstLine="480" w:firstLineChars="200"/>
        <w:rPr>
          <w:rFonts w:hint="eastAsia" w:ascii="Calibri" w:hAnsi="Calibri"/>
          <w:color w:val="000000"/>
          <w:sz w:val="24"/>
        </w:rPr>
      </w:pPr>
      <w:r>
        <w:rPr>
          <w:rFonts w:hint="eastAsia" w:ascii="Calibri" w:hAnsi="Calibri"/>
          <w:color w:val="000000"/>
          <w:sz w:val="24"/>
        </w:rPr>
        <w:t>生产过程无工艺废气产生，在原矿的破碎系统有破碎粉尘产生。此外，原料矿石临时堆场和破碎原料转移输送过程有扬尘粉尘产生和排放。</w:t>
      </w:r>
    </w:p>
    <w:p>
      <w:pPr>
        <w:spacing w:line="360" w:lineRule="auto"/>
        <w:ind w:firstLine="480" w:firstLineChars="200"/>
        <w:rPr>
          <w:rFonts w:hint="eastAsia" w:ascii="Calibri" w:hAnsi="Calibri"/>
          <w:color w:val="000000"/>
          <w:sz w:val="24"/>
        </w:rPr>
      </w:pPr>
      <w:r>
        <w:rPr>
          <w:rFonts w:hint="eastAsia" w:ascii="Calibri" w:hAnsi="Calibri"/>
          <w:color w:val="000000"/>
          <w:sz w:val="24"/>
        </w:rPr>
        <w:t>硫化矿系统破碎工序安装了集气抽风除尘系统，采用湿法除尘，属有组织排放。排气量按3000m</w:t>
      </w:r>
      <w:r>
        <w:rPr>
          <w:rFonts w:hint="eastAsia" w:ascii="Calibri" w:hAnsi="Calibri"/>
          <w:color w:val="000000"/>
          <w:sz w:val="24"/>
          <w:vertAlign w:val="superscript"/>
        </w:rPr>
        <w:t>3</w:t>
      </w:r>
      <w:r>
        <w:rPr>
          <w:rFonts w:hint="eastAsia" w:ascii="Calibri" w:hAnsi="Calibri"/>
          <w:color w:val="000000"/>
          <w:sz w:val="24"/>
        </w:rPr>
        <w:t>/h，每天生产24h，每年300d，粉尘排放浓度80mg/m</w:t>
      </w:r>
      <w:r>
        <w:rPr>
          <w:rFonts w:hint="eastAsia" w:ascii="Calibri" w:hAnsi="Calibri"/>
          <w:color w:val="000000"/>
          <w:sz w:val="24"/>
          <w:vertAlign w:val="superscript"/>
        </w:rPr>
        <w:t>3</w:t>
      </w:r>
      <w:r>
        <w:rPr>
          <w:rFonts w:hint="eastAsia" w:ascii="Calibri" w:hAnsi="Calibri"/>
          <w:color w:val="000000"/>
          <w:sz w:val="24"/>
        </w:rPr>
        <w:t>，则每年排放粉尘量为1.73t。废气排放量为2160万m</w:t>
      </w:r>
      <w:r>
        <w:rPr>
          <w:rFonts w:hint="eastAsia" w:ascii="Calibri" w:hAnsi="Calibri"/>
          <w:color w:val="000000"/>
          <w:sz w:val="24"/>
          <w:vertAlign w:val="superscript"/>
        </w:rPr>
        <w:t>3</w:t>
      </w:r>
      <w:r>
        <w:rPr>
          <w:rFonts w:hint="eastAsia" w:ascii="Calibri" w:hAnsi="Calibri"/>
          <w:color w:val="000000"/>
          <w:sz w:val="24"/>
        </w:rPr>
        <w:t>/a。</w:t>
      </w:r>
    </w:p>
    <w:p>
      <w:pPr>
        <w:spacing w:line="360" w:lineRule="auto"/>
        <w:ind w:firstLine="480" w:firstLineChars="200"/>
        <w:rPr>
          <w:rFonts w:hint="eastAsia" w:ascii="Calibri" w:hAnsi="Calibri"/>
          <w:color w:val="000000"/>
          <w:sz w:val="24"/>
        </w:rPr>
      </w:pPr>
      <w:r>
        <w:rPr>
          <w:rFonts w:hint="eastAsia" w:ascii="Calibri" w:hAnsi="Calibri"/>
          <w:color w:val="000000"/>
          <w:sz w:val="24"/>
        </w:rPr>
        <w:t>氧化矿破碎系统无除尘装置，破碎粉尘无组织排放，经估算，这部分无组织排放粉尘为6.47t/a。此外，原料矿石在破碎前后的输送过程中会产生少量粉尘无组织排放。项目采取在重点产尘部分采用防尘罩防尘，破碎后的物料输送设于地下室和封闭厂房，可大量减少粉尘扬尘。这部分粉尘按总物料量的0.02‰计算，则排放1.63t。因此，无组织排放粉尘量为8.10t/a。</w:t>
      </w:r>
    </w:p>
    <w:p>
      <w:pPr>
        <w:spacing w:line="360" w:lineRule="auto"/>
        <w:ind w:firstLine="480" w:firstLineChars="200"/>
        <w:rPr>
          <w:rFonts w:hint="eastAsia" w:ascii="Calibri" w:hAnsi="Calibri"/>
          <w:color w:val="000000"/>
          <w:sz w:val="24"/>
        </w:rPr>
      </w:pPr>
      <w:r>
        <w:rPr>
          <w:rFonts w:hint="eastAsia" w:ascii="Calibri" w:hAnsi="Calibri"/>
          <w:color w:val="000000"/>
          <w:sz w:val="24"/>
        </w:rPr>
        <w:t>采矿厂主要产生井下采矿粉尘，用喷水抑尘措施防尘，对外环境无影响。此外矿车卸矿及矿石堆场有扬尘产生，并无组织排放。这部分粉尘按总物料量的0.01‰计算，则排放0.82t。</w:t>
      </w:r>
    </w:p>
    <w:p>
      <w:pPr>
        <w:spacing w:line="360" w:lineRule="auto"/>
        <w:ind w:firstLine="482" w:firstLineChars="200"/>
        <w:outlineLvl w:val="0"/>
        <w:rPr>
          <w:rFonts w:hint="eastAsia"/>
          <w:b/>
          <w:color w:val="000000"/>
          <w:sz w:val="24"/>
        </w:rPr>
      </w:pPr>
      <w:bookmarkStart w:id="178" w:name="_Toc22938149"/>
      <w:r>
        <w:rPr>
          <w:rFonts w:hint="eastAsia"/>
          <w:b/>
          <w:color w:val="000000"/>
          <w:sz w:val="24"/>
        </w:rPr>
        <w:t>（2）废水产生排放情况</w:t>
      </w:r>
      <w:bookmarkEnd w:id="178"/>
    </w:p>
    <w:p>
      <w:pPr>
        <w:spacing w:line="360" w:lineRule="auto"/>
        <w:ind w:firstLine="480" w:firstLineChars="200"/>
        <w:rPr>
          <w:rFonts w:hint="eastAsia"/>
          <w:color w:val="000000"/>
          <w:sz w:val="24"/>
        </w:rPr>
      </w:pPr>
      <w:bookmarkStart w:id="179" w:name="_Toc22938151"/>
      <w:r>
        <w:rPr>
          <w:rFonts w:hint="eastAsia"/>
          <w:color w:val="000000"/>
          <w:sz w:val="24"/>
        </w:rPr>
        <w:t>选矿厂废水主要产生在浮选后的含尾矿废水和浓密工序脱水产生的废水。含尾矿废水进入重选工序进一步回收残留的锌铅金属，重选后的尾矿进入鸡西尾矿库堆存，废水经处理规模为50m³/h的污水处理站处理后回用于生产不外排。采矿厂主要产生矿井涌水，每天约50m</w:t>
      </w:r>
      <w:r>
        <w:rPr>
          <w:rFonts w:hint="eastAsia"/>
          <w:color w:val="000000"/>
          <w:sz w:val="24"/>
          <w:vertAlign w:val="superscript"/>
        </w:rPr>
        <w:t>3</w:t>
      </w:r>
      <w:r>
        <w:rPr>
          <w:rFonts w:hint="eastAsia"/>
          <w:color w:val="000000"/>
          <w:sz w:val="24"/>
        </w:rPr>
        <w:t>/d，大部分用于井下抑尘，少量引至选矿厂用于选矿生产。</w:t>
      </w:r>
    </w:p>
    <w:p>
      <w:pPr>
        <w:spacing w:line="360" w:lineRule="auto"/>
        <w:ind w:firstLine="480" w:firstLineChars="200"/>
        <w:rPr>
          <w:rFonts w:hint="eastAsia"/>
          <w:color w:val="000000"/>
          <w:sz w:val="24"/>
        </w:rPr>
      </w:pPr>
      <w:r>
        <w:rPr>
          <w:rFonts w:hint="eastAsia"/>
          <w:color w:val="000000"/>
          <w:sz w:val="24"/>
        </w:rPr>
        <w:t>此外，选矿厂产生生活污水1572m</w:t>
      </w:r>
      <w:r>
        <w:rPr>
          <w:rFonts w:hint="eastAsia"/>
          <w:color w:val="000000"/>
          <w:sz w:val="24"/>
          <w:vertAlign w:val="superscript"/>
        </w:rPr>
        <w:t>3</w:t>
      </w:r>
      <w:r>
        <w:rPr>
          <w:rFonts w:hint="eastAsia"/>
          <w:color w:val="000000"/>
          <w:sz w:val="24"/>
        </w:rPr>
        <w:t>/a，采矿厂产生生活污水5724m</w:t>
      </w:r>
      <w:r>
        <w:rPr>
          <w:rFonts w:hint="eastAsia"/>
          <w:color w:val="000000"/>
          <w:sz w:val="24"/>
          <w:vertAlign w:val="superscript"/>
        </w:rPr>
        <w:t>3</w:t>
      </w:r>
      <w:r>
        <w:rPr>
          <w:rFonts w:hint="eastAsia"/>
          <w:color w:val="000000"/>
          <w:sz w:val="24"/>
        </w:rPr>
        <w:t>/a。生活污水中主要污染物BOD</w:t>
      </w:r>
      <w:r>
        <w:rPr>
          <w:rFonts w:hint="eastAsia"/>
          <w:color w:val="000000"/>
          <w:sz w:val="24"/>
          <w:vertAlign w:val="subscript"/>
        </w:rPr>
        <w:t>5</w:t>
      </w:r>
      <w:r>
        <w:rPr>
          <w:rFonts w:hint="eastAsia"/>
          <w:color w:val="000000"/>
          <w:sz w:val="24"/>
        </w:rPr>
        <w:t>：350mg/l,COD：180mg/l，SS：200mg/l，NH3-N：35mg/l,pH6-9,动植物油：10mg/l。生活区均使用旱厕，生活污水澄清后用于厂区洒水和绿化。</w:t>
      </w:r>
    </w:p>
    <w:p>
      <w:pPr>
        <w:spacing w:line="360" w:lineRule="auto"/>
        <w:ind w:firstLine="480" w:firstLineChars="200"/>
        <w:outlineLvl w:val="0"/>
        <w:rPr>
          <w:rFonts w:hint="eastAsia"/>
          <w:color w:val="000000"/>
          <w:sz w:val="24"/>
        </w:rPr>
      </w:pPr>
      <w:bookmarkStart w:id="180" w:name="_Toc22938150"/>
      <w:r>
        <w:rPr>
          <w:rFonts w:hint="eastAsia"/>
          <w:color w:val="000000"/>
          <w:sz w:val="24"/>
        </w:rPr>
        <w:t>（3）固体废弃物</w:t>
      </w:r>
      <w:bookmarkEnd w:id="180"/>
    </w:p>
    <w:p>
      <w:pPr>
        <w:spacing w:line="360" w:lineRule="auto"/>
        <w:ind w:firstLine="480" w:firstLineChars="200"/>
        <w:rPr>
          <w:rFonts w:hint="eastAsia"/>
          <w:color w:val="000000"/>
          <w:sz w:val="24"/>
        </w:rPr>
      </w:pPr>
      <w:r>
        <w:rPr>
          <w:rFonts w:hint="eastAsia"/>
          <w:color w:val="000000"/>
          <w:sz w:val="24"/>
        </w:rPr>
        <w:t>选矿厂固体废弃物主要为尾矿，年产生64458.42t，进入鸡西尾矿库堆存。采矿厂固废为采掘废石，年产生9900t，堆存于废石堆场，堆场已经完成拦渣坝、排洪沟的建设；。此外，生活垃圾经收集后运至富乐镇垃圾集中收集点处置。</w:t>
      </w:r>
    </w:p>
    <w:p>
      <w:pPr>
        <w:spacing w:line="360" w:lineRule="auto"/>
        <w:ind w:firstLine="480" w:firstLineChars="200"/>
        <w:outlineLvl w:val="0"/>
        <w:rPr>
          <w:rFonts w:hint="eastAsia"/>
          <w:color w:val="000000"/>
          <w:sz w:val="24"/>
        </w:rPr>
      </w:pPr>
      <w:r>
        <w:rPr>
          <w:rFonts w:hint="eastAsia"/>
          <w:color w:val="000000"/>
          <w:sz w:val="24"/>
        </w:rPr>
        <w:t>（4）噪声</w:t>
      </w:r>
      <w:bookmarkEnd w:id="179"/>
    </w:p>
    <w:p>
      <w:pPr>
        <w:spacing w:line="360" w:lineRule="auto"/>
        <w:ind w:firstLine="480" w:firstLineChars="200"/>
        <w:rPr>
          <w:rFonts w:hint="eastAsia"/>
          <w:color w:val="000000"/>
          <w:sz w:val="24"/>
        </w:rPr>
      </w:pPr>
      <w:r>
        <w:rPr>
          <w:rFonts w:hint="eastAsia"/>
          <w:color w:val="000000"/>
          <w:sz w:val="24"/>
        </w:rPr>
        <w:t>选矿厂的声源设备主要有破碎机、浮选机、球磨机、水泵等，声源强度分别为92.7dB（A）、78.2dB（A）、96.3dB（A）和76 dB（A）。</w:t>
      </w:r>
    </w:p>
    <w:p>
      <w:pPr>
        <w:spacing w:line="360" w:lineRule="auto"/>
        <w:ind w:firstLine="480" w:firstLineChars="200"/>
        <w:rPr>
          <w:rFonts w:hint="eastAsia"/>
          <w:color w:val="000000"/>
          <w:sz w:val="24"/>
        </w:rPr>
      </w:pPr>
      <w:r>
        <w:rPr>
          <w:rFonts w:hint="eastAsia"/>
          <w:color w:val="000000"/>
          <w:sz w:val="24"/>
        </w:rPr>
        <w:t>采矿厂噪声源主要为提升机、空气压缩机、轴流式风机、轨道矿车等，源强70-95db(A)。</w:t>
      </w:r>
    </w:p>
    <w:p>
      <w:pPr>
        <w:spacing w:line="360" w:lineRule="auto"/>
        <w:ind w:firstLine="480" w:firstLineChars="200"/>
        <w:rPr>
          <w:rFonts w:hint="eastAsia"/>
          <w:color w:val="000000"/>
          <w:sz w:val="24"/>
        </w:rPr>
      </w:pPr>
      <w:r>
        <w:rPr>
          <w:rFonts w:hint="eastAsia"/>
          <w:color w:val="000000"/>
          <w:sz w:val="24"/>
        </w:rPr>
        <w:t>周围居民村庄较远，距离均在500m以上，且有山体阻隔，声环境不敏感。办公区距声源也有一定距离，又有山体阻隔在办公区听不到生产噪声。噪声影响主要体现在对岗位职工的影响。</w:t>
      </w:r>
    </w:p>
    <w:p>
      <w:pPr>
        <w:spacing w:line="360" w:lineRule="auto"/>
        <w:ind w:firstLine="480" w:firstLineChars="200"/>
        <w:rPr>
          <w:rFonts w:hint="eastAsia"/>
          <w:color w:val="000000"/>
          <w:sz w:val="24"/>
        </w:rPr>
      </w:pPr>
      <w:r>
        <w:rPr>
          <w:rFonts w:hint="eastAsia"/>
          <w:color w:val="000000"/>
          <w:sz w:val="24"/>
        </w:rPr>
        <w:t>（5）污染物产生排放情况汇总情况详见见表2-35。</w:t>
      </w:r>
    </w:p>
    <w:p>
      <w:pPr>
        <w:pStyle w:val="21"/>
        <w:jc w:val="center"/>
        <w:rPr>
          <w:rFonts w:hint="eastAsia"/>
          <w:b/>
          <w:color w:val="000000"/>
          <w:spacing w:val="8"/>
          <w:sz w:val="24"/>
          <w:szCs w:val="24"/>
        </w:rPr>
      </w:pPr>
      <w:r>
        <w:rPr>
          <w:rFonts w:hint="eastAsia"/>
          <w:b/>
          <w:color w:val="000000"/>
          <w:spacing w:val="8"/>
          <w:sz w:val="24"/>
          <w:szCs w:val="24"/>
        </w:rPr>
        <w:t>表2-35  污染物产生排放情况汇总表</w:t>
      </w:r>
    </w:p>
    <w:tbl>
      <w:tblPr>
        <w:tblStyle w:val="35"/>
        <w:tblW w:w="9294" w:type="dxa"/>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058"/>
        <w:gridCol w:w="1325"/>
        <w:gridCol w:w="1074"/>
        <w:gridCol w:w="652"/>
        <w:gridCol w:w="443"/>
        <w:gridCol w:w="1247"/>
        <w:gridCol w:w="38"/>
        <w:gridCol w:w="1077"/>
        <w:gridCol w:w="649"/>
        <w:gridCol w:w="463"/>
        <w:gridCol w:w="1268"/>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rPr>
        <w:tc>
          <w:tcPr>
            <w:tcW w:w="9294" w:type="dxa"/>
            <w:gridSpan w:val="11"/>
            <w:noWrap w:val="0"/>
            <w:vAlign w:val="center"/>
          </w:tcPr>
          <w:p>
            <w:pPr>
              <w:pStyle w:val="21"/>
              <w:jc w:val="center"/>
              <w:rPr>
                <w:rFonts w:hint="eastAsia" w:ascii="宋体" w:hAnsi="宋体"/>
                <w:color w:val="000000"/>
                <w:spacing w:val="8"/>
                <w:sz w:val="21"/>
                <w:szCs w:val="21"/>
              </w:rPr>
            </w:pPr>
            <w:r>
              <w:rPr>
                <w:rFonts w:hint="eastAsia" w:ascii="宋体" w:hAnsi="宋体"/>
                <w:color w:val="000000"/>
                <w:spacing w:val="8"/>
                <w:sz w:val="21"/>
                <w:szCs w:val="21"/>
              </w:rPr>
              <w:t>废    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536" w:hRule="atLeast"/>
        </w:trPr>
        <w:tc>
          <w:tcPr>
            <w:tcW w:w="1058" w:type="dxa"/>
            <w:noWrap w:val="0"/>
            <w:vAlign w:val="center"/>
          </w:tcPr>
          <w:p>
            <w:pPr>
              <w:pStyle w:val="21"/>
              <w:jc w:val="both"/>
              <w:rPr>
                <w:rFonts w:hint="eastAsia" w:ascii="宋体" w:hAnsi="宋体"/>
                <w:color w:val="000000"/>
                <w:spacing w:val="8"/>
                <w:sz w:val="21"/>
                <w:szCs w:val="21"/>
              </w:rPr>
            </w:pPr>
            <w:r>
              <w:rPr>
                <w:rFonts w:hint="eastAsia" w:ascii="宋体" w:hAnsi="宋体"/>
                <w:color w:val="000000"/>
                <w:spacing w:val="8"/>
                <w:sz w:val="21"/>
                <w:szCs w:val="21"/>
              </w:rPr>
              <w:t>选矿厂</w:t>
            </w:r>
          </w:p>
        </w:tc>
        <w:tc>
          <w:tcPr>
            <w:tcW w:w="8236" w:type="dxa"/>
            <w:gridSpan w:val="10"/>
            <w:noWrap w:val="0"/>
            <w:vAlign w:val="center"/>
          </w:tcPr>
          <w:p>
            <w:pPr>
              <w:pStyle w:val="21"/>
              <w:jc w:val="both"/>
              <w:rPr>
                <w:rFonts w:hint="eastAsia" w:ascii="宋体" w:hAnsi="宋体"/>
                <w:color w:val="000000"/>
                <w:spacing w:val="8"/>
                <w:sz w:val="21"/>
                <w:szCs w:val="21"/>
              </w:rPr>
            </w:pPr>
            <w:r>
              <w:rPr>
                <w:rFonts w:hint="eastAsia" w:ascii="宋体" w:hAnsi="宋体"/>
                <w:color w:val="000000"/>
                <w:spacing w:val="8"/>
                <w:sz w:val="21"/>
                <w:szCs w:val="21"/>
              </w:rPr>
              <w:t>有组织：硫化矿系统破碎除尘 废气量3000m</w:t>
            </w:r>
            <w:r>
              <w:rPr>
                <w:rFonts w:hint="eastAsia" w:ascii="宋体" w:hAnsi="宋体"/>
                <w:color w:val="000000"/>
                <w:spacing w:val="8"/>
                <w:sz w:val="21"/>
                <w:szCs w:val="21"/>
                <w:vertAlign w:val="superscript"/>
              </w:rPr>
              <w:t>3</w:t>
            </w:r>
            <w:r>
              <w:rPr>
                <w:rFonts w:hint="eastAsia" w:ascii="宋体" w:hAnsi="宋体"/>
                <w:color w:val="000000"/>
                <w:spacing w:val="8"/>
                <w:sz w:val="21"/>
                <w:szCs w:val="21"/>
              </w:rPr>
              <w:t>/h，粉尘浓度80mg/m</w:t>
            </w:r>
            <w:r>
              <w:rPr>
                <w:rFonts w:hint="eastAsia" w:ascii="宋体" w:hAnsi="宋体"/>
                <w:color w:val="000000"/>
                <w:spacing w:val="8"/>
                <w:sz w:val="21"/>
                <w:szCs w:val="21"/>
                <w:vertAlign w:val="superscript"/>
              </w:rPr>
              <w:t>3</w:t>
            </w:r>
            <w:r>
              <w:rPr>
                <w:rFonts w:hint="eastAsia" w:ascii="宋体" w:hAnsi="宋体"/>
                <w:color w:val="000000"/>
                <w:spacing w:val="8"/>
                <w:sz w:val="21"/>
                <w:szCs w:val="21"/>
              </w:rPr>
              <w:t>，废气排放量为2160万m</w:t>
            </w:r>
            <w:r>
              <w:rPr>
                <w:rFonts w:hint="eastAsia" w:ascii="宋体" w:hAnsi="宋体"/>
                <w:color w:val="000000"/>
                <w:spacing w:val="8"/>
                <w:sz w:val="21"/>
                <w:szCs w:val="21"/>
                <w:vertAlign w:val="superscript"/>
              </w:rPr>
              <w:t>3</w:t>
            </w:r>
            <w:r>
              <w:rPr>
                <w:rFonts w:hint="eastAsia" w:ascii="宋体" w:hAnsi="宋体"/>
                <w:color w:val="000000"/>
                <w:spacing w:val="8"/>
                <w:sz w:val="21"/>
                <w:szCs w:val="21"/>
              </w:rPr>
              <w:t>/a,粉尘排放量：1.73t/a，排气筒高度15m，喷淋除尘。</w:t>
            </w:r>
          </w:p>
          <w:p>
            <w:pPr>
              <w:pStyle w:val="21"/>
              <w:jc w:val="both"/>
              <w:rPr>
                <w:rFonts w:hint="eastAsia" w:ascii="宋体" w:hAnsi="宋体"/>
                <w:color w:val="000000"/>
                <w:spacing w:val="8"/>
                <w:sz w:val="21"/>
                <w:szCs w:val="21"/>
              </w:rPr>
            </w:pPr>
            <w:r>
              <w:rPr>
                <w:rFonts w:hint="eastAsia" w:ascii="宋体" w:hAnsi="宋体"/>
                <w:color w:val="000000"/>
                <w:spacing w:val="8"/>
                <w:sz w:val="21"/>
                <w:szCs w:val="21"/>
              </w:rPr>
              <w:t>无组织：氧化矿系统破碎粉尘、物料输送、转运粉尘，粉尘排放量8.10t/a。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500" w:hRule="atLeast"/>
        </w:trPr>
        <w:tc>
          <w:tcPr>
            <w:tcW w:w="1058" w:type="dxa"/>
            <w:noWrap w:val="0"/>
            <w:vAlign w:val="center"/>
          </w:tcPr>
          <w:p>
            <w:pPr>
              <w:pStyle w:val="21"/>
              <w:spacing w:line="280" w:lineRule="exact"/>
              <w:jc w:val="both"/>
              <w:rPr>
                <w:rFonts w:hint="eastAsia" w:ascii="宋体" w:hAnsi="宋体"/>
                <w:color w:val="000000"/>
                <w:spacing w:val="8"/>
                <w:sz w:val="21"/>
                <w:szCs w:val="21"/>
              </w:rPr>
            </w:pPr>
            <w:r>
              <w:rPr>
                <w:rFonts w:hint="eastAsia" w:ascii="宋体" w:hAnsi="宋体"/>
                <w:color w:val="000000"/>
                <w:spacing w:val="8"/>
                <w:sz w:val="21"/>
                <w:szCs w:val="21"/>
              </w:rPr>
              <w:t>采矿厂</w:t>
            </w:r>
          </w:p>
        </w:tc>
        <w:tc>
          <w:tcPr>
            <w:tcW w:w="8236" w:type="dxa"/>
            <w:gridSpan w:val="10"/>
            <w:noWrap w:val="0"/>
            <w:vAlign w:val="center"/>
          </w:tcPr>
          <w:p>
            <w:pPr>
              <w:pStyle w:val="21"/>
              <w:spacing w:line="280" w:lineRule="exact"/>
              <w:jc w:val="both"/>
              <w:rPr>
                <w:rFonts w:hint="eastAsia" w:ascii="宋体" w:hAnsi="宋体"/>
                <w:color w:val="000000"/>
                <w:spacing w:val="8"/>
                <w:sz w:val="21"/>
                <w:szCs w:val="21"/>
              </w:rPr>
            </w:pPr>
            <w:r>
              <w:rPr>
                <w:rFonts w:hint="eastAsia" w:ascii="宋体" w:hAnsi="宋体"/>
                <w:color w:val="000000"/>
                <w:spacing w:val="8"/>
                <w:sz w:val="21"/>
                <w:szCs w:val="21"/>
              </w:rPr>
              <w:t>无组织：矿车卸矿和堆场粉尘，粉尘排放量0.82t/a。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34" w:hRule="atLeast"/>
        </w:trPr>
        <w:tc>
          <w:tcPr>
            <w:tcW w:w="9294" w:type="dxa"/>
            <w:gridSpan w:val="11"/>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生产废水（选矿厂）</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trHeight w:val="369" w:hRule="atLeast"/>
        </w:trPr>
        <w:tc>
          <w:tcPr>
            <w:tcW w:w="105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项目</w:t>
            </w:r>
          </w:p>
        </w:tc>
        <w:tc>
          <w:tcPr>
            <w:tcW w:w="1325"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废水量</w:t>
            </w:r>
          </w:p>
        </w:tc>
        <w:tc>
          <w:tcPr>
            <w:tcW w:w="1726"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Pb</w:t>
            </w:r>
          </w:p>
        </w:tc>
        <w:tc>
          <w:tcPr>
            <w:tcW w:w="1728" w:type="dxa"/>
            <w:gridSpan w:val="3"/>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Zn</w:t>
            </w:r>
          </w:p>
        </w:tc>
        <w:tc>
          <w:tcPr>
            <w:tcW w:w="1726"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SS</w:t>
            </w:r>
          </w:p>
        </w:tc>
        <w:tc>
          <w:tcPr>
            <w:tcW w:w="1729"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COD</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trHeight w:val="379" w:hRule="atLeast"/>
        </w:trPr>
        <w:tc>
          <w:tcPr>
            <w:tcW w:w="105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产生</w:t>
            </w:r>
          </w:p>
        </w:tc>
        <w:tc>
          <w:tcPr>
            <w:tcW w:w="1325"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284278m</w:t>
            </w:r>
            <w:r>
              <w:rPr>
                <w:rFonts w:hint="eastAsia" w:ascii="宋体" w:hAnsi="宋体"/>
                <w:color w:val="000000"/>
                <w:spacing w:val="8"/>
                <w:sz w:val="21"/>
                <w:szCs w:val="21"/>
                <w:vertAlign w:val="superscript"/>
              </w:rPr>
              <w:t>3</w:t>
            </w:r>
            <w:r>
              <w:rPr>
                <w:rFonts w:hint="eastAsia" w:ascii="宋体" w:hAnsi="宋体"/>
                <w:color w:val="000000"/>
                <w:spacing w:val="8"/>
                <w:sz w:val="21"/>
                <w:szCs w:val="21"/>
              </w:rPr>
              <w:t>/a</w:t>
            </w:r>
          </w:p>
        </w:tc>
        <w:tc>
          <w:tcPr>
            <w:tcW w:w="1726" w:type="dxa"/>
            <w:gridSpan w:val="2"/>
            <w:noWrap w:val="0"/>
            <w:vAlign w:val="center"/>
          </w:tcPr>
          <w:p>
            <w:pPr>
              <w:pStyle w:val="21"/>
              <w:spacing w:line="280" w:lineRule="exact"/>
              <w:jc w:val="center"/>
              <w:rPr>
                <w:rFonts w:ascii="宋体" w:hAnsi="宋体"/>
                <w:color w:val="000000"/>
                <w:spacing w:val="8"/>
                <w:sz w:val="21"/>
                <w:szCs w:val="21"/>
              </w:rPr>
            </w:pPr>
            <w:r>
              <w:rPr>
                <w:rFonts w:hint="eastAsia" w:ascii="宋体" w:hAnsi="宋体"/>
                <w:color w:val="000000"/>
                <w:spacing w:val="8"/>
                <w:sz w:val="21"/>
                <w:szCs w:val="21"/>
              </w:rPr>
              <w:t>0.063mg/L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0.018t/a</w:t>
            </w:r>
          </w:p>
        </w:tc>
        <w:tc>
          <w:tcPr>
            <w:tcW w:w="1728" w:type="dxa"/>
            <w:gridSpan w:val="3"/>
            <w:noWrap w:val="0"/>
            <w:vAlign w:val="center"/>
          </w:tcPr>
          <w:p>
            <w:pPr>
              <w:pStyle w:val="21"/>
              <w:spacing w:line="280" w:lineRule="exact"/>
              <w:jc w:val="center"/>
              <w:rPr>
                <w:rFonts w:ascii="宋体" w:hAnsi="宋体"/>
                <w:color w:val="000000"/>
                <w:spacing w:val="8"/>
                <w:sz w:val="21"/>
                <w:szCs w:val="21"/>
              </w:rPr>
            </w:pPr>
            <w:r>
              <w:rPr>
                <w:rFonts w:hint="eastAsia" w:ascii="宋体" w:hAnsi="宋体"/>
                <w:color w:val="000000"/>
                <w:spacing w:val="8"/>
                <w:sz w:val="21"/>
                <w:szCs w:val="21"/>
              </w:rPr>
              <w:t>0.236mg/L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0.067t/a</w:t>
            </w:r>
          </w:p>
        </w:tc>
        <w:tc>
          <w:tcPr>
            <w:tcW w:w="1726" w:type="dxa"/>
            <w:gridSpan w:val="2"/>
            <w:noWrap w:val="0"/>
            <w:vAlign w:val="center"/>
          </w:tcPr>
          <w:p>
            <w:pPr>
              <w:pStyle w:val="21"/>
              <w:spacing w:line="280" w:lineRule="exact"/>
              <w:jc w:val="center"/>
              <w:rPr>
                <w:rFonts w:ascii="宋体" w:hAnsi="宋体"/>
                <w:color w:val="000000"/>
                <w:spacing w:val="8"/>
                <w:sz w:val="21"/>
                <w:szCs w:val="21"/>
              </w:rPr>
            </w:pPr>
            <w:r>
              <w:rPr>
                <w:rFonts w:hint="eastAsia" w:ascii="宋体" w:hAnsi="宋体"/>
                <w:color w:val="000000"/>
                <w:spacing w:val="8"/>
                <w:sz w:val="21"/>
                <w:szCs w:val="21"/>
              </w:rPr>
              <w:t>2025mg/L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575.7t/a</w:t>
            </w:r>
          </w:p>
        </w:tc>
        <w:tc>
          <w:tcPr>
            <w:tcW w:w="1729"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38.7 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11.00 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trHeight w:val="379" w:hRule="atLeast"/>
        </w:trPr>
        <w:tc>
          <w:tcPr>
            <w:tcW w:w="105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排放</w:t>
            </w:r>
          </w:p>
        </w:tc>
        <w:tc>
          <w:tcPr>
            <w:tcW w:w="1325"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161732 m</w:t>
            </w:r>
            <w:r>
              <w:rPr>
                <w:rFonts w:hint="eastAsia" w:ascii="宋体" w:hAnsi="宋体"/>
                <w:color w:val="000000"/>
                <w:spacing w:val="8"/>
                <w:sz w:val="21"/>
                <w:szCs w:val="21"/>
                <w:vertAlign w:val="superscript"/>
              </w:rPr>
              <w:t>3</w:t>
            </w:r>
            <w:r>
              <w:rPr>
                <w:rFonts w:hint="eastAsia" w:ascii="宋体" w:hAnsi="宋体"/>
                <w:color w:val="000000"/>
                <w:spacing w:val="8"/>
                <w:sz w:val="21"/>
                <w:szCs w:val="21"/>
              </w:rPr>
              <w:t>/a</w:t>
            </w:r>
          </w:p>
        </w:tc>
        <w:tc>
          <w:tcPr>
            <w:tcW w:w="1726"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L</w:t>
            </w:r>
          </w:p>
        </w:tc>
        <w:tc>
          <w:tcPr>
            <w:tcW w:w="1728" w:type="dxa"/>
            <w:gridSpan w:val="3"/>
            <w:noWrap w:val="0"/>
            <w:vAlign w:val="center"/>
          </w:tcPr>
          <w:p>
            <w:pPr>
              <w:pStyle w:val="21"/>
              <w:spacing w:line="280" w:lineRule="exact"/>
              <w:jc w:val="center"/>
              <w:rPr>
                <w:rFonts w:ascii="宋体" w:hAnsi="宋体"/>
                <w:color w:val="000000"/>
                <w:spacing w:val="8"/>
                <w:sz w:val="21"/>
                <w:szCs w:val="21"/>
              </w:rPr>
            </w:pPr>
            <w:r>
              <w:rPr>
                <w:rFonts w:hint="eastAsia" w:ascii="宋体" w:hAnsi="宋体"/>
                <w:color w:val="000000"/>
                <w:spacing w:val="8"/>
                <w:sz w:val="21"/>
                <w:szCs w:val="21"/>
              </w:rPr>
              <w:t>0.043mg/L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0.007t/a</w:t>
            </w:r>
          </w:p>
        </w:tc>
        <w:tc>
          <w:tcPr>
            <w:tcW w:w="1726" w:type="dxa"/>
            <w:gridSpan w:val="2"/>
            <w:noWrap w:val="0"/>
            <w:vAlign w:val="center"/>
          </w:tcPr>
          <w:p>
            <w:pPr>
              <w:pStyle w:val="21"/>
              <w:spacing w:line="280" w:lineRule="exact"/>
              <w:jc w:val="center"/>
              <w:rPr>
                <w:rFonts w:ascii="宋体" w:hAnsi="宋体"/>
                <w:color w:val="000000"/>
                <w:spacing w:val="8"/>
                <w:sz w:val="21"/>
                <w:szCs w:val="21"/>
              </w:rPr>
            </w:pPr>
            <w:r>
              <w:rPr>
                <w:rFonts w:hint="eastAsia" w:ascii="宋体" w:hAnsi="宋体"/>
                <w:color w:val="000000"/>
                <w:spacing w:val="8"/>
                <w:sz w:val="21"/>
                <w:szCs w:val="21"/>
              </w:rPr>
              <w:t>63mg/L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10.2t/a</w:t>
            </w:r>
          </w:p>
        </w:tc>
        <w:tc>
          <w:tcPr>
            <w:tcW w:w="1729"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25.4 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4.11 t/a</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rPr>
        <w:tc>
          <w:tcPr>
            <w:tcW w:w="1058" w:type="dxa"/>
            <w:noWrap w:val="0"/>
            <w:vAlign w:val="center"/>
          </w:tcPr>
          <w:p>
            <w:pPr>
              <w:pStyle w:val="21"/>
              <w:spacing w:line="280" w:lineRule="exact"/>
              <w:jc w:val="center"/>
              <w:rPr>
                <w:rFonts w:hint="eastAsia" w:ascii="宋体" w:hAnsi="宋体"/>
                <w:color w:val="000000"/>
                <w:spacing w:val="8"/>
                <w:sz w:val="21"/>
                <w:szCs w:val="21"/>
              </w:rPr>
            </w:pPr>
          </w:p>
        </w:tc>
        <w:tc>
          <w:tcPr>
            <w:tcW w:w="8236" w:type="dxa"/>
            <w:gridSpan w:val="10"/>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注：废水中Cd、Cu等均未检出</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rPr>
        <w:tc>
          <w:tcPr>
            <w:tcW w:w="9294" w:type="dxa"/>
            <w:gridSpan w:val="11"/>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生活废水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rPr>
        <w:tc>
          <w:tcPr>
            <w:tcW w:w="105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项目</w:t>
            </w:r>
          </w:p>
        </w:tc>
        <w:tc>
          <w:tcPr>
            <w:tcW w:w="1325"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废水量</w:t>
            </w:r>
          </w:p>
        </w:tc>
        <w:tc>
          <w:tcPr>
            <w:tcW w:w="1074"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BOD5</w:t>
            </w:r>
          </w:p>
        </w:tc>
        <w:tc>
          <w:tcPr>
            <w:tcW w:w="1095"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COD</w:t>
            </w:r>
          </w:p>
        </w:tc>
        <w:tc>
          <w:tcPr>
            <w:tcW w:w="1247"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SS</w:t>
            </w:r>
          </w:p>
        </w:tc>
        <w:tc>
          <w:tcPr>
            <w:tcW w:w="1115"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NH3-N</w:t>
            </w:r>
          </w:p>
        </w:tc>
        <w:tc>
          <w:tcPr>
            <w:tcW w:w="1112"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动植物油</w:t>
            </w:r>
          </w:p>
        </w:tc>
        <w:tc>
          <w:tcPr>
            <w:tcW w:w="126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pH</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84" w:hRule="atLeast"/>
        </w:trPr>
        <w:tc>
          <w:tcPr>
            <w:tcW w:w="105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产生</w:t>
            </w:r>
          </w:p>
        </w:tc>
        <w:tc>
          <w:tcPr>
            <w:tcW w:w="1325"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7296m</w:t>
            </w:r>
            <w:r>
              <w:rPr>
                <w:rFonts w:hint="eastAsia" w:ascii="宋体" w:hAnsi="宋体"/>
                <w:color w:val="000000"/>
                <w:spacing w:val="8"/>
                <w:sz w:val="21"/>
                <w:szCs w:val="21"/>
                <w:vertAlign w:val="superscript"/>
              </w:rPr>
              <w:t>3</w:t>
            </w:r>
            <w:r>
              <w:rPr>
                <w:rFonts w:hint="eastAsia" w:ascii="宋体" w:hAnsi="宋体"/>
                <w:color w:val="000000"/>
                <w:spacing w:val="8"/>
                <w:sz w:val="21"/>
                <w:szCs w:val="21"/>
              </w:rPr>
              <w:t>/a</w:t>
            </w:r>
          </w:p>
        </w:tc>
        <w:tc>
          <w:tcPr>
            <w:tcW w:w="1074"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350 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2.55t/a</w:t>
            </w:r>
          </w:p>
        </w:tc>
        <w:tc>
          <w:tcPr>
            <w:tcW w:w="1095"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180 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1.31t/a</w:t>
            </w:r>
          </w:p>
        </w:tc>
        <w:tc>
          <w:tcPr>
            <w:tcW w:w="1247"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200 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1.46t/a</w:t>
            </w:r>
          </w:p>
        </w:tc>
        <w:tc>
          <w:tcPr>
            <w:tcW w:w="1115"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35 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0.26t/a</w:t>
            </w:r>
          </w:p>
        </w:tc>
        <w:tc>
          <w:tcPr>
            <w:tcW w:w="1112" w:type="dxa"/>
            <w:gridSpan w:val="2"/>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10 mg/L</w:t>
            </w:r>
          </w:p>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0.07t/a</w:t>
            </w:r>
          </w:p>
        </w:tc>
        <w:tc>
          <w:tcPr>
            <w:tcW w:w="126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6-9</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rPr>
        <w:tc>
          <w:tcPr>
            <w:tcW w:w="1058" w:type="dxa"/>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排放</w:t>
            </w:r>
          </w:p>
        </w:tc>
        <w:tc>
          <w:tcPr>
            <w:tcW w:w="8236" w:type="dxa"/>
            <w:gridSpan w:val="10"/>
            <w:noWrap w:val="0"/>
            <w:vAlign w:val="center"/>
          </w:tcPr>
          <w:p>
            <w:pPr>
              <w:pStyle w:val="21"/>
              <w:spacing w:line="280" w:lineRule="exact"/>
              <w:jc w:val="center"/>
              <w:rPr>
                <w:rFonts w:hint="eastAsia" w:ascii="宋体" w:hAnsi="宋体"/>
                <w:color w:val="000000"/>
                <w:spacing w:val="8"/>
                <w:sz w:val="21"/>
                <w:szCs w:val="21"/>
              </w:rPr>
            </w:pPr>
            <w:r>
              <w:rPr>
                <w:rFonts w:hint="eastAsia" w:ascii="宋体" w:hAnsi="宋体"/>
                <w:color w:val="000000"/>
                <w:spacing w:val="8"/>
                <w:sz w:val="21"/>
                <w:szCs w:val="21"/>
              </w:rPr>
              <w:t>不排放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rPr>
        <w:tc>
          <w:tcPr>
            <w:tcW w:w="9294" w:type="dxa"/>
            <w:gridSpan w:val="11"/>
            <w:noWrap w:val="0"/>
            <w:vAlign w:val="center"/>
          </w:tcPr>
          <w:p>
            <w:pPr>
              <w:pStyle w:val="21"/>
              <w:spacing w:line="280" w:lineRule="exact"/>
              <w:jc w:val="both"/>
              <w:rPr>
                <w:rFonts w:hint="eastAsia" w:ascii="宋体" w:hAnsi="宋体"/>
                <w:color w:val="000000"/>
                <w:spacing w:val="8"/>
                <w:sz w:val="21"/>
                <w:szCs w:val="21"/>
              </w:rPr>
            </w:pPr>
            <w:r>
              <w:rPr>
                <w:rFonts w:hint="eastAsia" w:ascii="宋体" w:hAnsi="宋体"/>
                <w:color w:val="000000"/>
                <w:spacing w:val="8"/>
                <w:sz w:val="21"/>
                <w:szCs w:val="21"/>
              </w:rPr>
              <w:t>固体废弃物：选矿厂尾矿64458.42t/a，采矿厂废石9900t/a，充填井下采空区。生活垃圾182.4t/a，填埋处置。</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rPr>
        <w:tc>
          <w:tcPr>
            <w:tcW w:w="9294" w:type="dxa"/>
            <w:gridSpan w:val="11"/>
            <w:noWrap w:val="0"/>
            <w:vAlign w:val="center"/>
          </w:tcPr>
          <w:p>
            <w:pPr>
              <w:pStyle w:val="21"/>
              <w:spacing w:line="280" w:lineRule="exact"/>
              <w:rPr>
                <w:rFonts w:hint="eastAsia" w:ascii="宋体" w:hAnsi="宋体"/>
                <w:color w:val="000000"/>
                <w:sz w:val="21"/>
                <w:szCs w:val="21"/>
              </w:rPr>
            </w:pPr>
            <w:r>
              <w:rPr>
                <w:rFonts w:hint="eastAsia" w:ascii="宋体" w:hAnsi="宋体"/>
                <w:color w:val="000000"/>
                <w:spacing w:val="8"/>
                <w:sz w:val="21"/>
                <w:szCs w:val="21"/>
              </w:rPr>
              <w:t>噪声：选矿厂声源：破碎机、球磨机、浮选机、声源强度78～96dB（A）；采矿厂声源：</w:t>
            </w:r>
            <w:r>
              <w:rPr>
                <w:rFonts w:hint="eastAsia" w:ascii="宋体" w:hAnsi="宋体"/>
                <w:color w:val="000000"/>
                <w:sz w:val="21"/>
                <w:szCs w:val="21"/>
              </w:rPr>
              <w:t>提升机、空气压缩机、轴流式风机、轨道矿车等，源强70-95db(A)。</w:t>
            </w:r>
          </w:p>
        </w:tc>
      </w:tr>
    </w:tbl>
    <w:p>
      <w:pPr>
        <w:spacing w:line="280" w:lineRule="exact"/>
        <w:ind w:firstLine="420" w:firstLineChars="200"/>
        <w:rPr>
          <w:rFonts w:hint="eastAsia"/>
          <w:color w:val="000000"/>
        </w:rPr>
      </w:pPr>
    </w:p>
    <w:p>
      <w:pPr>
        <w:pStyle w:val="5"/>
        <w:rPr>
          <w:rFonts w:hint="eastAsia"/>
          <w:color w:val="000000"/>
        </w:rPr>
      </w:pPr>
      <w:bookmarkStart w:id="181" w:name="_Toc23000877"/>
      <w:r>
        <w:rPr>
          <w:rFonts w:hint="eastAsia"/>
          <w:color w:val="000000"/>
        </w:rPr>
        <w:t>2.4.7</w:t>
      </w:r>
      <w:r>
        <w:rPr>
          <w:color w:val="000000"/>
        </w:rPr>
        <w:t>污染</w:t>
      </w:r>
      <w:r>
        <w:rPr>
          <w:rFonts w:hint="eastAsia"/>
          <w:color w:val="000000"/>
        </w:rPr>
        <w:t>物治理情况</w:t>
      </w:r>
      <w:bookmarkEnd w:id="181"/>
    </w:p>
    <w:p>
      <w:pPr>
        <w:spacing w:line="360" w:lineRule="auto"/>
        <w:ind w:firstLine="482" w:firstLineChars="200"/>
        <w:rPr>
          <w:rFonts w:hint="eastAsia" w:ascii="宋体" w:hAnsi="宋体"/>
          <w:b/>
          <w:color w:val="000000"/>
          <w:kern w:val="0"/>
          <w:sz w:val="24"/>
          <w:szCs w:val="24"/>
        </w:rPr>
      </w:pPr>
      <w:r>
        <w:rPr>
          <w:rFonts w:hint="eastAsia" w:ascii="宋体" w:hAnsi="宋体"/>
          <w:b/>
          <w:color w:val="000000"/>
          <w:kern w:val="0"/>
          <w:sz w:val="24"/>
          <w:szCs w:val="24"/>
        </w:rPr>
        <w:t>2.4.7.1矿山污染治理情况</w:t>
      </w:r>
    </w:p>
    <w:p>
      <w:pPr>
        <w:spacing w:line="360" w:lineRule="auto"/>
        <w:ind w:firstLine="480" w:firstLineChars="200"/>
        <w:outlineLvl w:val="0"/>
        <w:rPr>
          <w:rFonts w:hint="eastAsia" w:ascii="宋体" w:hAnsi="宋体"/>
          <w:color w:val="000000"/>
          <w:kern w:val="0"/>
          <w:sz w:val="24"/>
          <w:szCs w:val="24"/>
        </w:rPr>
      </w:pPr>
      <w:r>
        <w:rPr>
          <w:rFonts w:hint="eastAsia" w:ascii="宋体" w:hAnsi="宋体"/>
          <w:color w:val="000000"/>
          <w:kern w:val="0"/>
          <w:sz w:val="24"/>
          <w:szCs w:val="24"/>
        </w:rPr>
        <w:t>（1）粉尘治理</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井下独头工作面（凿岩巷道）不能形成贯穿风流，因此需要局扇或其它措施（如循环净化）进行局部通风，目前较实用的办法仍是局扇加风筒，利用</w:t>
      </w:r>
      <w:r>
        <w:rPr>
          <w:rFonts w:ascii="宋体" w:hAnsi="宋体"/>
          <w:color w:val="000000"/>
          <w:kern w:val="0"/>
          <w:sz w:val="24"/>
          <w:szCs w:val="24"/>
        </w:rPr>
        <w:t>PVC</w:t>
      </w:r>
      <w:r>
        <w:rPr>
          <w:rFonts w:hint="eastAsia" w:ascii="宋体" w:hAnsi="宋体"/>
          <w:color w:val="000000"/>
          <w:kern w:val="0"/>
          <w:sz w:val="24"/>
          <w:szCs w:val="24"/>
        </w:rPr>
        <w:t>管作局扇风筒是矿山局部通风的新模式，这种局部通风方式漏风少、效率高，较传统胶皮风筒通风方式有较大优势；本矿的通风除尘、防尘重点在各采场溜井口卸装矿点等，以喷雾洒水为主。</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本矿的通风除尘、防尘重点在各采场溜井口卸装矿点等，以喷雾洒水为主。</w:t>
      </w:r>
    </w:p>
    <w:p>
      <w:pPr>
        <w:spacing w:line="360" w:lineRule="auto"/>
        <w:ind w:firstLine="480" w:firstLineChars="200"/>
        <w:rPr>
          <w:rFonts w:hint="eastAsia" w:ascii="宋体" w:hAnsi="宋体"/>
          <w:color w:val="000000"/>
          <w:kern w:val="0"/>
          <w:sz w:val="24"/>
          <w:szCs w:val="24"/>
        </w:rPr>
      </w:pPr>
      <w:bookmarkStart w:id="182" w:name="_Toc474018606"/>
      <w:bookmarkStart w:id="183" w:name="_Toc477356495"/>
      <w:bookmarkStart w:id="184" w:name="_Toc532506325"/>
      <w:r>
        <w:rPr>
          <w:rFonts w:hint="eastAsia" w:ascii="宋体" w:hAnsi="宋体"/>
          <w:color w:val="000000"/>
          <w:kern w:val="0"/>
          <w:sz w:val="24"/>
          <w:szCs w:val="24"/>
        </w:rPr>
        <w:t>（2）噪声</w:t>
      </w:r>
      <w:bookmarkEnd w:id="182"/>
      <w:bookmarkEnd w:id="183"/>
      <w:r>
        <w:rPr>
          <w:rFonts w:hint="eastAsia" w:ascii="宋体" w:hAnsi="宋体"/>
          <w:color w:val="000000"/>
          <w:kern w:val="0"/>
          <w:sz w:val="24"/>
          <w:szCs w:val="24"/>
        </w:rPr>
        <w:t>治理</w:t>
      </w:r>
      <w:bookmarkEnd w:id="184"/>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矿山主要噪声源为通风机、局扇、凿岩机、空压机、装载机。矿山主要产生噪声设备表见表</w:t>
      </w:r>
      <w:r>
        <w:rPr>
          <w:rFonts w:ascii="宋体" w:hAnsi="宋体"/>
          <w:color w:val="000000"/>
          <w:kern w:val="0"/>
          <w:sz w:val="24"/>
          <w:szCs w:val="24"/>
        </w:rPr>
        <w:t>8-1</w:t>
      </w:r>
      <w:r>
        <w:rPr>
          <w:rFonts w:hint="eastAsia" w:ascii="宋体" w:hAnsi="宋体"/>
          <w:color w:val="000000"/>
          <w:kern w:val="0"/>
          <w:sz w:val="24"/>
          <w:szCs w:val="24"/>
        </w:rPr>
        <w:t>。</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设计采用如下措施降低噪声水平：</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①设备选型选择低噪声设备，设立隔声值班室；</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②工作人员配隔声防护用品（如戴防护耳塞、耳罩等），并作好机电设备的维护，使之处于良好的运转状态；详见表2-36。</w:t>
      </w:r>
    </w:p>
    <w:p>
      <w:pPr>
        <w:spacing w:line="280" w:lineRule="exact"/>
        <w:ind w:firstLine="482" w:firstLineChars="200"/>
        <w:jc w:val="center"/>
        <w:rPr>
          <w:rFonts w:hint="eastAsia" w:ascii="宋体" w:hAnsi="宋体"/>
          <w:b/>
          <w:color w:val="000000"/>
          <w:kern w:val="0"/>
          <w:sz w:val="24"/>
          <w:szCs w:val="24"/>
        </w:rPr>
      </w:pPr>
      <w:r>
        <w:rPr>
          <w:rFonts w:hint="eastAsia" w:ascii="宋体" w:hAnsi="宋体"/>
          <w:b/>
          <w:color w:val="000000"/>
          <w:kern w:val="0"/>
          <w:sz w:val="24"/>
          <w:szCs w:val="24"/>
        </w:rPr>
        <w:t>表2</w:t>
      </w:r>
      <w:r>
        <w:rPr>
          <w:rFonts w:ascii="宋体" w:hAnsi="宋体"/>
          <w:b/>
          <w:color w:val="000000"/>
          <w:kern w:val="0"/>
          <w:sz w:val="24"/>
          <w:szCs w:val="24"/>
        </w:rPr>
        <w:t>-</w:t>
      </w:r>
      <w:r>
        <w:rPr>
          <w:rFonts w:hint="eastAsia" w:ascii="宋体" w:hAnsi="宋体"/>
          <w:b/>
          <w:color w:val="000000"/>
          <w:kern w:val="0"/>
          <w:sz w:val="24"/>
          <w:szCs w:val="24"/>
        </w:rPr>
        <w:t>36</w:t>
      </w:r>
      <w:r>
        <w:rPr>
          <w:rFonts w:ascii="宋体" w:hAnsi="宋体"/>
          <w:b/>
          <w:color w:val="000000"/>
          <w:kern w:val="0"/>
          <w:sz w:val="24"/>
          <w:szCs w:val="24"/>
        </w:rPr>
        <w:t xml:space="preserve">  </w:t>
      </w:r>
      <w:r>
        <w:rPr>
          <w:rFonts w:hint="eastAsia" w:ascii="宋体" w:hAnsi="宋体"/>
          <w:b/>
          <w:color w:val="000000"/>
          <w:kern w:val="0"/>
          <w:sz w:val="24"/>
          <w:szCs w:val="24"/>
        </w:rPr>
        <w:t>矿山主要产生噪声设备表</w:t>
      </w:r>
    </w:p>
    <w:tbl>
      <w:tblPr>
        <w:tblStyle w:val="35"/>
        <w:tblW w:w="0" w:type="auto"/>
        <w:tblInd w:w="6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3"/>
        <w:gridCol w:w="2278"/>
        <w:gridCol w:w="2279"/>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 w:hRule="atLeast"/>
        </w:trPr>
        <w:tc>
          <w:tcPr>
            <w:tcW w:w="1643" w:type="dxa"/>
            <w:noWrap w:val="0"/>
            <w:vAlign w:val="center"/>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序</w:t>
            </w:r>
            <w:r>
              <w:rPr>
                <w:rFonts w:ascii="宋体" w:hAnsi="宋体"/>
                <w:color w:val="000000"/>
                <w:kern w:val="0"/>
                <w:szCs w:val="21"/>
              </w:rPr>
              <w:t xml:space="preserve">    </w:t>
            </w:r>
            <w:r>
              <w:rPr>
                <w:rFonts w:hint="eastAsia" w:ascii="宋体" w:hAnsi="宋体"/>
                <w:color w:val="000000"/>
                <w:kern w:val="0"/>
                <w:szCs w:val="21"/>
              </w:rPr>
              <w:t>号</w:t>
            </w:r>
          </w:p>
        </w:tc>
        <w:tc>
          <w:tcPr>
            <w:tcW w:w="2278" w:type="dxa"/>
            <w:noWrap w:val="0"/>
            <w:vAlign w:val="top"/>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设</w:t>
            </w:r>
            <w:r>
              <w:rPr>
                <w:rFonts w:ascii="宋体" w:hAnsi="宋体"/>
                <w:color w:val="000000"/>
                <w:kern w:val="0"/>
                <w:szCs w:val="21"/>
              </w:rPr>
              <w:t xml:space="preserve"> </w:t>
            </w:r>
            <w:r>
              <w:rPr>
                <w:rFonts w:hint="eastAsia" w:ascii="宋体" w:hAnsi="宋体"/>
                <w:color w:val="000000"/>
                <w:kern w:val="0"/>
                <w:szCs w:val="21"/>
              </w:rPr>
              <w:t>备</w:t>
            </w:r>
            <w:r>
              <w:rPr>
                <w:rFonts w:ascii="宋体" w:hAnsi="宋体"/>
                <w:color w:val="000000"/>
                <w:kern w:val="0"/>
                <w:szCs w:val="21"/>
              </w:rPr>
              <w:t xml:space="preserve"> </w:t>
            </w:r>
            <w:r>
              <w:rPr>
                <w:rFonts w:hint="eastAsia" w:ascii="宋体" w:hAnsi="宋体"/>
                <w:color w:val="000000"/>
                <w:kern w:val="0"/>
                <w:szCs w:val="21"/>
              </w:rPr>
              <w:t>名</w:t>
            </w:r>
            <w:r>
              <w:rPr>
                <w:rFonts w:ascii="宋体" w:hAnsi="宋体"/>
                <w:color w:val="000000"/>
                <w:kern w:val="0"/>
                <w:szCs w:val="21"/>
              </w:rPr>
              <w:t xml:space="preserve"> </w:t>
            </w:r>
            <w:r>
              <w:rPr>
                <w:rFonts w:hint="eastAsia" w:ascii="宋体" w:hAnsi="宋体"/>
                <w:color w:val="000000"/>
                <w:kern w:val="0"/>
                <w:szCs w:val="21"/>
              </w:rPr>
              <w:t>称</w:t>
            </w:r>
          </w:p>
        </w:tc>
        <w:tc>
          <w:tcPr>
            <w:tcW w:w="2279" w:type="dxa"/>
            <w:noWrap w:val="0"/>
            <w:vAlign w:val="top"/>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dB</w:t>
            </w:r>
            <w:r>
              <w:rPr>
                <w:rFonts w:hint="eastAsia" w:ascii="宋体" w:hAnsi="宋体"/>
                <w:color w:val="000000"/>
                <w:kern w:val="0"/>
                <w:szCs w:val="21"/>
              </w:rPr>
              <w:t>（</w:t>
            </w:r>
            <w:r>
              <w:rPr>
                <w:rFonts w:ascii="宋体" w:hAnsi="宋体"/>
                <w:color w:val="000000"/>
                <w:kern w:val="0"/>
                <w:szCs w:val="21"/>
              </w:rPr>
              <w:t>A</w:t>
            </w:r>
            <w:r>
              <w:rPr>
                <w:rFonts w:hint="eastAsia" w:ascii="宋体" w:hAnsi="宋体"/>
                <w:color w:val="000000"/>
                <w:kern w:val="0"/>
                <w:szCs w:val="21"/>
              </w:rPr>
              <w:t>）</w:t>
            </w:r>
          </w:p>
        </w:tc>
        <w:tc>
          <w:tcPr>
            <w:tcW w:w="2279" w:type="dxa"/>
            <w:noWrap w:val="0"/>
            <w:vAlign w:val="top"/>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测</w:t>
            </w:r>
            <w:r>
              <w:rPr>
                <w:rFonts w:ascii="宋体" w:hAnsi="宋体"/>
                <w:color w:val="000000"/>
                <w:kern w:val="0"/>
                <w:szCs w:val="21"/>
              </w:rPr>
              <w:t xml:space="preserve"> </w:t>
            </w:r>
            <w:r>
              <w:rPr>
                <w:rFonts w:hint="eastAsia" w:ascii="宋体" w:hAnsi="宋体"/>
                <w:color w:val="000000"/>
                <w:kern w:val="0"/>
                <w:szCs w:val="21"/>
              </w:rPr>
              <w:t>定</w:t>
            </w:r>
            <w:r>
              <w:rPr>
                <w:rFonts w:ascii="宋体" w:hAnsi="宋体"/>
                <w:color w:val="000000"/>
                <w:kern w:val="0"/>
                <w:szCs w:val="21"/>
              </w:rPr>
              <w:t xml:space="preserve"> </w:t>
            </w:r>
            <w:r>
              <w:rPr>
                <w:rFonts w:hint="eastAsia" w:ascii="宋体" w:hAnsi="宋体"/>
                <w:color w:val="000000"/>
                <w:kern w:val="0"/>
                <w:szCs w:val="21"/>
              </w:rPr>
              <w:t>位</w:t>
            </w:r>
            <w:r>
              <w:rPr>
                <w:rFonts w:ascii="宋体" w:hAnsi="宋体"/>
                <w:color w:val="000000"/>
                <w:kern w:val="0"/>
                <w:szCs w:val="21"/>
              </w:rPr>
              <w:t xml:space="preserve"> </w:t>
            </w:r>
            <w:r>
              <w:rPr>
                <w:rFonts w:hint="eastAsia" w:ascii="宋体" w:hAnsi="宋体"/>
                <w:color w:val="000000"/>
                <w:kern w:val="0"/>
                <w:szCs w:val="21"/>
              </w:rPr>
              <w:t>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 w:hRule="atLeast"/>
        </w:trPr>
        <w:tc>
          <w:tcPr>
            <w:tcW w:w="1643" w:type="dxa"/>
            <w:noWrap w:val="0"/>
            <w:vAlign w:val="center"/>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1</w:t>
            </w:r>
          </w:p>
        </w:tc>
        <w:tc>
          <w:tcPr>
            <w:tcW w:w="2278" w:type="dxa"/>
            <w:noWrap w:val="0"/>
            <w:vAlign w:val="top"/>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通风机</w:t>
            </w:r>
          </w:p>
        </w:tc>
        <w:tc>
          <w:tcPr>
            <w:tcW w:w="2279" w:type="dxa"/>
            <w:noWrap w:val="0"/>
            <w:vAlign w:val="top"/>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85</w:t>
            </w:r>
          </w:p>
        </w:tc>
        <w:tc>
          <w:tcPr>
            <w:tcW w:w="2279" w:type="dxa"/>
            <w:vMerge w:val="restart"/>
            <w:noWrap w:val="0"/>
            <w:vAlign w:val="center"/>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5m</w:t>
            </w:r>
            <w:r>
              <w:rPr>
                <w:rFonts w:hint="eastAsia" w:ascii="宋体" w:hAnsi="宋体"/>
                <w:color w:val="000000"/>
                <w:kern w:val="0"/>
                <w:szCs w:val="21"/>
              </w:rPr>
              <w:t>以外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 w:hRule="atLeast"/>
        </w:trPr>
        <w:tc>
          <w:tcPr>
            <w:tcW w:w="1643" w:type="dxa"/>
            <w:noWrap w:val="0"/>
            <w:vAlign w:val="center"/>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2</w:t>
            </w:r>
          </w:p>
        </w:tc>
        <w:tc>
          <w:tcPr>
            <w:tcW w:w="2278" w:type="dxa"/>
            <w:noWrap w:val="0"/>
            <w:vAlign w:val="top"/>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局扇</w:t>
            </w:r>
          </w:p>
        </w:tc>
        <w:tc>
          <w:tcPr>
            <w:tcW w:w="2279" w:type="dxa"/>
            <w:noWrap w:val="0"/>
            <w:vAlign w:val="top"/>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75</w:t>
            </w:r>
          </w:p>
        </w:tc>
        <w:tc>
          <w:tcPr>
            <w:tcW w:w="2279" w:type="dxa"/>
            <w:vMerge w:val="continue"/>
            <w:noWrap w:val="0"/>
            <w:vAlign w:val="center"/>
          </w:tcPr>
          <w:p>
            <w:pPr>
              <w:spacing w:line="280" w:lineRule="exact"/>
              <w:ind w:firstLine="480" w:firstLineChars="200"/>
              <w:rPr>
                <w:rFonts w:hint="eastAsia"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 w:hRule="atLeast"/>
        </w:trPr>
        <w:tc>
          <w:tcPr>
            <w:tcW w:w="1643" w:type="dxa"/>
            <w:noWrap w:val="0"/>
            <w:vAlign w:val="center"/>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3</w:t>
            </w:r>
          </w:p>
        </w:tc>
        <w:tc>
          <w:tcPr>
            <w:tcW w:w="2278" w:type="dxa"/>
            <w:noWrap w:val="0"/>
            <w:vAlign w:val="top"/>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凿岩机</w:t>
            </w:r>
          </w:p>
        </w:tc>
        <w:tc>
          <w:tcPr>
            <w:tcW w:w="2279" w:type="dxa"/>
            <w:noWrap w:val="0"/>
            <w:vAlign w:val="top"/>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95</w:t>
            </w:r>
          </w:p>
        </w:tc>
        <w:tc>
          <w:tcPr>
            <w:tcW w:w="2279" w:type="dxa"/>
            <w:vMerge w:val="continue"/>
            <w:noWrap w:val="0"/>
            <w:vAlign w:val="top"/>
          </w:tcPr>
          <w:p>
            <w:pPr>
              <w:spacing w:line="280" w:lineRule="exact"/>
              <w:ind w:firstLine="480" w:firstLineChars="200"/>
              <w:rPr>
                <w:rFonts w:hint="eastAsia"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 w:hRule="atLeast"/>
        </w:trPr>
        <w:tc>
          <w:tcPr>
            <w:tcW w:w="1643" w:type="dxa"/>
            <w:noWrap w:val="0"/>
            <w:vAlign w:val="center"/>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4</w:t>
            </w:r>
          </w:p>
        </w:tc>
        <w:tc>
          <w:tcPr>
            <w:tcW w:w="2278" w:type="dxa"/>
            <w:noWrap w:val="0"/>
            <w:vAlign w:val="top"/>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空压机</w:t>
            </w:r>
          </w:p>
        </w:tc>
        <w:tc>
          <w:tcPr>
            <w:tcW w:w="2279" w:type="dxa"/>
            <w:noWrap w:val="0"/>
            <w:vAlign w:val="top"/>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100</w:t>
            </w:r>
          </w:p>
        </w:tc>
        <w:tc>
          <w:tcPr>
            <w:tcW w:w="2279" w:type="dxa"/>
            <w:vMerge w:val="continue"/>
            <w:noWrap w:val="0"/>
            <w:vAlign w:val="top"/>
          </w:tcPr>
          <w:p>
            <w:pPr>
              <w:spacing w:line="280" w:lineRule="exact"/>
              <w:ind w:firstLine="480" w:firstLineChars="200"/>
              <w:rPr>
                <w:rFonts w:hint="eastAsia" w:ascii="宋体" w:hAnsi="宋体"/>
                <w:color w:val="000000"/>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5" w:hRule="atLeast"/>
        </w:trPr>
        <w:tc>
          <w:tcPr>
            <w:tcW w:w="1643" w:type="dxa"/>
            <w:noWrap w:val="0"/>
            <w:vAlign w:val="center"/>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5</w:t>
            </w:r>
          </w:p>
        </w:tc>
        <w:tc>
          <w:tcPr>
            <w:tcW w:w="2278" w:type="dxa"/>
            <w:noWrap w:val="0"/>
            <w:vAlign w:val="top"/>
          </w:tcPr>
          <w:p>
            <w:pPr>
              <w:spacing w:line="280" w:lineRule="exact"/>
              <w:ind w:firstLine="420" w:firstLineChars="200"/>
              <w:jc w:val="center"/>
              <w:rPr>
                <w:rFonts w:hint="eastAsia" w:ascii="宋体" w:hAnsi="宋体"/>
                <w:color w:val="000000"/>
                <w:kern w:val="0"/>
                <w:szCs w:val="21"/>
              </w:rPr>
            </w:pPr>
            <w:r>
              <w:rPr>
                <w:rFonts w:hint="eastAsia" w:ascii="宋体" w:hAnsi="宋体"/>
                <w:color w:val="000000"/>
                <w:kern w:val="0"/>
                <w:szCs w:val="21"/>
              </w:rPr>
              <w:t>装载机</w:t>
            </w:r>
          </w:p>
        </w:tc>
        <w:tc>
          <w:tcPr>
            <w:tcW w:w="2279" w:type="dxa"/>
            <w:noWrap w:val="0"/>
            <w:vAlign w:val="top"/>
          </w:tcPr>
          <w:p>
            <w:pPr>
              <w:spacing w:line="280" w:lineRule="exact"/>
              <w:ind w:firstLine="420" w:firstLineChars="200"/>
              <w:jc w:val="center"/>
              <w:rPr>
                <w:rFonts w:hint="eastAsia" w:ascii="宋体" w:hAnsi="宋体"/>
                <w:color w:val="000000"/>
                <w:kern w:val="0"/>
                <w:szCs w:val="21"/>
              </w:rPr>
            </w:pPr>
            <w:r>
              <w:rPr>
                <w:rFonts w:ascii="宋体" w:hAnsi="宋体"/>
                <w:color w:val="000000"/>
                <w:kern w:val="0"/>
                <w:szCs w:val="21"/>
              </w:rPr>
              <w:t>95</w:t>
            </w:r>
          </w:p>
        </w:tc>
        <w:tc>
          <w:tcPr>
            <w:tcW w:w="2279" w:type="dxa"/>
            <w:vMerge w:val="continue"/>
            <w:noWrap w:val="0"/>
            <w:vAlign w:val="top"/>
          </w:tcPr>
          <w:p>
            <w:pPr>
              <w:spacing w:line="280" w:lineRule="exact"/>
              <w:ind w:firstLine="480" w:firstLineChars="200"/>
              <w:rPr>
                <w:rFonts w:hint="eastAsia" w:ascii="宋体" w:hAnsi="宋体"/>
                <w:color w:val="000000"/>
                <w:kern w:val="0"/>
                <w:sz w:val="24"/>
                <w:szCs w:val="24"/>
              </w:rPr>
            </w:pPr>
          </w:p>
        </w:tc>
      </w:tr>
    </w:tbl>
    <w:p>
      <w:pPr>
        <w:spacing w:before="240" w:beforeLines="100"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③工业场地修建围墙，进行绿化防噪设计。</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采取以上措施后，生产过程中可控制厂界噪声在</w:t>
      </w:r>
      <w:r>
        <w:rPr>
          <w:rFonts w:ascii="宋体" w:hAnsi="宋体"/>
          <w:color w:val="000000"/>
          <w:kern w:val="0"/>
          <w:sz w:val="24"/>
          <w:szCs w:val="24"/>
        </w:rPr>
        <w:t>50dB</w:t>
      </w:r>
      <w:r>
        <w:rPr>
          <w:rFonts w:hint="eastAsia" w:ascii="宋体" w:hAnsi="宋体"/>
          <w:color w:val="000000"/>
          <w:kern w:val="0"/>
          <w:sz w:val="24"/>
          <w:szCs w:val="24"/>
        </w:rPr>
        <w:t>（</w:t>
      </w:r>
      <w:r>
        <w:rPr>
          <w:rFonts w:ascii="宋体" w:hAnsi="宋体"/>
          <w:color w:val="000000"/>
          <w:kern w:val="0"/>
          <w:sz w:val="24"/>
          <w:szCs w:val="24"/>
        </w:rPr>
        <w:t>A</w:t>
      </w:r>
      <w:r>
        <w:rPr>
          <w:rFonts w:hint="eastAsia" w:ascii="宋体" w:hAnsi="宋体"/>
          <w:color w:val="000000"/>
          <w:kern w:val="0"/>
          <w:sz w:val="24"/>
          <w:szCs w:val="24"/>
        </w:rPr>
        <w:t>）以下，能满足</w:t>
      </w:r>
      <w:r>
        <w:rPr>
          <w:rFonts w:ascii="宋体" w:hAnsi="宋体"/>
          <w:color w:val="000000"/>
          <w:kern w:val="0"/>
          <w:sz w:val="24"/>
          <w:szCs w:val="24"/>
        </w:rPr>
        <w:t>GB12348</w:t>
      </w:r>
      <w:r>
        <w:rPr>
          <w:rFonts w:hint="eastAsia" w:ascii="宋体" w:hAnsi="宋体"/>
          <w:color w:val="000000"/>
          <w:kern w:val="0"/>
          <w:sz w:val="24"/>
          <w:szCs w:val="24"/>
        </w:rPr>
        <w:t>－</w:t>
      </w:r>
      <w:r>
        <w:rPr>
          <w:rFonts w:ascii="宋体" w:hAnsi="宋体"/>
          <w:color w:val="000000"/>
          <w:kern w:val="0"/>
          <w:sz w:val="24"/>
          <w:szCs w:val="24"/>
        </w:rPr>
        <w:t>90</w:t>
      </w:r>
      <w:r>
        <w:rPr>
          <w:rFonts w:hint="eastAsia" w:ascii="宋体" w:hAnsi="宋体"/>
          <w:color w:val="000000"/>
          <w:kern w:val="0"/>
          <w:sz w:val="24"/>
          <w:szCs w:val="24"/>
        </w:rPr>
        <w:t>《工业企业厂界噪声排放标准》Ⅱ类区标准的要求，不会对周围环境造成污染。且村庄离矿区较远，噪声对外界环境的影响很小。</w:t>
      </w:r>
    </w:p>
    <w:p>
      <w:pPr>
        <w:spacing w:line="360" w:lineRule="auto"/>
        <w:ind w:firstLine="480" w:firstLineChars="200"/>
        <w:outlineLvl w:val="0"/>
        <w:rPr>
          <w:rFonts w:hint="eastAsia" w:ascii="宋体" w:hAnsi="宋体"/>
          <w:color w:val="000000"/>
          <w:kern w:val="0"/>
          <w:sz w:val="24"/>
          <w:szCs w:val="24"/>
        </w:rPr>
      </w:pPr>
      <w:bookmarkStart w:id="185" w:name="_Toc477356496"/>
      <w:bookmarkStart w:id="186" w:name="_Toc474018607"/>
      <w:bookmarkStart w:id="187" w:name="_Toc532506326"/>
      <w:r>
        <w:rPr>
          <w:rFonts w:hint="eastAsia" w:ascii="宋体" w:hAnsi="宋体"/>
          <w:color w:val="000000"/>
          <w:kern w:val="0"/>
          <w:sz w:val="24"/>
          <w:szCs w:val="24"/>
        </w:rPr>
        <w:t>（3）废水</w:t>
      </w:r>
      <w:bookmarkEnd w:id="185"/>
      <w:bookmarkEnd w:id="186"/>
      <w:r>
        <w:rPr>
          <w:rFonts w:hint="eastAsia" w:ascii="宋体" w:hAnsi="宋体"/>
          <w:color w:val="000000"/>
          <w:kern w:val="0"/>
          <w:sz w:val="24"/>
          <w:szCs w:val="24"/>
        </w:rPr>
        <w:t>治理</w:t>
      </w:r>
      <w:bookmarkEnd w:id="187"/>
    </w:p>
    <w:p>
      <w:pPr>
        <w:spacing w:line="360" w:lineRule="auto"/>
        <w:ind w:firstLine="480" w:firstLineChars="200"/>
        <w:rPr>
          <w:rFonts w:hint="eastAsia" w:ascii="宋体" w:hAnsi="宋体"/>
          <w:color w:val="000000"/>
          <w:sz w:val="24"/>
          <w:szCs w:val="24"/>
        </w:rPr>
      </w:pPr>
      <w:r>
        <w:rPr>
          <w:rFonts w:hint="eastAsia" w:ascii="宋体" w:hAnsi="宋体" w:cs="宋体"/>
          <w:color w:val="000000"/>
          <w:kern w:val="0"/>
          <w:sz w:val="24"/>
          <w:szCs w:val="24"/>
        </w:rPr>
        <w:t>采矿厂主要产生矿井涌水，每天约50m</w:t>
      </w:r>
      <w:r>
        <w:rPr>
          <w:rFonts w:hint="eastAsia" w:ascii="宋体" w:hAnsi="宋体" w:cs="宋体"/>
          <w:color w:val="000000"/>
          <w:kern w:val="0"/>
          <w:sz w:val="24"/>
          <w:szCs w:val="24"/>
          <w:vertAlign w:val="superscript"/>
        </w:rPr>
        <w:t>3</w:t>
      </w:r>
      <w:r>
        <w:rPr>
          <w:rFonts w:hint="eastAsia" w:ascii="宋体" w:hAnsi="宋体" w:cs="宋体"/>
          <w:color w:val="000000"/>
          <w:kern w:val="0"/>
          <w:sz w:val="24"/>
          <w:szCs w:val="24"/>
        </w:rPr>
        <w:t>/d，大部分用于井下抑尘，少量引至选矿厂用于选矿生产。</w:t>
      </w:r>
    </w:p>
    <w:p>
      <w:pPr>
        <w:spacing w:line="360" w:lineRule="auto"/>
        <w:ind w:firstLine="480" w:firstLineChars="200"/>
        <w:outlineLvl w:val="0"/>
        <w:rPr>
          <w:rFonts w:hint="eastAsia" w:ascii="宋体" w:hAnsi="宋体"/>
          <w:color w:val="000000"/>
          <w:kern w:val="0"/>
          <w:sz w:val="24"/>
          <w:szCs w:val="24"/>
        </w:rPr>
      </w:pPr>
      <w:bookmarkStart w:id="188" w:name="_Toc477356498"/>
      <w:bookmarkStart w:id="189" w:name="_Toc474018609"/>
      <w:bookmarkStart w:id="190" w:name="_Toc532506327"/>
      <w:r>
        <w:rPr>
          <w:rFonts w:hint="eastAsia" w:ascii="宋体" w:hAnsi="宋体"/>
          <w:color w:val="000000"/>
          <w:kern w:val="0"/>
          <w:sz w:val="24"/>
          <w:szCs w:val="24"/>
        </w:rPr>
        <w:t>（4）弃渣场设置</w:t>
      </w:r>
      <w:bookmarkEnd w:id="188"/>
      <w:bookmarkEnd w:id="189"/>
      <w:bookmarkEnd w:id="190"/>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矿山废石场位于1490-1540m提升斜井井口附近，容积约为10万m</w:t>
      </w:r>
      <w:r>
        <w:rPr>
          <w:rFonts w:hint="eastAsia" w:ascii="宋体" w:hAnsi="宋体"/>
          <w:color w:val="000000"/>
          <w:kern w:val="0"/>
          <w:sz w:val="24"/>
          <w:szCs w:val="24"/>
          <w:vertAlign w:val="superscript"/>
        </w:rPr>
        <w:t>3</w:t>
      </w:r>
      <w:r>
        <w:rPr>
          <w:rFonts w:hint="eastAsia" w:ascii="宋体" w:hAnsi="宋体"/>
          <w:color w:val="000000"/>
          <w:kern w:val="0"/>
          <w:sz w:val="24"/>
          <w:szCs w:val="24"/>
        </w:rPr>
        <w:t>，废石场内设有排水涵洞，并在下部设有混凝土拦石坝，容量能满足生产要求。</w:t>
      </w:r>
    </w:p>
    <w:p>
      <w:pPr>
        <w:spacing w:line="360" w:lineRule="auto"/>
        <w:ind w:firstLine="480" w:firstLineChars="200"/>
        <w:outlineLvl w:val="0"/>
        <w:rPr>
          <w:rFonts w:hint="eastAsia" w:ascii="宋体" w:hAnsi="宋体"/>
          <w:color w:val="000000"/>
          <w:kern w:val="0"/>
          <w:sz w:val="24"/>
          <w:szCs w:val="24"/>
        </w:rPr>
      </w:pPr>
      <w:r>
        <w:rPr>
          <w:rFonts w:hint="eastAsia" w:ascii="宋体" w:hAnsi="宋体"/>
          <w:color w:val="000000"/>
          <w:kern w:val="0"/>
          <w:sz w:val="24"/>
          <w:szCs w:val="24"/>
        </w:rPr>
        <w:t>（5）</w:t>
      </w:r>
      <w:bookmarkStart w:id="191" w:name="_Toc532506328"/>
      <w:r>
        <w:rPr>
          <w:rFonts w:hint="eastAsia" w:ascii="宋体" w:hAnsi="宋体"/>
          <w:color w:val="000000"/>
          <w:kern w:val="0"/>
          <w:sz w:val="24"/>
          <w:szCs w:val="24"/>
        </w:rPr>
        <w:t>矿山渣场土地复垦和生态修复</w:t>
      </w:r>
      <w:bookmarkEnd w:id="191"/>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矿山开采过程中对生态环境和景观的破坏是不可避免的，也是矿山开采对环境最大的不利影响，随开采活动的展开，使采空区、废石场等处水土流失程度加重，为此需采取一定的措施，如制定水土保持方案和规划，并纳开采计划中，根据进度对作业区、采空区、废石场进行复土绿化。使矿区生态环境得到补偿和恢复。</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项目产生的废土石运送到废石场进行堆存处理，并增设拦石坝、截洪沟等设施，确保废石堆存不流失，服务期满后进行复土绿化，对周围环境影响不大。</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设备噪声通过采取各种降噪措施和防护措施对周围环境影响不大。</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矿山开采作业产生的粉尘，若能严格执行湿式凿岩、坚持矿山公路、爆堆、废石场喷雾洒水降尘，则对周围环境影响不大。</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总之，本项目产生的各种污染物在采取了相应有效的防治措施并加强严格管理后，对周围环境影响不大。但本工程需要委托环评单位进行环境影响评价工作。厂址周围和环境质量现状及本项目建成投产后对环境的影响程度及范围，以环境影响报告书的论证为准。</w:t>
      </w:r>
    </w:p>
    <w:p>
      <w:pPr>
        <w:spacing w:line="360" w:lineRule="auto"/>
        <w:ind w:firstLine="480" w:firstLineChars="200"/>
        <w:outlineLvl w:val="0"/>
        <w:rPr>
          <w:rFonts w:hint="eastAsia" w:ascii="宋体" w:hAnsi="宋体"/>
          <w:color w:val="000000"/>
          <w:kern w:val="0"/>
          <w:sz w:val="24"/>
          <w:szCs w:val="24"/>
        </w:rPr>
      </w:pPr>
      <w:r>
        <w:rPr>
          <w:rFonts w:hint="eastAsia" w:ascii="宋体" w:hAnsi="宋体"/>
          <w:color w:val="000000"/>
          <w:kern w:val="0"/>
          <w:sz w:val="24"/>
          <w:szCs w:val="24"/>
        </w:rPr>
        <w:t>（6）渣场修复计划</w:t>
      </w:r>
    </w:p>
    <w:p>
      <w:pPr>
        <w:spacing w:line="360" w:lineRule="auto"/>
        <w:ind w:firstLine="480" w:firstLineChars="200"/>
        <w:rPr>
          <w:rFonts w:hint="eastAsia" w:ascii="宋体" w:hAnsi="宋体"/>
          <w:color w:val="000000"/>
          <w:kern w:val="0"/>
          <w:sz w:val="24"/>
          <w:szCs w:val="24"/>
        </w:rPr>
      </w:pPr>
      <w:r>
        <w:rPr>
          <w:rFonts w:hint="eastAsia" w:ascii="宋体" w:hAnsi="宋体"/>
          <w:color w:val="000000"/>
          <w:kern w:val="0"/>
          <w:sz w:val="24"/>
          <w:szCs w:val="24"/>
        </w:rPr>
        <w:t>按水土保持方案设置防洪截排水沟，待矿山闭坑后按土地复垦方案进行恢复治理。</w:t>
      </w:r>
    </w:p>
    <w:p>
      <w:pPr>
        <w:spacing w:line="360" w:lineRule="auto"/>
        <w:ind w:firstLine="514" w:firstLineChars="200"/>
        <w:rPr>
          <w:rFonts w:hint="eastAsia" w:ascii="宋体" w:hAnsi="宋体" w:cs="仿宋"/>
          <w:b/>
          <w:color w:val="000000"/>
          <w:spacing w:val="8"/>
          <w:sz w:val="24"/>
          <w:szCs w:val="24"/>
        </w:rPr>
      </w:pPr>
      <w:r>
        <w:rPr>
          <w:rFonts w:hint="eastAsia" w:ascii="宋体" w:hAnsi="宋体" w:cs="仿宋"/>
          <w:b/>
          <w:color w:val="000000"/>
          <w:spacing w:val="8"/>
          <w:sz w:val="24"/>
          <w:szCs w:val="24"/>
        </w:rPr>
        <w:t>2.4.7.2选矿厂污染治理</w:t>
      </w:r>
    </w:p>
    <w:p>
      <w:pPr>
        <w:spacing w:line="360" w:lineRule="auto"/>
        <w:ind w:firstLine="514" w:firstLineChars="200"/>
        <w:rPr>
          <w:rFonts w:ascii="宋体" w:hAnsi="宋体" w:cs="仿宋"/>
          <w:b/>
          <w:color w:val="000000"/>
          <w:spacing w:val="8"/>
          <w:sz w:val="24"/>
          <w:szCs w:val="24"/>
        </w:rPr>
      </w:pPr>
      <w:r>
        <w:rPr>
          <w:rFonts w:hint="eastAsia" w:ascii="宋体" w:hAnsi="宋体" w:cs="仿宋"/>
          <w:b/>
          <w:color w:val="000000"/>
          <w:spacing w:val="8"/>
          <w:sz w:val="24"/>
          <w:szCs w:val="24"/>
        </w:rPr>
        <w:t>（1）大气污染治理措施</w:t>
      </w:r>
    </w:p>
    <w:p>
      <w:pPr>
        <w:spacing w:line="360" w:lineRule="auto"/>
        <w:ind w:firstLine="512" w:firstLineChars="200"/>
        <w:rPr>
          <w:rFonts w:hint="eastAsia"/>
          <w:color w:val="000000"/>
          <w:sz w:val="24"/>
          <w:szCs w:val="24"/>
          <w:highlight w:val="yellow"/>
        </w:rPr>
      </w:pPr>
      <w:r>
        <w:rPr>
          <w:rFonts w:hint="eastAsia" w:ascii="宋体" w:hAnsi="宋体" w:cs="仿宋"/>
          <w:color w:val="000000"/>
          <w:spacing w:val="8"/>
          <w:sz w:val="24"/>
          <w:szCs w:val="24"/>
        </w:rPr>
        <w:t>选矿厂主要产生的粉尘、废气为：矿石破碎产生的有组织和无组织排放粉尘及原料堆场粉尘等，硫化矿系统破碎工序安装了集气抽风除尘系统，采用湿法除尘，并建设了收尘塔，属有组织排放。排气量按3000m</w:t>
      </w:r>
      <w:r>
        <w:rPr>
          <w:rFonts w:hint="eastAsia" w:ascii="宋体" w:hAnsi="宋体" w:cs="仿宋"/>
          <w:color w:val="000000"/>
          <w:spacing w:val="6"/>
          <w:sz w:val="24"/>
          <w:szCs w:val="24"/>
          <w:vertAlign w:val="superscript"/>
        </w:rPr>
        <w:t>3</w:t>
      </w:r>
      <w:r>
        <w:rPr>
          <w:rFonts w:hint="eastAsia" w:ascii="宋体" w:hAnsi="宋体" w:cs="仿宋"/>
          <w:color w:val="000000"/>
          <w:spacing w:val="8"/>
          <w:sz w:val="24"/>
          <w:szCs w:val="24"/>
        </w:rPr>
        <w:t>/h，每天生产24h，每年300d，粉尘排放浓度80mg/m</w:t>
      </w:r>
      <w:r>
        <w:rPr>
          <w:rFonts w:hint="eastAsia" w:ascii="宋体" w:hAnsi="宋体" w:cs="仿宋"/>
          <w:color w:val="000000"/>
          <w:spacing w:val="6"/>
          <w:sz w:val="24"/>
          <w:szCs w:val="24"/>
          <w:vertAlign w:val="superscript"/>
        </w:rPr>
        <w:t>3</w:t>
      </w:r>
      <w:r>
        <w:rPr>
          <w:rFonts w:hint="eastAsia" w:ascii="宋体" w:hAnsi="宋体" w:cs="仿宋"/>
          <w:color w:val="000000"/>
          <w:spacing w:val="8"/>
          <w:sz w:val="24"/>
          <w:szCs w:val="24"/>
        </w:rPr>
        <w:t>，则每年排放粉尘量为1.73t。废气排放量为2160万m</w:t>
      </w:r>
      <w:r>
        <w:rPr>
          <w:rFonts w:hint="eastAsia" w:ascii="宋体" w:hAnsi="宋体" w:cs="仿宋"/>
          <w:color w:val="000000"/>
          <w:spacing w:val="6"/>
          <w:sz w:val="24"/>
          <w:szCs w:val="24"/>
          <w:vertAlign w:val="superscript"/>
        </w:rPr>
        <w:t>3</w:t>
      </w:r>
      <w:r>
        <w:rPr>
          <w:rFonts w:hint="eastAsia" w:ascii="宋体" w:hAnsi="宋体" w:cs="仿宋"/>
          <w:color w:val="000000"/>
          <w:spacing w:val="8"/>
          <w:sz w:val="24"/>
          <w:szCs w:val="24"/>
        </w:rPr>
        <w:t>/a。</w:t>
      </w:r>
    </w:p>
    <w:p>
      <w:pPr>
        <w:spacing w:line="360" w:lineRule="auto"/>
        <w:ind w:firstLine="480" w:firstLineChars="200"/>
        <w:rPr>
          <w:rFonts w:hint="eastAsia"/>
          <w:color w:val="000000"/>
          <w:sz w:val="24"/>
          <w:szCs w:val="24"/>
        </w:rPr>
      </w:pPr>
      <w:r>
        <w:rPr>
          <w:rFonts w:hint="eastAsia"/>
          <w:color w:val="000000"/>
          <w:sz w:val="24"/>
          <w:szCs w:val="24"/>
        </w:rPr>
        <w:t>上方</w:t>
      </w:r>
      <w:r>
        <w:rPr>
          <w:color w:val="000000"/>
          <w:sz w:val="24"/>
          <w:szCs w:val="24"/>
        </w:rPr>
        <w:t>原料堆场及厂区内地面硬化、破碎车间建设为封闭式车间、破碎机入料口建设为有顶、三面围挡的半封闭式入料口，</w:t>
      </w:r>
      <w:r>
        <w:rPr>
          <w:rFonts w:hint="eastAsia"/>
          <w:color w:val="000000"/>
          <w:sz w:val="24"/>
          <w:szCs w:val="24"/>
        </w:rPr>
        <w:t>根据需要向原料堆场洒水以控制扬尘,对原料破碎也采取水喷雾以抑制扬尘，</w:t>
      </w:r>
      <w:r>
        <w:rPr>
          <w:color w:val="000000"/>
          <w:sz w:val="24"/>
          <w:szCs w:val="24"/>
        </w:rPr>
        <w:t>确保在不利气象条件下实现无组织粉尘的厂界达标</w:t>
      </w:r>
      <w:r>
        <w:rPr>
          <w:rFonts w:hint="eastAsia"/>
          <w:color w:val="000000"/>
          <w:sz w:val="24"/>
          <w:szCs w:val="24"/>
        </w:rPr>
        <w:t>。</w:t>
      </w:r>
    </w:p>
    <w:p>
      <w:pPr>
        <w:spacing w:line="360" w:lineRule="auto"/>
        <w:ind w:firstLine="480" w:firstLineChars="200"/>
        <w:rPr>
          <w:rFonts w:hint="eastAsia"/>
          <w:color w:val="000000"/>
          <w:sz w:val="24"/>
          <w:szCs w:val="24"/>
        </w:rPr>
      </w:pPr>
      <w:r>
        <w:rPr>
          <w:rFonts w:hint="eastAsia"/>
          <w:color w:val="000000"/>
          <w:sz w:val="24"/>
          <w:szCs w:val="24"/>
        </w:rPr>
        <w:t>公司堆渣场鸡西尾矿库堆存的尾矿废渣，因尾矿渣含有大量渗水，扬尘较小。</w:t>
      </w:r>
    </w:p>
    <w:p>
      <w:pPr>
        <w:spacing w:line="360" w:lineRule="auto"/>
        <w:ind w:firstLine="482" w:firstLineChars="200"/>
        <w:outlineLvl w:val="0"/>
        <w:rPr>
          <w:b/>
          <w:color w:val="000000"/>
          <w:sz w:val="24"/>
          <w:szCs w:val="24"/>
        </w:rPr>
      </w:pPr>
      <w:r>
        <w:rPr>
          <w:rFonts w:hint="eastAsia"/>
          <w:b/>
          <w:color w:val="000000"/>
          <w:sz w:val="24"/>
          <w:szCs w:val="24"/>
        </w:rPr>
        <w:t>（2）选矿废水治理措施</w:t>
      </w:r>
    </w:p>
    <w:p>
      <w:pPr>
        <w:spacing w:line="360" w:lineRule="auto"/>
        <w:ind w:firstLine="480" w:firstLineChars="200"/>
        <w:rPr>
          <w:rFonts w:hint="eastAsia" w:ascii="宋体" w:hAnsi="宋体" w:cs="仿宋"/>
          <w:color w:val="000000"/>
          <w:kern w:val="0"/>
          <w:sz w:val="24"/>
          <w:szCs w:val="24"/>
        </w:rPr>
      </w:pPr>
      <w:r>
        <w:rPr>
          <w:rFonts w:hint="eastAsia" w:ascii="宋体" w:hAnsi="宋体" w:cs="仿宋"/>
          <w:color w:val="000000"/>
          <w:kern w:val="0"/>
          <w:sz w:val="24"/>
          <w:szCs w:val="24"/>
        </w:rPr>
        <w:t>①选矿废水的治理情况</w:t>
      </w:r>
    </w:p>
    <w:p>
      <w:pPr>
        <w:spacing w:line="360" w:lineRule="auto"/>
        <w:ind w:firstLine="480" w:firstLineChars="200"/>
        <w:rPr>
          <w:rFonts w:hint="eastAsia" w:ascii="宋体" w:hAnsi="宋体" w:cs="仿宋"/>
          <w:color w:val="000000"/>
          <w:kern w:val="0"/>
          <w:sz w:val="24"/>
          <w:szCs w:val="24"/>
        </w:rPr>
      </w:pPr>
      <w:r>
        <w:rPr>
          <w:rFonts w:hint="eastAsia"/>
          <w:color w:val="000000"/>
          <w:sz w:val="24"/>
          <w:szCs w:val="24"/>
        </w:rPr>
        <w:t>选矿厂废水主要产生在浮选后的含尾矿废水和浓密工序脱水产生的废水，废水中含</w:t>
      </w:r>
      <w:r>
        <w:rPr>
          <w:rFonts w:hint="eastAsia" w:ascii="宋体" w:hAnsi="宋体"/>
          <w:color w:val="000000"/>
          <w:spacing w:val="8"/>
          <w:sz w:val="24"/>
        </w:rPr>
        <w:t>有一定量的重金属元素（Zn、Pb、Hg、Cd等）</w:t>
      </w:r>
      <w:r>
        <w:rPr>
          <w:rFonts w:hint="eastAsia" w:ascii="宋体" w:hAnsi="宋体" w:cs="宋体"/>
          <w:color w:val="000000"/>
          <w:kern w:val="0"/>
          <w:sz w:val="24"/>
          <w:szCs w:val="24"/>
        </w:rPr>
        <w:t>。含尾矿废水进入重选工序进一步回收残留的锌铅金属，</w:t>
      </w:r>
      <w:r>
        <w:rPr>
          <w:rFonts w:hint="eastAsia" w:ascii="宋体" w:hAnsi="宋体" w:cs="仿宋"/>
          <w:color w:val="000000"/>
          <w:kern w:val="0"/>
          <w:sz w:val="24"/>
          <w:szCs w:val="24"/>
        </w:rPr>
        <w:t>重选后的尾矿通过尾矿泵送到1号浓密池或二号浓密池，再通过陶瓷过滤机进行尾矿脱水处理，过滤后的尾矿暂存于尾矿仓，后送往鸡西尾矿库；重选后的尾水用水泵输送到水处理车间进行处理，处理达标后的尾水直接用于生产循环使用，公司选矿废水不外排。</w:t>
      </w:r>
    </w:p>
    <w:p>
      <w:pPr>
        <w:spacing w:line="360" w:lineRule="auto"/>
        <w:ind w:firstLine="480" w:firstLineChars="200"/>
        <w:rPr>
          <w:rFonts w:hint="eastAsia" w:ascii="宋体" w:hAnsi="宋体" w:cs="仿宋"/>
          <w:color w:val="000000"/>
          <w:kern w:val="0"/>
          <w:sz w:val="24"/>
          <w:szCs w:val="24"/>
        </w:rPr>
      </w:pPr>
      <w:r>
        <w:rPr>
          <w:rFonts w:hint="eastAsia" w:ascii="宋体" w:hAnsi="宋体" w:cs="仿宋"/>
          <w:color w:val="000000"/>
          <w:kern w:val="0"/>
          <w:sz w:val="24"/>
          <w:szCs w:val="24"/>
        </w:rPr>
        <w:t>②</w:t>
      </w:r>
      <w:r>
        <w:rPr>
          <w:rFonts w:ascii="宋体" w:hAnsi="宋体" w:cs="仿宋"/>
          <w:color w:val="000000"/>
          <w:kern w:val="0"/>
          <w:sz w:val="24"/>
          <w:szCs w:val="24"/>
        </w:rPr>
        <w:t>雨污分流</w:t>
      </w:r>
      <w:r>
        <w:rPr>
          <w:rFonts w:hint="eastAsia" w:ascii="宋体" w:hAnsi="宋体" w:cs="仿宋"/>
          <w:color w:val="000000"/>
          <w:kern w:val="0"/>
          <w:sz w:val="24"/>
          <w:szCs w:val="24"/>
        </w:rPr>
        <w:t>情况</w:t>
      </w:r>
    </w:p>
    <w:p>
      <w:pPr>
        <w:spacing w:line="360" w:lineRule="auto"/>
        <w:ind w:firstLine="480" w:firstLineChars="200"/>
        <w:jc w:val="left"/>
        <w:rPr>
          <w:rFonts w:hint="eastAsia" w:ascii="宋体" w:hAnsi="宋体"/>
          <w:color w:val="000000"/>
          <w:sz w:val="24"/>
          <w:szCs w:val="24"/>
        </w:rPr>
      </w:pPr>
      <w:r>
        <w:rPr>
          <w:rFonts w:ascii="宋体" w:hAnsi="宋体"/>
          <w:color w:val="000000"/>
          <w:sz w:val="24"/>
          <w:szCs w:val="24"/>
        </w:rPr>
        <w:t>选厂内建筑物占地面积和路面硬化面积之和约为46667m</w:t>
      </w:r>
      <w:r>
        <w:rPr>
          <w:rFonts w:ascii="宋体" w:hAnsi="宋体"/>
          <w:color w:val="000000"/>
          <w:sz w:val="24"/>
          <w:szCs w:val="24"/>
          <w:vertAlign w:val="superscript"/>
        </w:rPr>
        <w:t>2</w:t>
      </w:r>
      <w:r>
        <w:rPr>
          <w:rFonts w:ascii="宋体" w:hAnsi="宋体"/>
          <w:color w:val="000000"/>
          <w:sz w:val="24"/>
          <w:szCs w:val="24"/>
        </w:rPr>
        <w:t>，除绿化区地面均已硬化</w:t>
      </w:r>
      <w:r>
        <w:rPr>
          <w:rFonts w:hint="eastAsia" w:ascii="宋体" w:hAnsi="宋体"/>
          <w:color w:val="000000"/>
          <w:sz w:val="24"/>
          <w:szCs w:val="24"/>
        </w:rPr>
        <w:t>。由于公司分为两个片区，即选矿车间片区和办公区、废渣脱水片区，两个区域相隔一百多米，给雨污分流带来一定的难度。目前，公司在选矿区开明沟将雨水进行收集，破碎工段旁边设有一个雨水沉淀池，但收集到的雨水直接外出厂外。办公区、废渣脱水片区目前已完善地面硬化，开水沟，但未设雨水收集池，导致雨水向周边环境排放。</w:t>
      </w:r>
    </w:p>
    <w:p>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选矿厂污水收集主要是选矿车间和精矿脱水车间，这两个车间雨水沟和污水收集管网均输送到污水池进行沉淀回用于选矿车间。尾矿脱水产生的污水打到污水处理池，经沉清处理后回用于选矿生产，生产污水不外排。</w:t>
      </w:r>
    </w:p>
    <w:p>
      <w:pPr>
        <w:spacing w:line="360" w:lineRule="auto"/>
        <w:ind w:firstLine="480" w:firstLineChars="200"/>
        <w:rPr>
          <w:rFonts w:hint="eastAsia" w:ascii="宋体" w:hAnsi="宋体" w:cs="仿宋"/>
          <w:color w:val="000000"/>
          <w:kern w:val="0"/>
          <w:sz w:val="24"/>
          <w:szCs w:val="24"/>
        </w:rPr>
      </w:pPr>
      <w:r>
        <w:rPr>
          <w:rFonts w:hint="eastAsia" w:ascii="宋体" w:hAnsi="宋体" w:cs="仿宋"/>
          <w:color w:val="000000"/>
          <w:kern w:val="0"/>
          <w:sz w:val="24"/>
          <w:szCs w:val="24"/>
        </w:rPr>
        <w:t>③应急池设置</w:t>
      </w:r>
    </w:p>
    <w:p>
      <w:pPr>
        <w:spacing w:line="360" w:lineRule="auto"/>
        <w:ind w:firstLine="720" w:firstLineChars="300"/>
        <w:jc w:val="left"/>
        <w:rPr>
          <w:rFonts w:hint="eastAsia"/>
          <w:color w:val="000000"/>
          <w:sz w:val="24"/>
          <w:szCs w:val="24"/>
        </w:rPr>
      </w:pPr>
      <w:r>
        <w:rPr>
          <w:rFonts w:hint="eastAsia"/>
          <w:color w:val="000000"/>
          <w:sz w:val="24"/>
          <w:szCs w:val="24"/>
        </w:rPr>
        <w:t>选矿厂在下方的沟槽内建立有一个事故应急池，应急池较小而且部分出现裂痕，一旦出现事故会影响到污水收集和使用。公司用水平衡情况见图2-7。</w:t>
      </w:r>
    </w:p>
    <w:p>
      <w:pPr>
        <w:spacing w:line="360" w:lineRule="auto"/>
        <w:ind w:firstLine="720" w:firstLineChars="300"/>
        <w:jc w:val="left"/>
        <w:rPr>
          <w:rFonts w:hint="eastAsia"/>
          <w:color w:val="000000"/>
          <w:sz w:val="24"/>
          <w:szCs w:val="24"/>
        </w:rPr>
      </w:pPr>
      <w:r>
        <w:rPr>
          <w:rFonts w:hint="eastAsia" w:ascii="宋体" w:hAnsi="宋体" w:cs="宋体"/>
          <w:bCs/>
          <w:color w:val="000000"/>
          <w:kern w:val="0"/>
          <w:sz w:val="24"/>
          <w:szCs w:val="24"/>
          <w:lang/>
        </w:rPr>
        <mc:AlternateContent>
          <mc:Choice Requires="wpg">
            <w:drawing>
              <wp:anchor distT="0" distB="0" distL="114300" distR="114300" simplePos="0" relativeHeight="251689984" behindDoc="0" locked="0" layoutInCell="1" allowOverlap="1">
                <wp:simplePos x="0" y="0"/>
                <wp:positionH relativeFrom="column">
                  <wp:posOffset>114300</wp:posOffset>
                </wp:positionH>
                <wp:positionV relativeFrom="paragraph">
                  <wp:posOffset>204470</wp:posOffset>
                </wp:positionV>
                <wp:extent cx="5943600" cy="5444490"/>
                <wp:effectExtent l="5080" t="4445" r="13970" b="18415"/>
                <wp:wrapNone/>
                <wp:docPr id="171" name="组合 6902"/>
                <wp:cNvGraphicFramePr/>
                <a:graphic xmlns:a="http://schemas.openxmlformats.org/drawingml/2006/main">
                  <a:graphicData uri="http://schemas.microsoft.com/office/word/2010/wordprocessingGroup">
                    <wpg:wgp>
                      <wpg:cNvGrpSpPr/>
                      <wpg:grpSpPr>
                        <a:xfrm>
                          <a:off x="0" y="0"/>
                          <a:ext cx="5943600" cy="5444490"/>
                          <a:chOff x="1080" y="1752"/>
                          <a:chExt cx="10440" cy="8112"/>
                        </a:xfrm>
                      </wpg:grpSpPr>
                      <wps:wsp>
                        <wps:cNvPr id="169" name="矩形 6903"/>
                        <wps:cNvSpPr/>
                        <wps:spPr>
                          <a:xfrm>
                            <a:off x="1080" y="1752"/>
                            <a:ext cx="10440" cy="8112"/>
                          </a:xfrm>
                          <a:prstGeom prst="rect">
                            <a:avLst/>
                          </a:prstGeom>
                          <a:solidFill>
                            <a:srgbClr val="FFFFFF"/>
                          </a:solidFill>
                          <a:ln w="9525" cap="flat" cmpd="sng">
                            <a:solidFill>
                              <a:srgbClr val="FFFFFF"/>
                            </a:solidFill>
                            <a:prstDash val="solid"/>
                            <a:miter/>
                            <a:headEnd type="none" w="med" len="med"/>
                            <a:tailEnd type="none" w="med" len="med"/>
                          </a:ln>
                        </wps:spPr>
                        <wps:txbx>
                          <w:txbxContent>
                            <w:p>
                              <w:r>
                                <w:rPr>
                                  <w:rFonts w:hint="eastAsia"/>
                                  <w:color w:val="000000"/>
                                </w:rPr>
                                <w:object>
                                  <v:shape id="_x0000_i1031" o:spt="75" type="#_x0000_t75" style="height:419.15pt;width:451pt;" o:ole="t" filled="f" o:preferrelative="t" stroked="f" coordsize="21600,21600">
                                    <v:path/>
                                    <v:fill on="f" focussize="0,0"/>
                                    <v:stroke on="f"/>
                                    <v:imagedata r:id="rId20" o:title=""/>
                                    <o:lock v:ext="edit" aspectratio="t"/>
                                    <w10:wrap type="none"/>
                                    <w10:anchorlock/>
                                  </v:shape>
                                  <o:OLEObject Type="Embed" ProgID="Visio.Drawing.15" ShapeID="_x0000_i1031" DrawAspect="Content" ObjectID="_1468075725" r:id="rId19">
                                    <o:LockedField>false</o:LockedField>
                                  </o:OLEObject>
                                </w:object>
                              </w:r>
                            </w:p>
                          </w:txbxContent>
                        </wps:txbx>
                        <wps:bodyPr wrap="square" upright="1"/>
                      </wps:wsp>
                      <wps:wsp>
                        <wps:cNvPr id="170" name="矩形 6904"/>
                        <wps:cNvSpPr/>
                        <wps:spPr>
                          <a:xfrm>
                            <a:off x="1080" y="9396"/>
                            <a:ext cx="10440" cy="468"/>
                          </a:xfrm>
                          <a:prstGeom prst="rect">
                            <a:avLst/>
                          </a:prstGeom>
                          <a:solidFill>
                            <a:srgbClr val="FFFFFF"/>
                          </a:solidFill>
                          <a:ln w="9525" cap="flat" cmpd="sng">
                            <a:solidFill>
                              <a:srgbClr val="FFFFFF"/>
                            </a:solidFill>
                            <a:prstDash val="solid"/>
                            <a:miter/>
                            <a:headEnd type="none" w="med" len="med"/>
                            <a:tailEnd type="none" w="med" len="med"/>
                          </a:ln>
                        </wps:spPr>
                        <wps:txbx>
                          <w:txbxContent>
                            <w:p>
                              <w:pPr>
                                <w:jc w:val="center"/>
                                <w:rPr>
                                  <w:rFonts w:hint="eastAsia"/>
                                  <w:b/>
                                  <w:sz w:val="24"/>
                                  <w:szCs w:val="24"/>
                                </w:rPr>
                              </w:pPr>
                              <w:r>
                                <w:rPr>
                                  <w:rFonts w:hint="eastAsia"/>
                                  <w:b/>
                                  <w:sz w:val="24"/>
                                  <w:szCs w:val="24"/>
                                </w:rPr>
                                <w:t>图2-7   富乐铅锌矿水平衡示意图（n3/d）</w:t>
                              </w:r>
                            </w:p>
                          </w:txbxContent>
                        </wps:txbx>
                        <wps:bodyPr wrap="square" upright="1"/>
                      </wps:wsp>
                    </wpg:wgp>
                  </a:graphicData>
                </a:graphic>
              </wp:anchor>
            </w:drawing>
          </mc:Choice>
          <mc:Fallback>
            <w:pict>
              <v:group id="组合 6902" o:spid="_x0000_s1026" o:spt="203" style="position:absolute;left:0pt;margin-left:9pt;margin-top:16.1pt;height:428.7pt;width:468pt;z-index:251689984;mso-width-relative:page;mso-height-relative:page;" coordorigin="1080,1752" coordsize="10440,8112" o:gfxdata="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">
                <o:lock v:ext="edit" aspectratio="f"/>
                <v:rect id="矩形 6903" o:spid="_x0000_s1026" o:spt="1" style="position:absolute;left:1080;top:1752;height:8112;width:10440;" fillcolor="#FFFFFF" filled="t" stroked="t" coordsize="21600,21600" o:gfxdata="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Ib7fugAAANwA&#10;AAAPAAAAAAAAAAEAIAAAACIAAABkcnMvZG93bnJldi54bWxQSwECFAAUAAAACACHTuJAMy8FnjsA&#10;AAA5AAAAEAAAAAAAAAABACAAAAAJAQAAZHJzL3NoYXBleG1sLnhtbFBLBQYAAAAABgAGAFsBAACz&#10;AwAAAAA=&#10;">
                  <v:fill on="t" focussize="0,0"/>
                  <v:stroke color="#FFFFFF" joinstyle="miter"/>
                  <v:imagedata o:title=""/>
                  <o:lock v:ext="edit" aspectratio="f"/>
                  <v:textbox>
                    <w:txbxContent>
                      <w:p>
                        <w:r>
                          <w:rPr>
                            <w:rFonts w:hint="eastAsia"/>
                            <w:color w:val="000000"/>
                          </w:rPr>
                          <w:object>
                            <v:shape id="_x0000_i1031" o:spt="75" type="#_x0000_t75" style="height:419.15pt;width:451pt;" o:ole="t" filled="f" o:preferrelative="t" stroked="f" coordsize="21600,21600">
                              <v:path/>
                              <v:fill on="f" focussize="0,0"/>
                              <v:stroke on="f"/>
                              <v:imagedata r:id="rId20" o:title=""/>
                              <o:lock v:ext="edit" aspectratio="t"/>
                              <w10:wrap type="none"/>
                              <w10:anchorlock/>
                            </v:shape>
                            <o:OLEObject Type="Embed" ProgID="Visio.Drawing.15" ShapeID="_x0000_i1031" DrawAspect="Content" ObjectID="_1468075726" r:id="rId21">
                              <o:LockedField>false</o:LockedField>
                            </o:OLEObject>
                          </w:object>
                        </w:r>
                      </w:p>
                    </w:txbxContent>
                  </v:textbox>
                </v:rect>
                <v:rect id="矩形 6904" o:spid="_x0000_s1026" o:spt="1" style="position:absolute;left:1080;top:9396;height:468;width:10440;" fillcolor="#FFFFFF" filled="t" stroked="t" coordsize="21600,21600" o:gfxdata="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cKBn74A&#10;AADcAAAADwAAAAAAAAABACAAAAAiAAAAZHJzL2Rvd25yZXYueG1sUEsBAhQAFAAAAAgAh07iQDMv&#10;BZ47AAAAOQAAABAAAAAAAAAAAQAgAAAADQEAAGRycy9zaGFwZXhtbC54bWxQSwUGAAAAAAYABgBb&#10;AQAAtwMAAAAA&#10;">
                  <v:fill on="t" focussize="0,0"/>
                  <v:stroke color="#FFFFFF" joinstyle="miter"/>
                  <v:imagedata o:title=""/>
                  <o:lock v:ext="edit" aspectratio="f"/>
                  <v:textbox>
                    <w:txbxContent>
                      <w:p>
                        <w:pPr>
                          <w:jc w:val="center"/>
                          <w:rPr>
                            <w:rFonts w:hint="eastAsia"/>
                            <w:b/>
                            <w:sz w:val="24"/>
                            <w:szCs w:val="24"/>
                          </w:rPr>
                        </w:pPr>
                        <w:r>
                          <w:rPr>
                            <w:rFonts w:hint="eastAsia"/>
                            <w:b/>
                            <w:sz w:val="24"/>
                            <w:szCs w:val="24"/>
                          </w:rPr>
                          <w:t>图2-7   富乐铅锌矿水平衡示意图（n3/d）</w:t>
                        </w:r>
                      </w:p>
                    </w:txbxContent>
                  </v:textbox>
                </v:rect>
              </v:group>
            </w:pict>
          </mc:Fallback>
        </mc:AlternateContent>
      </w:r>
    </w:p>
    <w:p>
      <w:pPr>
        <w:spacing w:line="360" w:lineRule="auto"/>
        <w:ind w:firstLine="720" w:firstLineChars="300"/>
        <w:jc w:val="left"/>
        <w:rPr>
          <w:rFonts w:hint="eastAsia"/>
          <w:color w:val="000000"/>
          <w:sz w:val="24"/>
          <w:szCs w:val="24"/>
        </w:rPr>
      </w:pPr>
    </w:p>
    <w:p>
      <w:pPr>
        <w:spacing w:line="360" w:lineRule="auto"/>
        <w:ind w:firstLine="720" w:firstLineChars="300"/>
        <w:jc w:val="left"/>
        <w:rPr>
          <w:rFonts w:hint="eastAsia"/>
          <w:color w:val="000000"/>
          <w:sz w:val="24"/>
          <w:szCs w:val="24"/>
        </w:rPr>
      </w:pPr>
    </w:p>
    <w:p>
      <w:pPr>
        <w:spacing w:line="360" w:lineRule="auto"/>
        <w:ind w:firstLine="720" w:firstLineChars="300"/>
        <w:jc w:val="left"/>
        <w:rPr>
          <w:rFonts w:hint="eastAsia"/>
          <w:color w:val="000000"/>
          <w:sz w:val="24"/>
          <w:szCs w:val="24"/>
        </w:rPr>
      </w:pPr>
    </w:p>
    <w:p>
      <w:pPr>
        <w:spacing w:line="360" w:lineRule="auto"/>
        <w:ind w:firstLine="720" w:firstLineChars="300"/>
        <w:jc w:val="left"/>
        <w:rPr>
          <w:rFonts w:hint="eastAsia"/>
          <w:color w:val="000000"/>
          <w:sz w:val="24"/>
          <w:szCs w:val="24"/>
        </w:rPr>
      </w:pPr>
    </w:p>
    <w:p>
      <w:pPr>
        <w:spacing w:line="360" w:lineRule="auto"/>
        <w:ind w:firstLine="480" w:firstLineChars="200"/>
        <w:rPr>
          <w:rFonts w:hint="eastAsia" w:ascii="宋体" w:hAnsi="宋体" w:cs="仿宋"/>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before="240" w:beforeLines="100" w:line="360" w:lineRule="auto"/>
        <w:ind w:firstLine="480" w:firstLineChars="200"/>
        <w:rPr>
          <w:rFonts w:hint="eastAsia" w:ascii="宋体" w:hAnsi="宋体" w:cs="宋体"/>
          <w:bCs/>
          <w:color w:val="000000"/>
          <w:kern w:val="0"/>
          <w:sz w:val="24"/>
          <w:szCs w:val="24"/>
        </w:rPr>
      </w:pPr>
    </w:p>
    <w:p>
      <w:pPr>
        <w:spacing w:line="240" w:lineRule="exact"/>
        <w:ind w:firstLine="480" w:firstLineChars="200"/>
        <w:rPr>
          <w:rFonts w:hint="eastAsia" w:ascii="宋体" w:hAnsi="宋体" w:cs="宋体"/>
          <w:bCs/>
          <w:color w:val="000000"/>
          <w:kern w:val="0"/>
          <w:sz w:val="24"/>
          <w:szCs w:val="24"/>
        </w:rPr>
      </w:pPr>
    </w:p>
    <w:p>
      <w:pPr>
        <w:spacing w:line="240" w:lineRule="exact"/>
        <w:ind w:firstLine="480" w:firstLineChars="200"/>
        <w:rPr>
          <w:rFonts w:hint="eastAsia" w:ascii="宋体" w:hAnsi="宋体" w:cs="宋体"/>
          <w:bCs/>
          <w:color w:val="000000"/>
          <w:kern w:val="0"/>
          <w:sz w:val="24"/>
          <w:szCs w:val="24"/>
        </w:rPr>
      </w:pPr>
    </w:p>
    <w:p>
      <w:pPr>
        <w:spacing w:line="240" w:lineRule="exact"/>
        <w:ind w:firstLine="480" w:firstLineChars="200"/>
        <w:rPr>
          <w:rFonts w:hint="eastAsia" w:ascii="宋体" w:hAnsi="宋体" w:cs="宋体"/>
          <w:bCs/>
          <w:color w:val="000000"/>
          <w:kern w:val="0"/>
          <w:sz w:val="24"/>
          <w:szCs w:val="24"/>
        </w:rPr>
      </w:pPr>
    </w:p>
    <w:p>
      <w:pPr>
        <w:spacing w:line="240" w:lineRule="exact"/>
        <w:ind w:firstLine="480" w:firstLineChars="200"/>
        <w:rPr>
          <w:rFonts w:hint="eastAsia" w:ascii="宋体" w:hAnsi="宋体" w:cs="宋体"/>
          <w:bCs/>
          <w:color w:val="000000"/>
          <w:kern w:val="0"/>
          <w:sz w:val="24"/>
          <w:szCs w:val="24"/>
        </w:rPr>
      </w:pPr>
    </w:p>
    <w:p>
      <w:pPr>
        <w:spacing w:line="240" w:lineRule="exact"/>
        <w:ind w:firstLine="480" w:firstLineChars="200"/>
        <w:rPr>
          <w:rFonts w:hint="eastAsia" w:ascii="宋体" w:hAnsi="宋体" w:cs="宋体"/>
          <w:bCs/>
          <w:color w:val="000000"/>
          <w:kern w:val="0"/>
          <w:sz w:val="24"/>
          <w:szCs w:val="24"/>
        </w:rPr>
      </w:pPr>
    </w:p>
    <w:p>
      <w:pPr>
        <w:spacing w:line="360" w:lineRule="auto"/>
        <w:ind w:firstLine="482" w:firstLineChars="200"/>
        <w:rPr>
          <w:rFonts w:hint="eastAsia" w:ascii="宋体" w:hAnsi="宋体" w:cs="仿宋"/>
          <w:b/>
          <w:color w:val="000000"/>
          <w:sz w:val="24"/>
          <w:szCs w:val="24"/>
        </w:rPr>
      </w:pPr>
      <w:r>
        <w:rPr>
          <w:rFonts w:hint="eastAsia" w:ascii="宋体" w:hAnsi="宋体" w:cs="仿宋"/>
          <w:b/>
          <w:color w:val="000000"/>
          <w:sz w:val="24"/>
          <w:szCs w:val="24"/>
        </w:rPr>
        <w:t>2.4.7.3固废处置措施</w:t>
      </w:r>
    </w:p>
    <w:p>
      <w:pPr>
        <w:spacing w:line="360" w:lineRule="auto"/>
        <w:ind w:firstLine="480" w:firstLineChars="200"/>
        <w:outlineLvl w:val="0"/>
        <w:rPr>
          <w:rFonts w:hint="eastAsia" w:ascii="宋体" w:hAnsi="宋体" w:cs="仿宋"/>
          <w:color w:val="000000"/>
          <w:sz w:val="24"/>
          <w:szCs w:val="24"/>
        </w:rPr>
      </w:pPr>
      <w:r>
        <w:rPr>
          <w:rFonts w:hint="eastAsia" w:ascii="宋体" w:hAnsi="宋体" w:cs="仿宋"/>
          <w:color w:val="000000"/>
          <w:sz w:val="24"/>
          <w:szCs w:val="24"/>
        </w:rPr>
        <w:t>（1）选矿尾矿处置</w:t>
      </w:r>
    </w:p>
    <w:p>
      <w:pPr>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云南罗平锌电股份有限公司富乐选矿厂日处理原矿 300t/d，年产生尾矿量约为 9万t/a（6.67万m³/a），为保证选厂尾矿的安全存放，公司建立了鸡西尾矿库，用于选矿厂尾矿堆存。</w:t>
      </w:r>
    </w:p>
    <w:p>
      <w:pPr>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（2）生活垃圾处置</w:t>
      </w:r>
    </w:p>
    <w:p>
      <w:pPr>
        <w:adjustRightInd w:val="0"/>
        <w:snapToGrid w:val="0"/>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生活垃圾主要采取集中收集由环保部门清运。</w:t>
      </w:r>
    </w:p>
    <w:p>
      <w:pPr>
        <w:adjustRightInd w:val="0"/>
        <w:snapToGrid w:val="0"/>
        <w:spacing w:line="360" w:lineRule="auto"/>
        <w:ind w:firstLine="482" w:firstLineChars="200"/>
        <w:rPr>
          <w:rFonts w:ascii="宋体" w:hAnsi="宋体" w:cs="仿宋"/>
          <w:b/>
          <w:color w:val="000000"/>
          <w:sz w:val="24"/>
          <w:szCs w:val="24"/>
        </w:rPr>
      </w:pPr>
      <w:r>
        <w:rPr>
          <w:rFonts w:hint="eastAsia" w:ascii="宋体" w:hAnsi="宋体" w:cs="仿宋"/>
          <w:b/>
          <w:color w:val="000000"/>
          <w:sz w:val="24"/>
          <w:szCs w:val="24"/>
        </w:rPr>
        <w:t>2.4.7.4噪声治理措施</w:t>
      </w:r>
    </w:p>
    <w:p>
      <w:pPr>
        <w:adjustRightInd w:val="0"/>
        <w:snapToGrid w:val="0"/>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选矿厂的声源设备主要有破碎机、浮选机、球磨机、水泵等，声源强度分别为92.7dB（A）、78.2dB（A）、96.3dB（A）和76 dB（A）。噪声源一般均在厂房内，厂房隔音效果良好，此外，噪声较大的声源安装减振基础。</w:t>
      </w:r>
    </w:p>
    <w:p>
      <w:pPr>
        <w:adjustRightInd w:val="0"/>
        <w:snapToGrid w:val="0"/>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采矿厂噪声源主要为提升机、空气压缩机、轴流式风机、轨道矿车等，源强70-95db(A)。对噪声源的防治，除尽量选用低噪声机电设备外，对车间及厂区的布局进行优化，通风井的各种风机、空压机等通风设备布置在远离生活区和居民区的空旷地带，对于高噪声设备采取消声、吸声、隔声、减振等措施。</w:t>
      </w:r>
    </w:p>
    <w:p>
      <w:pPr>
        <w:adjustRightInd w:val="0"/>
        <w:snapToGrid w:val="0"/>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项目周围居民村庄较远，距离均在500m以上，且有山体阻隔，声环境不敏感。办公区距声源也有一定距离，又有山体阻隔在办公区听不到生产噪声。噪声影响主要体现在对岗位职工的影响。</w:t>
      </w:r>
    </w:p>
    <w:p>
      <w:pPr>
        <w:adjustRightInd w:val="0"/>
        <w:snapToGrid w:val="0"/>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项目区声环境能满足GB3096-2008《声环境质量标准》2类区标准限值要求，项目所在区域区域声环境质量现状良好。</w:t>
      </w:r>
    </w:p>
    <w:p>
      <w:pPr>
        <w:adjustRightInd w:val="0"/>
        <w:snapToGrid w:val="0"/>
        <w:spacing w:line="360" w:lineRule="auto"/>
        <w:ind w:firstLine="482" w:firstLineChars="200"/>
        <w:outlineLvl w:val="0"/>
        <w:rPr>
          <w:rFonts w:hint="eastAsia" w:ascii="宋体" w:hAnsi="宋体" w:cs="仿宋"/>
          <w:b/>
          <w:color w:val="000000"/>
          <w:sz w:val="24"/>
          <w:szCs w:val="24"/>
        </w:rPr>
      </w:pPr>
      <w:r>
        <w:rPr>
          <w:rFonts w:hint="eastAsia" w:ascii="宋体" w:hAnsi="宋体" w:cs="仿宋"/>
          <w:b/>
          <w:color w:val="000000"/>
          <w:sz w:val="24"/>
          <w:szCs w:val="24"/>
        </w:rPr>
        <w:t>2.4.7.5尾矿库的矿渣储存管理情况</w:t>
      </w:r>
    </w:p>
    <w:p>
      <w:pPr>
        <w:adjustRightInd w:val="0"/>
        <w:snapToGrid w:val="0"/>
        <w:spacing w:line="360" w:lineRule="auto"/>
        <w:ind w:firstLine="480" w:firstLineChars="200"/>
        <w:rPr>
          <w:rFonts w:hint="eastAsia" w:ascii="宋体" w:hAnsi="宋体" w:cs="仿宋"/>
          <w:color w:val="000000"/>
          <w:sz w:val="24"/>
          <w:szCs w:val="24"/>
        </w:rPr>
      </w:pPr>
      <w:r>
        <w:rPr>
          <w:rFonts w:hint="eastAsia" w:ascii="宋体" w:hAnsi="宋体" w:cs="仿宋"/>
          <w:color w:val="000000"/>
          <w:sz w:val="24"/>
          <w:szCs w:val="24"/>
        </w:rPr>
        <w:t>尾矿库位于罗平县富乐镇鸡西村，尾矿库距富乐镇约5km，距离北陡村约1.2km，距离鸡西村1.1km，富乐-罗平公路044#乡道从尾矿库南部900m处通过，尾矿库中心地理坐标：东经104°21′19′′，北纬25°19′42′′。尾矿库的等级为五等尾矿库。</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鸡西村尾矿库利用天然凹塘形成库容，进行尾矿的堆存。库汇水面积为 1.28km</w:t>
      </w:r>
      <w:r>
        <w:rPr>
          <w:rFonts w:hint="eastAsia" w:ascii="宋体" w:hAnsi="宋体" w:cs="仿宋"/>
          <w:color w:val="000000"/>
          <w:sz w:val="24"/>
          <w:vertAlign w:val="superscript"/>
        </w:rPr>
        <w:t>2</w:t>
      </w:r>
      <w:r>
        <w:rPr>
          <w:rFonts w:hint="eastAsia" w:ascii="宋体" w:hAnsi="宋体" w:cs="仿宋"/>
          <w:color w:val="000000"/>
          <w:sz w:val="24"/>
        </w:rPr>
        <w:t>。排洪系统库外采用截洪沟+挡水坝排洪；库内采用库内滞洪，用水泵 24 小时内抽完。</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尾矿渣属于Ⅰ类一般固废，根据勘察报告，尾矿库周边（下游）出露 11 个泉眼，所有泉眼均为周边村民饮用水源点，尾矿库库底标高均高于泉眼点标高，为避免尾矿淋漓水下渗后污染泉水，应对尾矿库进行全面防渗，并将渗滤液进行有效处理。选厂排放的尾矿为Ⅰ类渣，为防止尾矿渗滤液下渗后污染泉水，设计按照Ⅱ类渣进行防渗处理，能够满足防渗要求。</w:t>
      </w:r>
    </w:p>
    <w:p>
      <w:pPr>
        <w:spacing w:line="360" w:lineRule="auto"/>
        <w:ind w:firstLine="480" w:firstLineChars="200"/>
        <w:outlineLvl w:val="0"/>
        <w:rPr>
          <w:rFonts w:hint="eastAsia" w:ascii="宋体" w:hAnsi="宋体" w:cs="仿宋"/>
          <w:bCs/>
          <w:color w:val="000000"/>
          <w:sz w:val="24"/>
        </w:rPr>
      </w:pPr>
      <w:r>
        <w:rPr>
          <w:rFonts w:hint="eastAsia" w:ascii="宋体" w:hAnsi="宋体" w:cs="仿宋"/>
          <w:bCs/>
          <w:color w:val="000000"/>
          <w:sz w:val="24"/>
        </w:rPr>
        <w:t>（1）尾矿堆坝</w:t>
      </w:r>
    </w:p>
    <w:p>
      <w:pPr>
        <w:pStyle w:val="11"/>
        <w:spacing w:line="360" w:lineRule="auto"/>
        <w:ind w:firstLine="200"/>
        <w:rPr>
          <w:rFonts w:hint="eastAsia" w:ascii="宋体" w:hAnsi="宋体"/>
          <w:color w:val="000000"/>
          <w:sz w:val="24"/>
          <w:szCs w:val="24"/>
        </w:rPr>
      </w:pPr>
      <w:r>
        <w:rPr>
          <w:rFonts w:hint="eastAsia" w:ascii="宋体" w:hAnsi="宋体" w:cs="仿宋"/>
          <w:color w:val="000000"/>
          <w:sz w:val="24"/>
          <w:szCs w:val="24"/>
        </w:rPr>
        <w:t>富乐鸡西尾矿库利用天然凹墰作为尾矿干式堆积，故无堆积坝和初期坝，因分期建设，在两个天然凹墰间设置一座分隔坝，坝顶标高11m，坝顶宽2.5m，坝长40m。堆坝采用浆砌筑坝工艺，堆积坡比1:0.70，，</w:t>
      </w:r>
      <w:r>
        <w:rPr>
          <w:rFonts w:hint="eastAsia" w:ascii="宋体" w:hAnsi="宋体"/>
          <w:bCs/>
          <w:color w:val="000000"/>
          <w:sz w:val="24"/>
          <w:szCs w:val="24"/>
        </w:rPr>
        <w:t>总坝高21m，设计总库容53.24万m</w:t>
      </w:r>
      <w:r>
        <w:rPr>
          <w:rFonts w:hint="eastAsia" w:ascii="宋体" w:hAnsi="宋体"/>
          <w:bCs/>
          <w:color w:val="000000"/>
          <w:sz w:val="24"/>
          <w:szCs w:val="24"/>
          <w:vertAlign w:val="superscript"/>
        </w:rPr>
        <w:t>3</w:t>
      </w:r>
      <w:r>
        <w:rPr>
          <w:rFonts w:hint="eastAsia" w:ascii="宋体" w:hAnsi="宋体"/>
          <w:bCs/>
          <w:color w:val="000000"/>
          <w:sz w:val="24"/>
          <w:szCs w:val="24"/>
        </w:rPr>
        <w:t>。根据《尾矿库重大危险源辩识》，该尾矿库为五等库，未构成尾矿库重大危险源。</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为了确保子坝的安全，防止雨水冲刷坝体，在子坝与山坡接触部位，及子坝上部均设置雨水收集排放沟，沟断面200×200mm，坡度不小于1%。为加快尾矿固结和提高抗震能力，每堆高2m设置一层土工格栅网和φ150软式排渗管，排渗管间距10～15m。</w:t>
      </w:r>
    </w:p>
    <w:p>
      <w:pPr>
        <w:spacing w:line="360" w:lineRule="auto"/>
        <w:ind w:firstLine="480" w:firstLineChars="200"/>
        <w:rPr>
          <w:rFonts w:hint="eastAsia" w:ascii="宋体" w:hAnsi="宋体" w:cs="仿宋"/>
          <w:color w:val="000000"/>
          <w:sz w:val="24"/>
        </w:rPr>
      </w:pPr>
      <w:r>
        <w:rPr>
          <w:rFonts w:hint="eastAsia" w:ascii="宋体" w:hAnsi="宋体" w:cs="仿宋"/>
          <w:color w:val="000000"/>
          <w:sz w:val="24"/>
        </w:rPr>
        <w:t>（2）防渗情况</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库底和调节池位置防渗处理结构由下至上各层构成如下：</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一层、夯实粘土：500mm厚；二层、土工布：400g/m</w:t>
      </w:r>
      <w:r>
        <w:rPr>
          <w:rFonts w:hint="eastAsia" w:ascii="宋体" w:hAnsi="宋体"/>
          <w:bCs/>
          <w:color w:val="000000"/>
          <w:sz w:val="24"/>
          <w:vertAlign w:val="superscript"/>
        </w:rPr>
        <w:t>2</w:t>
      </w:r>
      <w:r>
        <w:rPr>
          <w:rFonts w:hint="eastAsia" w:ascii="宋体" w:hAnsi="宋体"/>
          <w:bCs/>
          <w:color w:val="000000"/>
          <w:sz w:val="24"/>
        </w:rPr>
        <w:t>；</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三层、隔膜：防渗膜（HDPE）1.5mm厚；四层、土工布：400g/m</w:t>
      </w:r>
      <w:r>
        <w:rPr>
          <w:rFonts w:hint="eastAsia" w:ascii="宋体" w:hAnsi="宋体"/>
          <w:bCs/>
          <w:color w:val="000000"/>
          <w:sz w:val="24"/>
          <w:vertAlign w:val="superscript"/>
        </w:rPr>
        <w:t>2</w:t>
      </w:r>
      <w:r>
        <w:rPr>
          <w:rFonts w:hint="eastAsia" w:ascii="宋体" w:hAnsi="宋体"/>
          <w:bCs/>
          <w:color w:val="000000"/>
          <w:sz w:val="24"/>
        </w:rPr>
        <w:t>。</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库内周边防渗处理结构由下至上各层构成如下：</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一层、土工格栅：S530；二层、防渗毯：GCL；三层、隔膜：防渗膜（HDPE）1.5mm厚；四层、土工布：400g/m</w:t>
      </w:r>
      <w:r>
        <w:rPr>
          <w:rFonts w:hint="eastAsia" w:ascii="宋体" w:hAnsi="宋体"/>
          <w:bCs/>
          <w:color w:val="000000"/>
          <w:sz w:val="24"/>
          <w:vertAlign w:val="superscript"/>
        </w:rPr>
        <w:t>2</w:t>
      </w:r>
      <w:r>
        <w:rPr>
          <w:rFonts w:hint="eastAsia" w:ascii="宋体" w:hAnsi="宋体"/>
          <w:bCs/>
          <w:color w:val="000000"/>
          <w:sz w:val="24"/>
        </w:rPr>
        <w:t>。</w:t>
      </w:r>
    </w:p>
    <w:p>
      <w:pPr>
        <w:spacing w:line="360" w:lineRule="auto"/>
        <w:ind w:firstLine="480" w:firstLineChars="200"/>
        <w:outlineLvl w:val="0"/>
        <w:rPr>
          <w:rFonts w:hint="eastAsia" w:ascii="宋体" w:hAnsi="宋体" w:cs="仿宋"/>
          <w:color w:val="000000"/>
          <w:sz w:val="24"/>
        </w:rPr>
      </w:pPr>
      <w:r>
        <w:rPr>
          <w:rFonts w:hint="eastAsia" w:ascii="宋体" w:hAnsi="宋体" w:cs="仿宋"/>
          <w:color w:val="000000"/>
          <w:sz w:val="24"/>
        </w:rPr>
        <w:t>（3）排洪系统</w:t>
      </w:r>
    </w:p>
    <w:p>
      <w:pPr>
        <w:adjustRightInd w:val="0"/>
        <w:snapToGrid w:val="0"/>
        <w:spacing w:line="360" w:lineRule="auto"/>
        <w:ind w:firstLine="480" w:firstLineChars="200"/>
        <w:rPr>
          <w:rFonts w:hint="eastAsia" w:ascii="宋体" w:hAnsi="宋体"/>
          <w:bCs/>
          <w:color w:val="000000"/>
          <w:sz w:val="24"/>
        </w:rPr>
      </w:pPr>
      <w:bookmarkStart w:id="192" w:name="_Toc375061269"/>
      <w:bookmarkStart w:id="193" w:name="_Toc375323321"/>
      <w:r>
        <w:rPr>
          <w:rFonts w:hint="eastAsia" w:ascii="宋体" w:hAnsi="宋体"/>
          <w:bCs/>
          <w:color w:val="000000"/>
          <w:sz w:val="24"/>
        </w:rPr>
        <w:t>该库区汇水面积1.28km2，排洪系统库外采用截洪沟排洪；库内采用库内滞洪，由水量平衡计算可知，当回水系统回水量为500m³/d 时，能实现保证率100 年一遇雨水不外排的目标。洪水时，用水泵在24小时内将库内积水抽到调节池，然后输送到水处理站进行处理，水泵不作为排洪设施，仅用于预防堆存尾矿操作过程中出现安全隐患的保障措施。</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1 号截洪沟汇水面积：0.26km</w:t>
      </w:r>
      <w:r>
        <w:rPr>
          <w:rFonts w:hint="eastAsia" w:ascii="宋体" w:hAnsi="宋体"/>
          <w:bCs/>
          <w:color w:val="000000"/>
          <w:sz w:val="24"/>
          <w:vertAlign w:val="superscript"/>
        </w:rPr>
        <w:t>2</w:t>
      </w:r>
      <w:r>
        <w:rPr>
          <w:rFonts w:hint="eastAsia" w:ascii="宋体" w:hAnsi="宋体"/>
          <w:bCs/>
          <w:color w:val="000000"/>
          <w:sz w:val="24"/>
        </w:rPr>
        <w:t>，  Qp=1.0%=4.91m³/s；</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2 号截洪沟汇水面积：0.947km</w:t>
      </w:r>
      <w:r>
        <w:rPr>
          <w:rFonts w:hint="eastAsia" w:ascii="宋体" w:hAnsi="宋体"/>
          <w:bCs/>
          <w:color w:val="000000"/>
          <w:sz w:val="24"/>
          <w:vertAlign w:val="superscript"/>
        </w:rPr>
        <w:t>2</w:t>
      </w:r>
      <w:r>
        <w:rPr>
          <w:rFonts w:hint="eastAsia" w:ascii="宋体" w:hAnsi="宋体"/>
          <w:bCs/>
          <w:color w:val="000000"/>
          <w:sz w:val="24"/>
        </w:rPr>
        <w:t>， Qp=1.0%=22.96m³/s；</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库内汇水面积：0.073km</w:t>
      </w:r>
      <w:r>
        <w:rPr>
          <w:rFonts w:hint="eastAsia" w:ascii="宋体" w:hAnsi="宋体"/>
          <w:bCs/>
          <w:color w:val="000000"/>
          <w:sz w:val="24"/>
          <w:vertAlign w:val="superscript"/>
        </w:rPr>
        <w:t>2</w:t>
      </w:r>
      <w:r>
        <w:rPr>
          <w:rFonts w:hint="eastAsia" w:ascii="宋体" w:hAnsi="宋体"/>
          <w:bCs/>
          <w:color w:val="000000"/>
          <w:sz w:val="24"/>
        </w:rPr>
        <w:t>，       Qp=1.0%=0.615m³/s；</w:t>
      </w:r>
    </w:p>
    <w:p>
      <w:pPr>
        <w:adjustRightInd w:val="0"/>
        <w:snapToGrid w:val="0"/>
        <w:spacing w:line="360" w:lineRule="auto"/>
        <w:ind w:firstLine="480" w:firstLineChars="200"/>
        <w:outlineLvl w:val="0"/>
        <w:rPr>
          <w:rFonts w:hint="eastAsia" w:ascii="宋体" w:hAnsi="宋体" w:cs="仿宋"/>
          <w:color w:val="000000"/>
          <w:sz w:val="24"/>
        </w:rPr>
      </w:pPr>
      <w:r>
        <w:rPr>
          <w:rFonts w:hint="eastAsia" w:ascii="宋体" w:hAnsi="宋体" w:cs="仿宋"/>
          <w:color w:val="000000"/>
          <w:sz w:val="24"/>
        </w:rPr>
        <w:t>①截洪沟</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尾矿库周边采用截洪沟进行排洪。 截洪沟断面体型为M7.5 浆砌石梯形结构，其内侧迎水面采用1:2水泥砂浆抹面，抹面厚道为2cm。截洪沟分为1号截洪沟（东边）和2号截洪沟（西边）。根据拟建鸡西村尾矿库地形条件，并考虑节省程投资，对截洪沟设计断面进行分段设计。</w:t>
      </w:r>
    </w:p>
    <w:bookmarkEnd w:id="192"/>
    <w:bookmarkEnd w:id="193"/>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有关水力计算参数及复核结果如下：</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1 号截洪沟（上段）：</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区域汇流面积0.18km2，L=约288m，设防流量2.59m³/s；</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最小纵坡 i=0.01；沟底宽度 b=1.0m；边墙高度 h=1.0m；安全超高 h0=0.3m 边坡系数 m=0.30；糙率 n=0.014。</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通过水力复核计算得：</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过水流量 Q=2.97m³/s，v=3.51m/s，大于设防流量、满足排洪要求。</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1 号截洪沟（下段）：</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域汇流面积 0.26km2，L=约 687m，设防流量4.91m³/s；最小纵坡 i=0.01；沟底宽度 b=1.2m；边墙高度 h=1.2m；安全超高 h0=0.3m 边坡系数 m=0.30；糙率 n=0.014。</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通过水力复核计算得：</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过水流量 Q=5.38m³/s，v=4.07m/s，大于设防流量、满足排洪要求。</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2 号截洪沟（上段）：</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域汇流面积 0.45km2，L=约449m，设防流量10.91m³/s；最小纵坡 i=0.01；沟底宽度 b=1.5m；边墙高度 h=1.6m；安全超高 h0=0.3m 边坡系数 m=0.30；糙率 n=0.014。</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通过水力复核计算得：</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过水流量 Q=12.25m³/s，v=4.98m/s，大于设防流量、满足排洪要求。</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2 号截洪沟（下段）：</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域汇流面积 0.947km2，L=约322m，设防流量22.96m³/s；最小纵坡 i=0.01；沟底宽度 b=1.9m；边墙高度 h=2.0m；安全超高 h0=0.3m 边坡系数 m=0.30；糙率n=0.014。</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通过水力复核计算得：</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过水流量 Q=24.20m³/s，v=5.90m/s，大于设防流量、满足排洪要求。</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进场道路通过截洪沟处按公路涵洞进行设计，断面需满足行洪要求。</w:t>
      </w:r>
    </w:p>
    <w:p>
      <w:pPr>
        <w:adjustRightInd w:val="0"/>
        <w:snapToGrid w:val="0"/>
        <w:spacing w:line="360" w:lineRule="auto"/>
        <w:ind w:firstLine="480" w:firstLineChars="200"/>
        <w:outlineLvl w:val="0"/>
        <w:rPr>
          <w:rFonts w:hint="eastAsia" w:ascii="宋体" w:hAnsi="宋体"/>
          <w:color w:val="000000"/>
          <w:sz w:val="24"/>
        </w:rPr>
      </w:pPr>
      <w:r>
        <w:rPr>
          <w:rFonts w:hint="eastAsia" w:ascii="宋体" w:hAnsi="宋体"/>
          <w:color w:val="000000"/>
          <w:sz w:val="24"/>
        </w:rPr>
        <w:t>②挡水坝</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尾矿库设置有两个挡水坝，1号挡水坝2022.02m³，2号挡水坝2263.65m³，采用浆砌块石材料，用来连接截洪沟行洪。</w:t>
      </w:r>
    </w:p>
    <w:p>
      <w:pPr>
        <w:adjustRightInd w:val="0"/>
        <w:snapToGrid w:val="0"/>
        <w:spacing w:line="360" w:lineRule="auto"/>
        <w:ind w:firstLine="480" w:firstLineChars="200"/>
        <w:rPr>
          <w:rFonts w:ascii="宋体" w:hAnsi="宋体"/>
          <w:bCs/>
          <w:color w:val="000000"/>
          <w:sz w:val="24"/>
        </w:rPr>
      </w:pPr>
      <w:r>
        <w:rPr>
          <w:rFonts w:hint="eastAsia" w:ascii="宋体" w:hAnsi="宋体"/>
          <w:bCs/>
          <w:color w:val="000000"/>
          <w:sz w:val="24"/>
        </w:rPr>
        <w:t>为防止雨水径流进入渣场内，避免水量增加和滑坡，</w:t>
      </w:r>
      <w:r>
        <w:rPr>
          <w:rFonts w:ascii="宋体" w:hAnsi="宋体"/>
          <w:bCs/>
          <w:color w:val="000000"/>
          <w:sz w:val="24"/>
        </w:rPr>
        <w:t>实行清污分流，在渣</w:t>
      </w:r>
      <w:r>
        <w:rPr>
          <w:rFonts w:hint="eastAsia" w:ascii="宋体" w:hAnsi="宋体"/>
          <w:bCs/>
          <w:color w:val="000000"/>
          <w:sz w:val="24"/>
        </w:rPr>
        <w:t>场上方</w:t>
      </w:r>
      <w:r>
        <w:rPr>
          <w:rFonts w:ascii="宋体" w:hAnsi="宋体"/>
          <w:bCs/>
          <w:color w:val="000000"/>
          <w:sz w:val="24"/>
        </w:rPr>
        <w:t>设置了截洪沟，截排入</w:t>
      </w:r>
      <w:r>
        <w:rPr>
          <w:rFonts w:hint="eastAsia" w:ascii="宋体" w:hAnsi="宋体"/>
          <w:bCs/>
          <w:color w:val="000000"/>
          <w:sz w:val="24"/>
        </w:rPr>
        <w:t>场</w:t>
      </w:r>
      <w:r>
        <w:rPr>
          <w:rFonts w:ascii="宋体" w:hAnsi="宋体"/>
          <w:bCs/>
          <w:color w:val="000000"/>
          <w:sz w:val="24"/>
        </w:rPr>
        <w:t>洪水。</w:t>
      </w:r>
    </w:p>
    <w:p>
      <w:pPr>
        <w:spacing w:line="360" w:lineRule="auto"/>
        <w:ind w:firstLine="480" w:firstLineChars="200"/>
        <w:outlineLvl w:val="0"/>
        <w:rPr>
          <w:rFonts w:ascii="宋体" w:hAnsi="宋体"/>
          <w:color w:val="000000"/>
          <w:sz w:val="24"/>
        </w:rPr>
      </w:pPr>
      <w:r>
        <w:rPr>
          <w:rFonts w:hint="eastAsia" w:ascii="宋体" w:hAnsi="宋体" w:cs="仿宋"/>
          <w:bCs/>
          <w:color w:val="000000"/>
          <w:sz w:val="24"/>
        </w:rPr>
        <w:t>（4）排水系统</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渗滤水收集在滞洪库容内，经泵抽至调节池，回喷用于堆场洒水降尘，回用不完的经污水处理站处理后经专用输水管道排至块泽河。</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专用输水管线采用IS150-125-250A型泵将库内雨水及渗滤液抽至结合池（调节池），再将结合池内收集液体通过排水管线排至块泽河。排水管线起点为尾矿库结合池，终点为块泽河。排水管线采用DN200钢管，长5.1km。</w:t>
      </w:r>
    </w:p>
    <w:p>
      <w:pPr>
        <w:spacing w:line="360" w:lineRule="auto"/>
        <w:ind w:firstLine="480" w:firstLineChars="200"/>
        <w:outlineLvl w:val="0"/>
        <w:rPr>
          <w:rFonts w:hint="eastAsia" w:ascii="宋体" w:hAnsi="宋体" w:cs="仿宋"/>
          <w:bCs/>
          <w:color w:val="000000"/>
          <w:sz w:val="24"/>
        </w:rPr>
      </w:pPr>
      <w:r>
        <w:rPr>
          <w:rFonts w:hint="eastAsia" w:ascii="宋体" w:hAnsi="宋体" w:cs="仿宋"/>
          <w:bCs/>
          <w:color w:val="000000"/>
          <w:sz w:val="24"/>
        </w:rPr>
        <w:t>（5）尾矿脱水及运输系统</w:t>
      </w:r>
    </w:p>
    <w:p>
      <w:pPr>
        <w:adjustRightInd w:val="0"/>
        <w:snapToGrid w:val="0"/>
        <w:spacing w:line="360" w:lineRule="auto"/>
        <w:ind w:firstLine="480" w:firstLineChars="200"/>
        <w:rPr>
          <w:rFonts w:hint="eastAsia" w:ascii="宋体" w:hAnsi="宋体"/>
          <w:bCs/>
          <w:color w:val="000000"/>
          <w:sz w:val="24"/>
        </w:rPr>
      </w:pPr>
      <w:r>
        <w:rPr>
          <w:rFonts w:hint="eastAsia" w:ascii="宋体" w:hAnsi="宋体"/>
          <w:bCs/>
          <w:color w:val="000000"/>
          <w:sz w:val="24"/>
        </w:rPr>
        <w:t>尾矿脱水系统：项目尾矿采用干排干堆的方式，建设单位在选厂建有一套脱水系统，原有的含水尾矿渣进入浓密机，上清液用于摇床用水，沉淀物进入陶瓷过滤机，滤液进入调节池，滤渣汽车运输至尾矿库；滤液进入调节池后加入明矾药剂，上清液再通过活性炭过滤后进入选矿用高位水池，调节池中的沉淀物再进入浓密机过滤，重复上述过程。</w:t>
      </w:r>
    </w:p>
    <w:p>
      <w:pPr>
        <w:adjustRightInd w:val="0"/>
        <w:snapToGrid w:val="0"/>
        <w:spacing w:line="360" w:lineRule="auto"/>
        <w:ind w:firstLine="480" w:firstLineChars="200"/>
        <w:rPr>
          <w:rFonts w:hint="eastAsia" w:ascii="宋体" w:hAnsi="宋体"/>
          <w:color w:val="000000"/>
          <w:sz w:val="24"/>
        </w:rPr>
      </w:pPr>
      <w:r>
        <w:rPr>
          <w:rFonts w:hint="eastAsia" w:ascii="宋体" w:hAnsi="宋体"/>
          <w:bCs/>
          <w:color w:val="000000"/>
          <w:sz w:val="24"/>
        </w:rPr>
        <w:t>尾矿渣（干渣）采用载重30t的汽车运输，每天运输150t尾矿，每天运输5趟，运输距离约5km，运输过程在钻块线公路上途径富乐镇中心、大鸡场、鸡西村、北斗村，最终通过进场公路进入尾矿库。</w:t>
      </w:r>
    </w:p>
    <w:p>
      <w:pPr>
        <w:spacing w:line="360" w:lineRule="auto"/>
        <w:ind w:firstLine="480" w:firstLineChars="200"/>
        <w:outlineLvl w:val="0"/>
        <w:rPr>
          <w:rFonts w:hint="eastAsia" w:ascii="宋体" w:hAnsi="宋体" w:cs="仿宋"/>
          <w:bCs/>
          <w:color w:val="000000"/>
          <w:sz w:val="24"/>
        </w:rPr>
      </w:pPr>
      <w:r>
        <w:rPr>
          <w:rFonts w:hint="eastAsia" w:ascii="宋体" w:hAnsi="宋体" w:cs="仿宋"/>
          <w:bCs/>
          <w:color w:val="000000"/>
          <w:sz w:val="24"/>
        </w:rPr>
        <w:t>（6）库容情况</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尾矿库利用天然凹塘进行尾矿堆存，总库容为 53.24万m³，有效库容 47.92万m³。</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尾矿库内建有1座污水处理站、设有一体化净水器、建有尾矿水深度处理回工回喷系统、设置有喷枪、尾矿库下游设有3口水质检测井、调节池1座（1200m³）、沉淀池1座、汇水池1座、反应池1座。</w:t>
      </w:r>
    </w:p>
    <w:p>
      <w:pPr>
        <w:spacing w:line="360" w:lineRule="auto"/>
        <w:ind w:firstLine="480" w:firstLineChars="200"/>
        <w:outlineLvl w:val="0"/>
        <w:rPr>
          <w:rFonts w:hint="eastAsia" w:ascii="宋体" w:hAnsi="宋体" w:cs="仿宋"/>
          <w:bCs/>
          <w:color w:val="000000"/>
          <w:sz w:val="24"/>
        </w:rPr>
      </w:pPr>
      <w:r>
        <w:rPr>
          <w:rFonts w:hint="eastAsia" w:ascii="宋体" w:hAnsi="宋体" w:cs="仿宋"/>
          <w:bCs/>
          <w:color w:val="000000"/>
          <w:sz w:val="24"/>
        </w:rPr>
        <w:t>（7）服务年限</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尾矿库服务年限为7.2年，防渗系统分两期进行。在两个天然凹塘中间的鞍部处设置一座11m 高的浆砌石坝以进行分期堆存，南部凹塘为一期，服务年限4.1年；北部凹塘为二期，服务年限为3.1年。</w:t>
      </w:r>
    </w:p>
    <w:bookmarkEnd w:id="171"/>
    <w:bookmarkEnd w:id="172"/>
    <w:bookmarkEnd w:id="173"/>
    <w:bookmarkEnd w:id="174"/>
    <w:p>
      <w:pPr>
        <w:pStyle w:val="5"/>
        <w:rPr>
          <w:rFonts w:hint="eastAsia"/>
          <w:color w:val="000000"/>
        </w:rPr>
      </w:pPr>
      <w:bookmarkStart w:id="194" w:name="_Toc23000878"/>
      <w:r>
        <w:rPr>
          <w:rFonts w:hint="eastAsia"/>
          <w:color w:val="000000"/>
        </w:rPr>
        <w:t>2.4.8环保设施情况</w:t>
      </w:r>
      <w:bookmarkEnd w:id="194"/>
    </w:p>
    <w:p>
      <w:pPr>
        <w:adjustRightInd w:val="0"/>
        <w:snapToGrid w:val="0"/>
        <w:spacing w:line="360" w:lineRule="auto"/>
        <w:ind w:firstLine="482" w:firstLineChars="200"/>
        <w:rPr>
          <w:rFonts w:hint="eastAsia" w:ascii="宋体" w:hAnsi="宋体" w:cs="仿宋"/>
          <w:b/>
          <w:color w:val="000000"/>
          <w:sz w:val="24"/>
        </w:rPr>
      </w:pPr>
      <w:r>
        <w:rPr>
          <w:rFonts w:hint="eastAsia" w:ascii="宋体" w:hAnsi="宋体" w:cs="仿宋"/>
          <w:b/>
          <w:color w:val="000000"/>
          <w:sz w:val="24"/>
        </w:rPr>
        <w:t>2.4.8.1环保设施建设情况</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原有环保工程实际投资</w:t>
      </w:r>
      <w:r>
        <w:rPr>
          <w:rFonts w:ascii="宋体" w:hAnsi="宋体" w:cs="仿宋"/>
          <w:color w:val="000000"/>
          <w:sz w:val="24"/>
        </w:rPr>
        <w:t>240.00</w:t>
      </w:r>
      <w:r>
        <w:rPr>
          <w:rFonts w:hint="eastAsia" w:ascii="宋体" w:hAnsi="宋体" w:cs="仿宋"/>
          <w:color w:val="000000"/>
          <w:sz w:val="24"/>
        </w:rPr>
        <w:t>万元。后评价阶段提出整改环保措施投资估算</w:t>
      </w:r>
      <w:r>
        <w:rPr>
          <w:rFonts w:ascii="宋体" w:hAnsi="宋体" w:cs="仿宋"/>
          <w:color w:val="000000"/>
          <w:sz w:val="24"/>
        </w:rPr>
        <w:t>123.50</w:t>
      </w:r>
      <w:r>
        <w:rPr>
          <w:rFonts w:hint="eastAsia" w:ascii="宋体" w:hAnsi="宋体" w:cs="仿宋"/>
          <w:color w:val="000000"/>
          <w:sz w:val="24"/>
        </w:rPr>
        <w:t>万元，项目环保措施整改实际总投资</w:t>
      </w:r>
      <w:r>
        <w:rPr>
          <w:rFonts w:ascii="宋体" w:hAnsi="宋体" w:cs="仿宋"/>
          <w:color w:val="000000"/>
          <w:sz w:val="24"/>
        </w:rPr>
        <w:t>4902.52</w:t>
      </w:r>
      <w:r>
        <w:rPr>
          <w:rFonts w:hint="eastAsia" w:ascii="宋体" w:hAnsi="宋体" w:cs="仿宋"/>
          <w:color w:val="000000"/>
          <w:sz w:val="24"/>
        </w:rPr>
        <w:t>万元，各项环保设施汇总如表2-37所示，环保投资估算详见表2-38所示。</w:t>
      </w:r>
    </w:p>
    <w:p>
      <w:pPr>
        <w:spacing w:line="360" w:lineRule="auto"/>
        <w:jc w:val="center"/>
        <w:rPr>
          <w:b/>
          <w:color w:val="000000"/>
          <w:sz w:val="24"/>
          <w:szCs w:val="24"/>
        </w:rPr>
      </w:pPr>
      <w:r>
        <w:rPr>
          <w:rFonts w:hint="eastAsia"/>
          <w:b/>
          <w:color w:val="000000"/>
          <w:sz w:val="24"/>
          <w:szCs w:val="24"/>
        </w:rPr>
        <w:t>表2-37环保设备一览表</w:t>
      </w:r>
    </w:p>
    <w:tbl>
      <w:tblPr>
        <w:tblStyle w:val="35"/>
        <w:tblW w:w="4749" w:type="pct"/>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2110"/>
        <w:gridCol w:w="2061"/>
        <w:gridCol w:w="2652"/>
        <w:gridCol w:w="199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类别</w:t>
            </w: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内容</w:t>
            </w:r>
          </w:p>
        </w:tc>
        <w:tc>
          <w:tcPr>
            <w:tcW w:w="150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规格尺寸</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治理对象</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废水</w:t>
            </w: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食堂隔油池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hint="eastAsia" w:ascii="宋体" w:hAnsi="宋体" w:eastAsia="宋体"/>
                <w:color w:val="000000"/>
                <w:szCs w:val="21"/>
              </w:rPr>
              <w:t>容积为</w:t>
            </w:r>
            <w:r>
              <w:rPr>
                <w:rFonts w:ascii="宋体" w:hAnsi="宋体" w:eastAsia="宋体"/>
                <w:color w:val="000000"/>
                <w:szCs w:val="21"/>
              </w:rPr>
              <w:t>2m</w:t>
            </w:r>
            <w:r>
              <w:rPr>
                <w:rFonts w:ascii="宋体" w:hAnsi="宋体" w:eastAsia="宋体"/>
                <w:color w:val="000000"/>
                <w:szCs w:val="21"/>
                <w:vertAlign w:val="superscript"/>
              </w:rPr>
              <w:t>3</w:t>
            </w:r>
          </w:p>
        </w:tc>
        <w:tc>
          <w:tcPr>
            <w:tcW w:w="1132"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生活污水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生活区沉淀池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hint="eastAsia" w:ascii="宋体" w:hAnsi="宋体" w:eastAsia="宋体"/>
                <w:color w:val="000000"/>
                <w:szCs w:val="21"/>
              </w:rPr>
              <w:t>容积为</w:t>
            </w:r>
            <w:r>
              <w:rPr>
                <w:rFonts w:ascii="宋体" w:hAnsi="宋体" w:eastAsia="宋体"/>
                <w:color w:val="000000"/>
                <w:szCs w:val="21"/>
              </w:rPr>
              <w:t>10m</w:t>
            </w:r>
            <w:r>
              <w:rPr>
                <w:rFonts w:ascii="宋体" w:hAnsi="宋体" w:eastAsia="宋体"/>
                <w:color w:val="000000"/>
                <w:szCs w:val="21"/>
                <w:vertAlign w:val="superscript"/>
              </w:rPr>
              <w:t>3</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初期雨水收集池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hint="eastAsia" w:ascii="宋体" w:hAnsi="宋体" w:eastAsia="宋体"/>
                <w:color w:val="000000"/>
                <w:szCs w:val="21"/>
              </w:rPr>
              <w:t>容积为</w:t>
            </w:r>
            <w:r>
              <w:rPr>
                <w:rFonts w:ascii="宋体" w:hAnsi="宋体" w:eastAsia="宋体"/>
                <w:color w:val="000000"/>
                <w:szCs w:val="21"/>
              </w:rPr>
              <w:t>100m</w:t>
            </w:r>
            <w:r>
              <w:rPr>
                <w:rFonts w:ascii="宋体" w:hAnsi="宋体" w:eastAsia="宋体"/>
                <w:color w:val="000000"/>
                <w:szCs w:val="21"/>
                <w:vertAlign w:val="superscript"/>
              </w:rPr>
              <w:t>3</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初期雨水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原矿堆场污水收集池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hint="eastAsia" w:ascii="宋体" w:hAnsi="宋体" w:eastAsia="宋体"/>
                <w:color w:val="000000"/>
                <w:szCs w:val="21"/>
              </w:rPr>
              <w:t>容积为</w:t>
            </w:r>
            <w:r>
              <w:rPr>
                <w:rFonts w:ascii="宋体" w:hAnsi="宋体" w:eastAsia="宋体"/>
                <w:color w:val="000000"/>
                <w:szCs w:val="21"/>
              </w:rPr>
              <w:t>100m</w:t>
            </w:r>
            <w:r>
              <w:rPr>
                <w:rFonts w:ascii="宋体" w:hAnsi="宋体" w:eastAsia="宋体"/>
                <w:color w:val="000000"/>
                <w:szCs w:val="21"/>
                <w:vertAlign w:val="superscript"/>
              </w:rPr>
              <w:t>3</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原矿堆场初期雨水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污水收集池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ascii="宋体" w:hAnsi="宋体" w:eastAsia="宋体"/>
                <w:color w:val="000000"/>
                <w:szCs w:val="21"/>
              </w:rPr>
              <w:t>2×150m</w:t>
            </w:r>
            <w:r>
              <w:rPr>
                <w:rFonts w:ascii="宋体" w:hAnsi="宋体" w:eastAsia="宋体"/>
                <w:color w:val="000000"/>
                <w:szCs w:val="21"/>
                <w:vertAlign w:val="superscript"/>
              </w:rPr>
              <w:t>3</w:t>
            </w:r>
          </w:p>
        </w:tc>
        <w:tc>
          <w:tcPr>
            <w:tcW w:w="1132"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选矿废水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污水处理系统</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50m</w:t>
            </w:r>
            <w:r>
              <w:rPr>
                <w:rFonts w:ascii="宋体" w:hAnsi="宋体" w:eastAsia="宋体"/>
                <w:color w:val="000000"/>
                <w:szCs w:val="21"/>
                <w:vertAlign w:val="superscript"/>
              </w:rPr>
              <w:t>3</w:t>
            </w:r>
            <w:r>
              <w:rPr>
                <w:rFonts w:ascii="宋体" w:hAnsi="宋体" w:eastAsia="宋体"/>
                <w:color w:val="000000"/>
                <w:szCs w:val="21"/>
              </w:rPr>
              <w:t>/h</w:t>
            </w:r>
          </w:p>
          <w:p>
            <w:pPr>
              <w:pStyle w:val="44"/>
              <w:spacing w:line="280" w:lineRule="exact"/>
              <w:rPr>
                <w:rFonts w:ascii="宋体" w:hAnsi="宋体" w:eastAsia="宋体"/>
                <w:color w:val="000000"/>
                <w:szCs w:val="21"/>
              </w:rPr>
            </w:pPr>
            <w:r>
              <w:rPr>
                <w:rFonts w:hint="eastAsia" w:ascii="宋体" w:hAnsi="宋体" w:eastAsia="宋体"/>
                <w:color w:val="000000"/>
                <w:szCs w:val="21"/>
              </w:rPr>
              <w:t>（调和沉淀</w:t>
            </w:r>
            <w:r>
              <w:rPr>
                <w:rFonts w:ascii="宋体" w:hAnsi="宋体" w:eastAsia="宋体"/>
                <w:color w:val="000000"/>
                <w:szCs w:val="21"/>
              </w:rPr>
              <w:t>+</w:t>
            </w:r>
            <w:r>
              <w:rPr>
                <w:rFonts w:hint="eastAsia" w:ascii="宋体" w:hAnsi="宋体" w:eastAsia="宋体"/>
                <w:color w:val="000000"/>
                <w:szCs w:val="21"/>
              </w:rPr>
              <w:t>活性炭吸附工艺）</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高位回水池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ascii="宋体" w:hAnsi="宋体" w:eastAsia="宋体"/>
                <w:color w:val="000000"/>
                <w:szCs w:val="21"/>
              </w:rPr>
              <w:t>500m</w:t>
            </w:r>
            <w:r>
              <w:rPr>
                <w:rFonts w:ascii="宋体" w:hAnsi="宋体" w:eastAsia="宋体"/>
                <w:color w:val="000000"/>
                <w:szCs w:val="21"/>
                <w:vertAlign w:val="superscript"/>
              </w:rPr>
              <w:t>3</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事故应急池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ascii="宋体" w:hAnsi="宋体" w:eastAsia="宋体"/>
                <w:color w:val="000000"/>
                <w:szCs w:val="21"/>
              </w:rPr>
              <w:t>300m</w:t>
            </w:r>
            <w:r>
              <w:rPr>
                <w:rFonts w:ascii="宋体" w:hAnsi="宋体" w:eastAsia="宋体"/>
                <w:color w:val="000000"/>
                <w:szCs w:val="21"/>
                <w:vertAlign w:val="superscript"/>
              </w:rPr>
              <w:t>3</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井下沉淀池</w:t>
            </w:r>
          </w:p>
        </w:tc>
        <w:tc>
          <w:tcPr>
            <w:tcW w:w="1503" w:type="pct"/>
            <w:noWrap w:val="0"/>
            <w:vAlign w:val="center"/>
          </w:tcPr>
          <w:p>
            <w:pPr>
              <w:pStyle w:val="44"/>
              <w:spacing w:line="280" w:lineRule="exact"/>
              <w:rPr>
                <w:rFonts w:ascii="宋体" w:hAnsi="宋体" w:eastAsia="宋体"/>
                <w:color w:val="000000"/>
                <w:szCs w:val="21"/>
                <w:vertAlign w:val="superscript"/>
              </w:rPr>
            </w:pPr>
            <w:r>
              <w:rPr>
                <w:rFonts w:ascii="宋体" w:hAnsi="宋体" w:eastAsia="宋体"/>
                <w:color w:val="000000"/>
                <w:szCs w:val="21"/>
              </w:rPr>
              <w:t>500m</w:t>
            </w:r>
            <w:r>
              <w:rPr>
                <w:rFonts w:ascii="宋体" w:hAnsi="宋体" w:eastAsia="宋体"/>
                <w:color w:val="000000"/>
                <w:szCs w:val="21"/>
                <w:vertAlign w:val="superscript"/>
              </w:rPr>
              <w:t>3</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废气</w:t>
            </w: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井下喷淋装置</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1132"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生产废气</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井下通风系统</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车辆篷布</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破碎系统排气筒、处理设备</w:t>
            </w:r>
          </w:p>
        </w:tc>
        <w:tc>
          <w:tcPr>
            <w:tcW w:w="150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一套集气抽风除尘设备，</w:t>
            </w:r>
            <w:r>
              <w:rPr>
                <w:rFonts w:ascii="宋体" w:hAnsi="宋体" w:eastAsia="宋体"/>
                <w:color w:val="000000"/>
                <w:szCs w:val="21"/>
              </w:rPr>
              <w:t>15m</w:t>
            </w:r>
            <w:r>
              <w:rPr>
                <w:rFonts w:hint="eastAsia" w:ascii="宋体" w:hAnsi="宋体" w:eastAsia="宋体"/>
                <w:color w:val="000000"/>
                <w:szCs w:val="21"/>
              </w:rPr>
              <w:t>高排气筒</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洒水降尘设备</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1132" w:type="pct"/>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油烟净化设备</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食堂油烟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固废</w:t>
            </w: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废石堆场拦渣坝、截排水沟</w:t>
            </w:r>
          </w:p>
        </w:tc>
        <w:tc>
          <w:tcPr>
            <w:tcW w:w="150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拦渣坝高</w:t>
            </w:r>
            <w:r>
              <w:rPr>
                <w:rFonts w:ascii="宋体" w:hAnsi="宋体" w:eastAsia="宋体"/>
                <w:color w:val="000000"/>
                <w:szCs w:val="21"/>
              </w:rPr>
              <w:t>10m</w:t>
            </w:r>
            <w:r>
              <w:rPr>
                <w:rFonts w:hint="eastAsia" w:ascii="宋体" w:hAnsi="宋体" w:eastAsia="宋体"/>
                <w:color w:val="000000"/>
                <w:szCs w:val="21"/>
              </w:rPr>
              <w:t>，宽</w:t>
            </w:r>
            <w:r>
              <w:rPr>
                <w:rFonts w:ascii="宋体" w:hAnsi="宋体" w:eastAsia="宋体"/>
                <w:color w:val="000000"/>
                <w:szCs w:val="21"/>
              </w:rPr>
              <w:t>1.2m</w:t>
            </w:r>
            <w:r>
              <w:rPr>
                <w:rFonts w:hint="eastAsia" w:ascii="宋体" w:hAnsi="宋体" w:eastAsia="宋体"/>
                <w:color w:val="000000"/>
                <w:szCs w:val="21"/>
              </w:rPr>
              <w:t>，截排水沟</w:t>
            </w:r>
            <w:r>
              <w:rPr>
                <w:rFonts w:ascii="宋体" w:hAnsi="宋体" w:eastAsia="宋体"/>
                <w:color w:val="000000"/>
                <w:szCs w:val="21"/>
              </w:rPr>
              <w:t>860m</w:t>
            </w:r>
            <w:r>
              <w:rPr>
                <w:rFonts w:hint="eastAsia" w:ascii="宋体" w:hAnsi="宋体" w:eastAsia="宋体"/>
                <w:color w:val="000000"/>
                <w:szCs w:val="21"/>
              </w:rPr>
              <w:t>，均为浆砌石结构</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采矿废石</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垃圾桶</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w:t>
            </w:r>
            <w:r>
              <w:rPr>
                <w:rFonts w:hint="eastAsia" w:ascii="宋体" w:hAnsi="宋体" w:eastAsia="宋体"/>
                <w:color w:val="000000"/>
                <w:szCs w:val="21"/>
              </w:rPr>
              <w:t>个</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生活垃圾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旱厕</w:t>
            </w:r>
          </w:p>
        </w:tc>
        <w:tc>
          <w:tcPr>
            <w:tcW w:w="1503" w:type="pct"/>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r>
              <w:rPr>
                <w:rFonts w:hint="eastAsia" w:ascii="宋体" w:hAnsi="宋体" w:eastAsia="宋体"/>
                <w:color w:val="000000"/>
                <w:szCs w:val="21"/>
              </w:rPr>
              <w:t>个</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旱厕污泥</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vMerge w:val="continue"/>
            <w:noWrap w:val="0"/>
            <w:vAlign w:val="center"/>
          </w:tcPr>
          <w:p>
            <w:pPr>
              <w:pStyle w:val="44"/>
              <w:spacing w:line="280" w:lineRule="exact"/>
              <w:rPr>
                <w:rFonts w:ascii="宋体" w:hAnsi="宋体" w:eastAsia="宋体"/>
                <w:color w:val="000000"/>
                <w:szCs w:val="21"/>
              </w:rPr>
            </w:pP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鸡西尾矿库</w:t>
            </w:r>
          </w:p>
        </w:tc>
        <w:tc>
          <w:tcPr>
            <w:tcW w:w="1503"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总库容</w:t>
            </w:r>
            <w:r>
              <w:rPr>
                <w:rFonts w:ascii="宋体" w:hAnsi="宋体" w:eastAsia="宋体"/>
                <w:color w:val="000000"/>
                <w:szCs w:val="21"/>
              </w:rPr>
              <w:t>53.24</w:t>
            </w:r>
            <w:r>
              <w:rPr>
                <w:rFonts w:hint="eastAsia" w:ascii="宋体" w:hAnsi="宋体" w:eastAsia="宋体"/>
                <w:color w:val="000000"/>
                <w:szCs w:val="21"/>
              </w:rPr>
              <w:t>万立方米，有效库容</w:t>
            </w:r>
            <w:r>
              <w:rPr>
                <w:rFonts w:ascii="宋体" w:hAnsi="宋体" w:eastAsia="宋体"/>
                <w:color w:val="000000"/>
                <w:szCs w:val="21"/>
              </w:rPr>
              <w:t>47.92</w:t>
            </w:r>
            <w:r>
              <w:rPr>
                <w:rFonts w:hint="eastAsia" w:ascii="宋体" w:hAnsi="宋体" w:eastAsia="宋体"/>
                <w:color w:val="000000"/>
                <w:szCs w:val="21"/>
              </w:rPr>
              <w:t>万立方米</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尾矿</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196"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噪声、废气</w:t>
            </w:r>
          </w:p>
        </w:tc>
        <w:tc>
          <w:tcPr>
            <w:tcW w:w="1168"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厂区绿化</w:t>
            </w:r>
          </w:p>
        </w:tc>
        <w:tc>
          <w:tcPr>
            <w:tcW w:w="1503" w:type="pct"/>
            <w:noWrap w:val="0"/>
            <w:vAlign w:val="center"/>
          </w:tcPr>
          <w:p>
            <w:pPr>
              <w:pStyle w:val="44"/>
              <w:spacing w:line="280" w:lineRule="exact"/>
              <w:rPr>
                <w:rFonts w:ascii="宋体" w:hAnsi="宋体" w:eastAsia="宋体"/>
                <w:color w:val="000000"/>
                <w:szCs w:val="21"/>
                <w:vertAlign w:val="superscript"/>
              </w:rPr>
            </w:pPr>
            <w:r>
              <w:rPr>
                <w:rFonts w:ascii="宋体" w:hAnsi="宋体" w:eastAsia="宋体"/>
                <w:color w:val="000000"/>
                <w:szCs w:val="21"/>
              </w:rPr>
              <w:t>3000m</w:t>
            </w:r>
            <w:r>
              <w:rPr>
                <w:rFonts w:ascii="宋体" w:hAnsi="宋体" w:eastAsia="宋体"/>
                <w:color w:val="000000"/>
                <w:szCs w:val="21"/>
                <w:vertAlign w:val="superscript"/>
              </w:rPr>
              <w:t>2</w:t>
            </w:r>
          </w:p>
        </w:tc>
        <w:tc>
          <w:tcPr>
            <w:tcW w:w="1132" w:type="pc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噪声、废气</w:t>
            </w:r>
          </w:p>
        </w:tc>
      </w:tr>
    </w:tbl>
    <w:p>
      <w:pPr>
        <w:spacing w:before="120" w:beforeLines="50" w:line="360" w:lineRule="auto"/>
        <w:ind w:firstLine="482"/>
        <w:jc w:val="center"/>
        <w:rPr>
          <w:b/>
          <w:bCs/>
          <w:color w:val="000000"/>
          <w:sz w:val="24"/>
          <w:szCs w:val="24"/>
        </w:rPr>
      </w:pPr>
      <w:r>
        <w:rPr>
          <w:rFonts w:hint="eastAsia"/>
          <w:b/>
          <w:bCs/>
          <w:color w:val="000000"/>
          <w:sz w:val="24"/>
          <w:szCs w:val="24"/>
        </w:rPr>
        <w:t>表2-38</w:t>
      </w:r>
      <w:r>
        <w:rPr>
          <w:b/>
          <w:bCs/>
          <w:color w:val="000000"/>
          <w:sz w:val="24"/>
          <w:szCs w:val="24"/>
        </w:rPr>
        <w:t xml:space="preserve"> </w:t>
      </w:r>
      <w:r>
        <w:rPr>
          <w:rFonts w:hint="eastAsia"/>
          <w:b/>
          <w:bCs/>
          <w:color w:val="000000"/>
          <w:sz w:val="24"/>
          <w:szCs w:val="24"/>
        </w:rPr>
        <w:t>环保投资估算表</w:t>
      </w:r>
      <w:r>
        <w:rPr>
          <w:b/>
          <w:bCs/>
          <w:color w:val="000000"/>
          <w:sz w:val="24"/>
          <w:szCs w:val="24"/>
        </w:rPr>
        <w:t xml:space="preserve">   </w:t>
      </w:r>
      <w:r>
        <w:rPr>
          <w:rFonts w:hint="eastAsia"/>
          <w:b/>
          <w:bCs/>
          <w:color w:val="000000"/>
          <w:sz w:val="24"/>
          <w:szCs w:val="24"/>
        </w:rPr>
        <w:t>投资单位：万元</w:t>
      </w:r>
    </w:p>
    <w:tbl>
      <w:tblPr>
        <w:tblStyle w:val="35"/>
        <w:tblW w:w="0" w:type="auto"/>
        <w:tblInd w:w="10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autofit"/>
        <w:tblCellMar>
          <w:top w:w="0" w:type="dxa"/>
          <w:left w:w="108" w:type="dxa"/>
          <w:bottom w:w="0" w:type="dxa"/>
          <w:right w:w="108" w:type="dxa"/>
        </w:tblCellMar>
      </w:tblPr>
      <w:tblGrid>
        <w:gridCol w:w="1704"/>
        <w:gridCol w:w="2256"/>
        <w:gridCol w:w="2160"/>
        <w:gridCol w:w="1440"/>
        <w:gridCol w:w="1392"/>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序号</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环保措施</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处置对象</w:t>
            </w:r>
          </w:p>
        </w:tc>
        <w:tc>
          <w:tcPr>
            <w:tcW w:w="144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投资</w:t>
            </w:r>
          </w:p>
        </w:tc>
        <w:tc>
          <w:tcPr>
            <w:tcW w:w="1392"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建设时期</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矿井涌水收集池（</w:t>
            </w:r>
            <w:r>
              <w:rPr>
                <w:rFonts w:ascii="宋体" w:hAnsi="宋体" w:eastAsia="宋体"/>
                <w:color w:val="000000"/>
                <w:szCs w:val="21"/>
              </w:rPr>
              <w:t>500m</w:t>
            </w:r>
            <w:r>
              <w:rPr>
                <w:rFonts w:ascii="宋体" w:hAnsi="宋体" w:eastAsia="宋体"/>
                <w:color w:val="000000"/>
                <w:szCs w:val="21"/>
                <w:vertAlign w:val="superscript"/>
              </w:rPr>
              <w:t>3</w:t>
            </w:r>
            <w:r>
              <w:rPr>
                <w:rFonts w:hint="eastAsia" w:ascii="宋体" w:hAnsi="宋体" w:eastAsia="宋体"/>
                <w:color w:val="000000"/>
                <w:szCs w:val="21"/>
              </w:rPr>
              <w:t>）</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矿井涌水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25.0</w:t>
            </w:r>
          </w:p>
        </w:tc>
        <w:tc>
          <w:tcPr>
            <w:tcW w:w="1392" w:type="dxa"/>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原有环保设施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选厂事故应急池（</w:t>
            </w:r>
            <w:r>
              <w:rPr>
                <w:rFonts w:ascii="宋体" w:hAnsi="宋体" w:eastAsia="宋体"/>
                <w:color w:val="000000"/>
                <w:szCs w:val="21"/>
              </w:rPr>
              <w:t>300m</w:t>
            </w:r>
            <w:r>
              <w:rPr>
                <w:rFonts w:ascii="宋体" w:hAnsi="宋体" w:eastAsia="宋体"/>
                <w:color w:val="000000"/>
                <w:szCs w:val="21"/>
                <w:vertAlign w:val="superscript"/>
              </w:rPr>
              <w:t>3</w:t>
            </w:r>
            <w:r>
              <w:rPr>
                <w:rFonts w:hint="eastAsia" w:ascii="宋体" w:hAnsi="宋体" w:eastAsia="宋体"/>
                <w:color w:val="000000"/>
                <w:szCs w:val="21"/>
              </w:rPr>
              <w:t>）</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生产废水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20.0</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绿化</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废气、噪声</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14.5</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4</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边坡、排水沟</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雨水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15.0</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井下洒水降尘设施</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开采废气</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10.0</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原矿堆场污水收集池</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初期雨水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高位回水池</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选矿废水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8</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通风系统</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开采废气</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75</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9</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循环水利用水池</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生产废水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20</w:t>
            </w:r>
          </w:p>
        </w:tc>
        <w:tc>
          <w:tcPr>
            <w:tcW w:w="1392" w:type="dxa"/>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后评价阶段建设设施</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10</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废石堆场</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废石</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50.5</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11</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废石临时堆场四周建截排水沟、设立拦渣坝</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矿区雨水、废石</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26.5</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12</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废水收集池（</w:t>
            </w:r>
            <w:r>
              <w:rPr>
                <w:rFonts w:ascii="宋体" w:hAnsi="宋体" w:eastAsia="宋体"/>
                <w:color w:val="000000"/>
                <w:szCs w:val="21"/>
              </w:rPr>
              <w:t>150m</w:t>
            </w:r>
            <w:r>
              <w:rPr>
                <w:rFonts w:ascii="宋体" w:hAnsi="宋体" w:eastAsia="宋体"/>
                <w:color w:val="000000"/>
                <w:szCs w:val="21"/>
                <w:vertAlign w:val="superscript"/>
              </w:rPr>
              <w:t>3</w:t>
            </w:r>
            <w:r>
              <w:rPr>
                <w:rFonts w:ascii="宋体" w:hAnsi="宋体" w:eastAsia="宋体"/>
                <w:color w:val="000000"/>
                <w:szCs w:val="21"/>
              </w:rPr>
              <w:t>×2</w:t>
            </w:r>
            <w:r>
              <w:rPr>
                <w:rFonts w:hint="eastAsia" w:ascii="宋体" w:hAnsi="宋体" w:eastAsia="宋体"/>
                <w:color w:val="000000"/>
                <w:szCs w:val="21"/>
              </w:rPr>
              <w:t>）</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生产废水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30</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13</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硫化矿系统安装除尘装置</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破碎废气</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25</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14</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噪声治理及绿化</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噪声、废气</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18</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15</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隔油池、沉淀池</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生活污水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16</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油烟净化设备</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食堂油烟</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17</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地面尾矿库（包括污水处理站）</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尾矿</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3939.02</w:t>
            </w:r>
          </w:p>
        </w:tc>
        <w:tc>
          <w:tcPr>
            <w:tcW w:w="1392" w:type="dxa"/>
            <w:vMerge w:val="restart"/>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单独进行立项建设</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1704"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18</w:t>
            </w:r>
          </w:p>
        </w:tc>
        <w:tc>
          <w:tcPr>
            <w:tcW w:w="2256"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选厂污水处理系统（</w:t>
            </w:r>
            <w:r>
              <w:rPr>
                <w:rFonts w:ascii="宋体" w:hAnsi="宋体" w:eastAsia="宋体"/>
                <w:color w:val="000000"/>
                <w:szCs w:val="21"/>
              </w:rPr>
              <w:t>50m</w:t>
            </w:r>
            <w:r>
              <w:rPr>
                <w:rFonts w:ascii="宋体" w:hAnsi="宋体" w:eastAsia="宋体"/>
                <w:color w:val="000000"/>
                <w:szCs w:val="21"/>
                <w:vertAlign w:val="superscript"/>
              </w:rPr>
              <w:t>3</w:t>
            </w:r>
            <w:r>
              <w:rPr>
                <w:rFonts w:ascii="宋体" w:hAnsi="宋体" w:eastAsia="宋体"/>
                <w:color w:val="000000"/>
                <w:szCs w:val="21"/>
              </w:rPr>
              <w:t>/d</w:t>
            </w:r>
            <w:r>
              <w:rPr>
                <w:rFonts w:hint="eastAsia" w:ascii="宋体" w:hAnsi="宋体" w:eastAsia="宋体"/>
                <w:color w:val="000000"/>
                <w:szCs w:val="21"/>
              </w:rPr>
              <w:t>）</w:t>
            </w:r>
          </w:p>
        </w:tc>
        <w:tc>
          <w:tcPr>
            <w:tcW w:w="2160" w:type="dxa"/>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生产废水</w:t>
            </w:r>
          </w:p>
        </w:tc>
        <w:tc>
          <w:tcPr>
            <w:tcW w:w="1440" w:type="dxa"/>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600</w:t>
            </w:r>
          </w:p>
        </w:tc>
        <w:tc>
          <w:tcPr>
            <w:tcW w:w="1392" w:type="dxa"/>
            <w:vMerge w:val="continue"/>
            <w:noWrap w:val="0"/>
            <w:vAlign w:val="center"/>
          </w:tcPr>
          <w:p>
            <w:pPr>
              <w:pStyle w:val="44"/>
              <w:spacing w:line="280" w:lineRule="exact"/>
              <w:rPr>
                <w:rFonts w:ascii="宋体" w:hAnsi="宋体" w:eastAsia="宋体"/>
                <w:color w:val="000000"/>
                <w:szCs w:val="21"/>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Pr>
        <w:tc>
          <w:tcPr>
            <w:tcW w:w="3960" w:type="dxa"/>
            <w:gridSpan w:val="2"/>
            <w:noWrap w:val="0"/>
            <w:vAlign w:val="center"/>
          </w:tcPr>
          <w:p>
            <w:pPr>
              <w:pStyle w:val="44"/>
              <w:spacing w:line="280" w:lineRule="exact"/>
              <w:rPr>
                <w:rFonts w:ascii="宋体" w:hAnsi="宋体" w:eastAsia="宋体"/>
                <w:color w:val="000000"/>
                <w:szCs w:val="21"/>
              </w:rPr>
            </w:pPr>
            <w:r>
              <w:rPr>
                <w:rFonts w:hint="eastAsia" w:ascii="宋体" w:hAnsi="宋体" w:eastAsia="宋体"/>
                <w:color w:val="000000"/>
                <w:szCs w:val="21"/>
              </w:rPr>
              <w:t>合计</w:t>
            </w:r>
          </w:p>
        </w:tc>
        <w:tc>
          <w:tcPr>
            <w:tcW w:w="4992" w:type="dxa"/>
            <w:gridSpan w:val="3"/>
            <w:noWrap w:val="0"/>
            <w:vAlign w:val="center"/>
          </w:tcPr>
          <w:p>
            <w:pPr>
              <w:pStyle w:val="44"/>
              <w:spacing w:line="280" w:lineRule="exact"/>
              <w:rPr>
                <w:rFonts w:ascii="宋体" w:hAnsi="宋体" w:eastAsia="宋体"/>
                <w:color w:val="000000"/>
                <w:szCs w:val="21"/>
              </w:rPr>
            </w:pPr>
            <w:r>
              <w:rPr>
                <w:rFonts w:ascii="宋体" w:hAnsi="宋体" w:eastAsia="宋体"/>
                <w:color w:val="000000"/>
                <w:szCs w:val="21"/>
              </w:rPr>
              <w:t>4902.52</w:t>
            </w:r>
          </w:p>
        </w:tc>
      </w:tr>
    </w:tbl>
    <w:p>
      <w:pPr>
        <w:adjustRightInd w:val="0"/>
        <w:snapToGrid w:val="0"/>
        <w:spacing w:before="120" w:beforeLines="50" w:line="360" w:lineRule="auto"/>
        <w:ind w:firstLine="482" w:firstLineChars="200"/>
        <w:rPr>
          <w:rFonts w:hint="eastAsia" w:ascii="宋体" w:hAnsi="宋体" w:cs="仿宋"/>
          <w:b/>
          <w:color w:val="000000"/>
          <w:sz w:val="24"/>
        </w:rPr>
      </w:pPr>
      <w:r>
        <w:rPr>
          <w:rFonts w:hint="eastAsia" w:ascii="宋体" w:hAnsi="宋体" w:cs="仿宋"/>
          <w:b/>
          <w:color w:val="000000"/>
          <w:sz w:val="24"/>
        </w:rPr>
        <w:t>2.4.8.2现有环保设施运行状况</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现有环保设施主要是污水处理系统，尾矿库。</w:t>
      </w:r>
    </w:p>
    <w:p>
      <w:pPr>
        <w:adjustRightInd w:val="0"/>
        <w:snapToGrid w:val="0"/>
        <w:spacing w:line="360" w:lineRule="auto"/>
        <w:ind w:firstLine="480" w:firstLineChars="200"/>
        <w:rPr>
          <w:rFonts w:hint="eastAsia" w:ascii="宋体" w:hAnsi="宋体" w:cs="仿宋"/>
          <w:color w:val="000000"/>
          <w:sz w:val="24"/>
        </w:rPr>
      </w:pPr>
      <w:r>
        <w:rPr>
          <w:rFonts w:ascii="宋体" w:hAnsi="宋体" w:cs="仿宋"/>
          <w:color w:val="000000"/>
          <w:sz w:val="24"/>
        </w:rPr>
        <w:t>选矿废水处理系统</w:t>
      </w:r>
      <w:r>
        <w:rPr>
          <w:rFonts w:hint="eastAsia" w:ascii="宋体" w:hAnsi="宋体" w:cs="仿宋"/>
          <w:color w:val="000000"/>
          <w:sz w:val="24"/>
        </w:rPr>
        <w:t>：主要是</w:t>
      </w:r>
      <w:r>
        <w:rPr>
          <w:rFonts w:ascii="宋体" w:hAnsi="宋体" w:cs="仿宋"/>
          <w:color w:val="000000"/>
          <w:sz w:val="24"/>
        </w:rPr>
        <w:t>一体化处理设备、污水收集池、中间水池、尾矿沉淀池、调节池、清水池及污水管道、回用管道、脱水设备等</w:t>
      </w:r>
      <w:r>
        <w:rPr>
          <w:rFonts w:hint="eastAsia" w:ascii="宋体" w:hAnsi="宋体" w:cs="仿宋"/>
          <w:color w:val="000000"/>
          <w:sz w:val="24"/>
        </w:rPr>
        <w:t>。</w:t>
      </w:r>
    </w:p>
    <w:p>
      <w:pPr>
        <w:adjustRightInd w:val="0"/>
        <w:snapToGrid w:val="0"/>
        <w:spacing w:line="360" w:lineRule="auto"/>
        <w:ind w:firstLine="480" w:firstLineChars="200"/>
        <w:rPr>
          <w:rFonts w:hint="eastAsia" w:ascii="宋体" w:hAnsi="宋体" w:cs="仿宋"/>
          <w:color w:val="000000"/>
          <w:sz w:val="24"/>
        </w:rPr>
      </w:pPr>
      <w:r>
        <w:rPr>
          <w:rFonts w:ascii="宋体" w:hAnsi="宋体" w:cs="仿宋"/>
          <w:color w:val="000000"/>
          <w:sz w:val="24"/>
        </w:rPr>
        <w:t>尾矿处置系统</w:t>
      </w:r>
      <w:r>
        <w:rPr>
          <w:rFonts w:hint="eastAsia" w:ascii="宋体" w:hAnsi="宋体" w:cs="仿宋"/>
          <w:color w:val="000000"/>
          <w:sz w:val="24"/>
        </w:rPr>
        <w:t>：</w:t>
      </w:r>
      <w:r>
        <w:rPr>
          <w:rFonts w:ascii="宋体" w:hAnsi="宋体" w:cs="仿宋"/>
          <w:color w:val="000000"/>
          <w:sz w:val="24"/>
        </w:rPr>
        <w:t>尾矿库、渗滤液收集池、监测井等</w:t>
      </w:r>
    </w:p>
    <w:p>
      <w:pPr>
        <w:adjustRightInd w:val="0"/>
        <w:snapToGrid w:val="0"/>
        <w:spacing w:line="360" w:lineRule="auto"/>
        <w:ind w:firstLine="480" w:firstLineChars="200"/>
        <w:rPr>
          <w:rFonts w:hint="eastAsia" w:ascii="宋体" w:hAnsi="宋体" w:cs="仿宋"/>
          <w:color w:val="000000"/>
          <w:sz w:val="24"/>
        </w:rPr>
      </w:pPr>
      <w:r>
        <w:rPr>
          <w:rFonts w:ascii="宋体" w:hAnsi="宋体" w:cs="仿宋"/>
          <w:color w:val="000000"/>
          <w:sz w:val="24"/>
        </w:rPr>
        <w:t>雨污分流系统</w:t>
      </w:r>
      <w:r>
        <w:rPr>
          <w:rFonts w:hint="eastAsia" w:ascii="宋体" w:hAnsi="宋体" w:cs="仿宋"/>
          <w:color w:val="000000"/>
          <w:sz w:val="24"/>
        </w:rPr>
        <w:t>：厂区建筑</w:t>
      </w:r>
      <w:r>
        <w:rPr>
          <w:rFonts w:ascii="宋体" w:hAnsi="宋体" w:cs="仿宋"/>
          <w:color w:val="000000"/>
          <w:sz w:val="24"/>
        </w:rPr>
        <w:t>雨落管、厂址周围地表水收集、输送设施。</w:t>
      </w:r>
    </w:p>
    <w:p>
      <w:pPr>
        <w:adjustRightInd w:val="0"/>
        <w:snapToGrid w:val="0"/>
        <w:spacing w:line="360" w:lineRule="auto"/>
        <w:ind w:firstLine="480" w:firstLineChars="200"/>
        <w:rPr>
          <w:rFonts w:hint="eastAsia" w:ascii="宋体" w:hAnsi="宋体" w:cs="仿宋"/>
          <w:color w:val="000000"/>
          <w:sz w:val="24"/>
        </w:rPr>
      </w:pPr>
      <w:r>
        <w:rPr>
          <w:rFonts w:hint="eastAsia" w:ascii="宋体" w:hAnsi="宋体" w:cs="仿宋"/>
          <w:color w:val="000000"/>
          <w:sz w:val="24"/>
        </w:rPr>
        <w:t>铅锌矿各项环保设施运行正常。</w:t>
      </w:r>
    </w:p>
    <w:p>
      <w:pPr>
        <w:adjustRightInd w:val="0"/>
        <w:snapToGrid w:val="0"/>
        <w:spacing w:line="360" w:lineRule="auto"/>
        <w:ind w:firstLine="482" w:firstLineChars="200"/>
        <w:rPr>
          <w:rFonts w:hint="eastAsia" w:ascii="宋体" w:hAnsi="宋体" w:cs="仿宋"/>
          <w:b/>
          <w:color w:val="000000"/>
          <w:sz w:val="24"/>
        </w:rPr>
      </w:pPr>
      <w:r>
        <w:rPr>
          <w:rFonts w:hint="eastAsia" w:ascii="宋体" w:hAnsi="宋体" w:cs="仿宋"/>
          <w:b/>
          <w:color w:val="000000"/>
          <w:sz w:val="24"/>
        </w:rPr>
        <w:t>2.4.8.3污染源自动监控设备安装、比对、运行及传输情况</w:t>
      </w:r>
    </w:p>
    <w:p>
      <w:pPr>
        <w:adjustRightInd w:val="0"/>
        <w:snapToGrid w:val="0"/>
        <w:spacing w:line="360" w:lineRule="auto"/>
        <w:ind w:firstLine="480" w:firstLineChars="200"/>
        <w:rPr>
          <w:rFonts w:ascii="宋体" w:hAnsi="宋体" w:cs="仿宋"/>
          <w:color w:val="000000"/>
          <w:sz w:val="24"/>
        </w:rPr>
      </w:pPr>
      <w:r>
        <w:rPr>
          <w:rFonts w:hint="eastAsia" w:ascii="宋体" w:hAnsi="宋体" w:cs="仿宋"/>
          <w:color w:val="000000"/>
          <w:sz w:val="24"/>
        </w:rPr>
        <w:t>公司未纳入当地环保部门在线监控设施安装范围。</w:t>
      </w:r>
    </w:p>
    <w:p>
      <w:pPr>
        <w:adjustRightInd w:val="0"/>
        <w:snapToGrid w:val="0"/>
        <w:spacing w:line="360" w:lineRule="auto"/>
        <w:ind w:firstLine="482" w:firstLineChars="200"/>
        <w:outlineLvl w:val="0"/>
        <w:rPr>
          <w:rFonts w:hint="eastAsia" w:ascii="宋体" w:hAnsi="宋体" w:cs="仿宋"/>
          <w:b/>
          <w:color w:val="000000"/>
          <w:sz w:val="24"/>
        </w:rPr>
      </w:pPr>
      <w:bookmarkStart w:id="195" w:name="_Toc527281388"/>
      <w:bookmarkStart w:id="196" w:name="_Toc477356513"/>
      <w:bookmarkStart w:id="197" w:name="_Toc465950498"/>
      <w:bookmarkStart w:id="198" w:name="_Toc461612522"/>
      <w:r>
        <w:rPr>
          <w:rFonts w:hint="eastAsia" w:ascii="宋体" w:hAnsi="宋体" w:cs="仿宋"/>
          <w:b/>
          <w:color w:val="000000"/>
          <w:sz w:val="24"/>
        </w:rPr>
        <w:t>2.4.8.4排污口设置情况</w:t>
      </w:r>
      <w:bookmarkEnd w:id="195"/>
      <w:bookmarkEnd w:id="196"/>
      <w:bookmarkEnd w:id="197"/>
      <w:bookmarkEnd w:id="198"/>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选矿厂原矿破碎一个废气排放口，无生产废水与生活废水排放口，详见表2-39。</w:t>
      </w:r>
    </w:p>
    <w:p>
      <w:pPr>
        <w:shd w:val="clear" w:color="auto" w:fill="FFFFFF"/>
        <w:spacing w:line="360" w:lineRule="auto"/>
        <w:ind w:firstLine="482" w:firstLineChars="200"/>
        <w:jc w:val="center"/>
        <w:rPr>
          <w:rFonts w:hint="eastAsia" w:ascii="宋体" w:hAnsi="宋体"/>
          <w:b/>
          <w:color w:val="000000"/>
          <w:sz w:val="24"/>
          <w:szCs w:val="24"/>
        </w:rPr>
      </w:pPr>
      <w:r>
        <w:rPr>
          <w:rFonts w:hint="eastAsia" w:ascii="宋体" w:hAnsi="宋体"/>
          <w:b/>
          <w:color w:val="000000"/>
          <w:sz w:val="24"/>
          <w:szCs w:val="24"/>
        </w:rPr>
        <w:t>表2—39  排污口规范化建设情况表</w:t>
      </w:r>
    </w:p>
    <w:tbl>
      <w:tblPr>
        <w:tblStyle w:val="35"/>
        <w:tblW w:w="8838"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6"/>
        <w:gridCol w:w="864"/>
        <w:gridCol w:w="1555"/>
        <w:gridCol w:w="1884"/>
        <w:gridCol w:w="2139"/>
        <w:gridCol w:w="2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79" w:hRule="atLeast"/>
        </w:trPr>
        <w:tc>
          <w:tcPr>
            <w:tcW w:w="346" w:type="dxa"/>
            <w:noWrap w:val="0"/>
            <w:vAlign w:val="top"/>
          </w:tcPr>
          <w:p>
            <w:pPr>
              <w:jc w:val="center"/>
              <w:rPr>
                <w:rFonts w:hint="eastAsia" w:ascii="宋体" w:hAnsi="宋体" w:cs="Arial"/>
                <w:color w:val="000000"/>
                <w:kern w:val="0"/>
                <w:szCs w:val="21"/>
              </w:rPr>
            </w:pPr>
            <w:bookmarkStart w:id="199" w:name="_Toc457504275"/>
            <w:bookmarkStart w:id="200" w:name="_Toc461612523"/>
            <w:bookmarkStart w:id="201" w:name="_Toc465950499"/>
            <w:r>
              <w:rPr>
                <w:rFonts w:hint="eastAsia" w:ascii="宋体" w:hAnsi="宋体" w:cs="Arial"/>
                <w:color w:val="000000"/>
                <w:kern w:val="0"/>
                <w:szCs w:val="21"/>
              </w:rPr>
              <w:t>序号</w:t>
            </w:r>
            <w:bookmarkEnd w:id="199"/>
            <w:bookmarkEnd w:id="200"/>
            <w:bookmarkEnd w:id="201"/>
          </w:p>
        </w:tc>
        <w:tc>
          <w:tcPr>
            <w:tcW w:w="864" w:type="dxa"/>
            <w:noWrap w:val="0"/>
            <w:vAlign w:val="top"/>
          </w:tcPr>
          <w:p>
            <w:pPr>
              <w:jc w:val="center"/>
              <w:rPr>
                <w:rFonts w:hint="eastAsia" w:ascii="宋体" w:hAnsi="宋体" w:cs="Arial"/>
                <w:color w:val="000000"/>
                <w:kern w:val="0"/>
                <w:szCs w:val="21"/>
              </w:rPr>
            </w:pPr>
            <w:bookmarkStart w:id="202" w:name="_Toc457504276"/>
            <w:bookmarkStart w:id="203" w:name="_Toc461612524"/>
            <w:bookmarkStart w:id="204" w:name="_Toc465950500"/>
            <w:r>
              <w:rPr>
                <w:rFonts w:hint="eastAsia" w:ascii="宋体" w:hAnsi="宋体" w:cs="Arial"/>
                <w:color w:val="000000"/>
                <w:kern w:val="0"/>
                <w:szCs w:val="21"/>
              </w:rPr>
              <w:t>污染源</w:t>
            </w:r>
            <w:bookmarkEnd w:id="202"/>
            <w:bookmarkEnd w:id="203"/>
            <w:bookmarkEnd w:id="204"/>
          </w:p>
          <w:p>
            <w:pPr>
              <w:jc w:val="center"/>
              <w:rPr>
                <w:rFonts w:hint="eastAsia" w:ascii="宋体" w:hAnsi="宋体" w:cs="Arial"/>
                <w:color w:val="000000"/>
                <w:kern w:val="0"/>
                <w:szCs w:val="21"/>
              </w:rPr>
            </w:pPr>
            <w:bookmarkStart w:id="205" w:name="_Toc457504277"/>
            <w:bookmarkStart w:id="206" w:name="_Toc461612525"/>
            <w:bookmarkStart w:id="207" w:name="_Toc465950501"/>
            <w:r>
              <w:rPr>
                <w:rFonts w:hint="eastAsia" w:ascii="宋体" w:hAnsi="宋体" w:cs="Arial"/>
                <w:color w:val="000000"/>
                <w:kern w:val="0"/>
                <w:szCs w:val="21"/>
              </w:rPr>
              <w:t>类型</w:t>
            </w:r>
            <w:bookmarkEnd w:id="205"/>
            <w:bookmarkEnd w:id="206"/>
            <w:bookmarkEnd w:id="207"/>
          </w:p>
        </w:tc>
        <w:tc>
          <w:tcPr>
            <w:tcW w:w="1555" w:type="dxa"/>
            <w:noWrap w:val="0"/>
            <w:vAlign w:val="top"/>
          </w:tcPr>
          <w:p>
            <w:pPr>
              <w:autoSpaceDE w:val="0"/>
              <w:autoSpaceDN w:val="0"/>
              <w:jc w:val="center"/>
              <w:rPr>
                <w:rFonts w:hint="eastAsia" w:ascii="宋体" w:hAnsi="宋体" w:cs="Arial"/>
                <w:color w:val="000000"/>
                <w:kern w:val="0"/>
                <w:szCs w:val="21"/>
              </w:rPr>
            </w:pPr>
            <w:r>
              <w:rPr>
                <w:rFonts w:hint="eastAsia" w:ascii="宋体" w:hAnsi="宋体" w:cs="Arial"/>
                <w:color w:val="000000"/>
                <w:kern w:val="0"/>
                <w:szCs w:val="21"/>
              </w:rPr>
              <w:t>一般污染源 采样（计量）装置设置位置</w:t>
            </w:r>
          </w:p>
        </w:tc>
        <w:tc>
          <w:tcPr>
            <w:tcW w:w="1884" w:type="dxa"/>
            <w:noWrap w:val="0"/>
            <w:vAlign w:val="top"/>
          </w:tcPr>
          <w:p>
            <w:pPr>
              <w:autoSpaceDE w:val="0"/>
              <w:autoSpaceDN w:val="0"/>
              <w:jc w:val="center"/>
              <w:rPr>
                <w:rFonts w:hint="eastAsia" w:ascii="宋体" w:hAnsi="宋体" w:cs="Arial"/>
                <w:color w:val="000000"/>
                <w:kern w:val="0"/>
                <w:szCs w:val="21"/>
              </w:rPr>
            </w:pPr>
            <w:r>
              <w:rPr>
                <w:rFonts w:hint="eastAsia" w:ascii="宋体" w:hAnsi="宋体" w:cs="Arial"/>
                <w:color w:val="000000"/>
                <w:kern w:val="0"/>
                <w:szCs w:val="21"/>
              </w:rPr>
              <w:t>标志牌制作、监制和填写是否全面、规范</w:t>
            </w:r>
          </w:p>
        </w:tc>
        <w:tc>
          <w:tcPr>
            <w:tcW w:w="2139" w:type="dxa"/>
            <w:noWrap w:val="0"/>
            <w:vAlign w:val="top"/>
          </w:tcPr>
          <w:p>
            <w:pPr>
              <w:autoSpaceDE w:val="0"/>
              <w:autoSpaceDN w:val="0"/>
              <w:jc w:val="center"/>
              <w:rPr>
                <w:rFonts w:hint="eastAsia" w:ascii="宋体" w:hAnsi="宋体" w:cs="Arial"/>
                <w:color w:val="000000"/>
                <w:kern w:val="0"/>
                <w:szCs w:val="21"/>
              </w:rPr>
            </w:pPr>
            <w:r>
              <w:rPr>
                <w:rFonts w:hint="eastAsia" w:ascii="宋体" w:hAnsi="宋体" w:cs="Arial"/>
                <w:color w:val="000000"/>
                <w:kern w:val="0"/>
                <w:szCs w:val="21"/>
              </w:rPr>
              <w:t>有毒有害污染源排放口是否设立采样（计量）装置</w:t>
            </w:r>
          </w:p>
        </w:tc>
        <w:tc>
          <w:tcPr>
            <w:tcW w:w="2050" w:type="dxa"/>
            <w:noWrap w:val="0"/>
            <w:vAlign w:val="top"/>
          </w:tcPr>
          <w:p>
            <w:pPr>
              <w:autoSpaceDE w:val="0"/>
              <w:autoSpaceDN w:val="0"/>
              <w:jc w:val="center"/>
              <w:rPr>
                <w:rFonts w:hint="eastAsia" w:ascii="宋体" w:hAnsi="宋体" w:cs="Arial"/>
                <w:color w:val="000000"/>
                <w:kern w:val="0"/>
                <w:szCs w:val="21"/>
              </w:rPr>
            </w:pPr>
            <w:r>
              <w:rPr>
                <w:rFonts w:hint="eastAsia" w:ascii="宋体" w:hAnsi="宋体" w:cs="Arial"/>
                <w:color w:val="000000"/>
                <w:kern w:val="0"/>
                <w:szCs w:val="21"/>
              </w:rPr>
              <w:t>有毒有害污染源是否设立警告性 环境保护图形标志牌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7" w:hRule="atLeast"/>
        </w:trPr>
        <w:tc>
          <w:tcPr>
            <w:tcW w:w="346" w:type="dxa"/>
            <w:noWrap w:val="0"/>
            <w:vAlign w:val="top"/>
          </w:tcPr>
          <w:p>
            <w:pPr>
              <w:jc w:val="center"/>
              <w:rPr>
                <w:rFonts w:hint="eastAsia" w:ascii="宋体" w:hAnsi="宋体" w:cs="Arial"/>
                <w:color w:val="000000"/>
                <w:kern w:val="0"/>
                <w:szCs w:val="21"/>
              </w:rPr>
            </w:pPr>
            <w:bookmarkStart w:id="208" w:name="_Toc457504278"/>
            <w:bookmarkStart w:id="209" w:name="_Toc461612526"/>
            <w:bookmarkStart w:id="210" w:name="_Toc465950502"/>
            <w:r>
              <w:rPr>
                <w:rFonts w:hint="eastAsia" w:ascii="宋体" w:hAnsi="宋体" w:cs="Arial"/>
                <w:color w:val="000000"/>
                <w:kern w:val="0"/>
                <w:szCs w:val="21"/>
              </w:rPr>
              <w:t>1</w:t>
            </w:r>
            <w:bookmarkEnd w:id="208"/>
            <w:bookmarkEnd w:id="209"/>
            <w:bookmarkEnd w:id="210"/>
          </w:p>
        </w:tc>
        <w:tc>
          <w:tcPr>
            <w:tcW w:w="864" w:type="dxa"/>
            <w:noWrap w:val="0"/>
            <w:vAlign w:val="top"/>
          </w:tcPr>
          <w:p>
            <w:pPr>
              <w:jc w:val="center"/>
              <w:rPr>
                <w:rFonts w:hint="eastAsia" w:ascii="宋体" w:hAnsi="宋体" w:cs="Arial"/>
                <w:color w:val="000000"/>
                <w:kern w:val="0"/>
                <w:szCs w:val="21"/>
              </w:rPr>
            </w:pPr>
            <w:bookmarkStart w:id="211" w:name="_Toc457504279"/>
            <w:bookmarkStart w:id="212" w:name="_Toc461612527"/>
            <w:bookmarkStart w:id="213" w:name="_Toc465950503"/>
            <w:r>
              <w:rPr>
                <w:rFonts w:hint="eastAsia" w:ascii="宋体" w:hAnsi="宋体" w:cs="Arial"/>
                <w:color w:val="000000"/>
                <w:kern w:val="0"/>
                <w:szCs w:val="21"/>
              </w:rPr>
              <w:t>废气</w:t>
            </w:r>
            <w:bookmarkEnd w:id="211"/>
            <w:bookmarkEnd w:id="212"/>
            <w:bookmarkEnd w:id="213"/>
          </w:p>
        </w:tc>
        <w:tc>
          <w:tcPr>
            <w:tcW w:w="1555" w:type="dxa"/>
            <w:noWrap w:val="0"/>
            <w:vAlign w:val="top"/>
          </w:tcPr>
          <w:p>
            <w:pPr>
              <w:jc w:val="center"/>
              <w:rPr>
                <w:rFonts w:hint="eastAsia" w:ascii="宋体" w:hAnsi="宋体" w:cs="Arial"/>
                <w:color w:val="000000"/>
                <w:kern w:val="0"/>
                <w:szCs w:val="21"/>
              </w:rPr>
            </w:pPr>
            <w:bookmarkStart w:id="214" w:name="_Toc457504280"/>
            <w:bookmarkStart w:id="215" w:name="_Toc461612528"/>
            <w:bookmarkStart w:id="216" w:name="_Toc465950504"/>
            <w:r>
              <w:rPr>
                <w:rFonts w:hint="eastAsia" w:ascii="宋体" w:hAnsi="宋体" w:cs="Arial"/>
                <w:color w:val="000000"/>
                <w:kern w:val="0"/>
                <w:szCs w:val="21"/>
              </w:rPr>
              <w:t>是</w:t>
            </w:r>
            <w:bookmarkEnd w:id="214"/>
            <w:bookmarkEnd w:id="215"/>
            <w:bookmarkEnd w:id="216"/>
          </w:p>
        </w:tc>
        <w:tc>
          <w:tcPr>
            <w:tcW w:w="1884" w:type="dxa"/>
            <w:noWrap w:val="0"/>
            <w:vAlign w:val="top"/>
          </w:tcPr>
          <w:p>
            <w:pPr>
              <w:jc w:val="center"/>
              <w:rPr>
                <w:rFonts w:hint="eastAsia" w:ascii="宋体" w:hAnsi="宋体" w:cs="Arial"/>
                <w:color w:val="000000"/>
                <w:kern w:val="0"/>
                <w:szCs w:val="21"/>
              </w:rPr>
            </w:pPr>
            <w:bookmarkStart w:id="217" w:name="_Toc457504281"/>
            <w:bookmarkStart w:id="218" w:name="_Toc461612529"/>
            <w:bookmarkStart w:id="219" w:name="_Toc465950505"/>
            <w:r>
              <w:rPr>
                <w:rFonts w:hint="eastAsia" w:ascii="宋体" w:hAnsi="宋体" w:cs="Arial"/>
                <w:color w:val="000000"/>
                <w:kern w:val="0"/>
                <w:szCs w:val="21"/>
              </w:rPr>
              <w:t>是</w:t>
            </w:r>
            <w:bookmarkEnd w:id="217"/>
            <w:bookmarkEnd w:id="218"/>
            <w:bookmarkEnd w:id="219"/>
          </w:p>
        </w:tc>
        <w:tc>
          <w:tcPr>
            <w:tcW w:w="2139" w:type="dxa"/>
            <w:noWrap w:val="0"/>
            <w:vAlign w:val="top"/>
          </w:tcPr>
          <w:p>
            <w:pPr>
              <w:jc w:val="center"/>
              <w:rPr>
                <w:rFonts w:hint="eastAsia" w:ascii="宋体" w:hAnsi="宋体" w:cs="Arial"/>
                <w:color w:val="000000"/>
                <w:kern w:val="0"/>
                <w:szCs w:val="21"/>
              </w:rPr>
            </w:pPr>
            <w:bookmarkStart w:id="220" w:name="_Toc457504282"/>
            <w:bookmarkStart w:id="221" w:name="_Toc461612530"/>
            <w:bookmarkStart w:id="222" w:name="_Toc465950506"/>
            <w:r>
              <w:rPr>
                <w:rFonts w:hint="eastAsia" w:ascii="宋体" w:hAnsi="宋体" w:cs="Arial"/>
                <w:color w:val="000000"/>
                <w:kern w:val="0"/>
                <w:szCs w:val="21"/>
              </w:rPr>
              <w:t>是</w:t>
            </w:r>
            <w:bookmarkEnd w:id="220"/>
            <w:bookmarkEnd w:id="221"/>
            <w:bookmarkEnd w:id="222"/>
          </w:p>
        </w:tc>
        <w:tc>
          <w:tcPr>
            <w:tcW w:w="2050" w:type="dxa"/>
            <w:noWrap w:val="0"/>
            <w:vAlign w:val="top"/>
          </w:tcPr>
          <w:p>
            <w:pPr>
              <w:jc w:val="center"/>
              <w:rPr>
                <w:rFonts w:hint="eastAsia" w:ascii="宋体" w:hAnsi="宋体" w:cs="Arial"/>
                <w:color w:val="000000"/>
                <w:kern w:val="0"/>
                <w:szCs w:val="21"/>
              </w:rPr>
            </w:pPr>
            <w:bookmarkStart w:id="223" w:name="_Toc457504283"/>
            <w:bookmarkStart w:id="224" w:name="_Toc461612531"/>
            <w:bookmarkStart w:id="225" w:name="_Toc465950507"/>
            <w:r>
              <w:rPr>
                <w:rFonts w:hint="eastAsia" w:ascii="宋体" w:hAnsi="宋体" w:cs="Arial"/>
                <w:color w:val="000000"/>
                <w:kern w:val="0"/>
                <w:szCs w:val="21"/>
              </w:rPr>
              <w:t>是</w:t>
            </w:r>
            <w:bookmarkEnd w:id="223"/>
            <w:bookmarkEnd w:id="224"/>
            <w:bookmarkEnd w:id="22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35" w:hRule="atLeast"/>
        </w:trPr>
        <w:tc>
          <w:tcPr>
            <w:tcW w:w="346" w:type="dxa"/>
            <w:noWrap w:val="0"/>
            <w:vAlign w:val="top"/>
          </w:tcPr>
          <w:p>
            <w:pPr>
              <w:jc w:val="center"/>
              <w:rPr>
                <w:rFonts w:hint="eastAsia" w:ascii="宋体" w:hAnsi="宋体" w:cs="Arial"/>
                <w:color w:val="000000"/>
                <w:kern w:val="0"/>
                <w:szCs w:val="21"/>
              </w:rPr>
            </w:pPr>
            <w:bookmarkStart w:id="226" w:name="_Toc457504284"/>
            <w:bookmarkStart w:id="227" w:name="_Toc461612532"/>
            <w:bookmarkStart w:id="228" w:name="_Toc465950508"/>
            <w:r>
              <w:rPr>
                <w:rFonts w:hint="eastAsia" w:ascii="宋体" w:hAnsi="宋体" w:cs="Arial"/>
                <w:color w:val="000000"/>
                <w:kern w:val="0"/>
                <w:szCs w:val="21"/>
              </w:rPr>
              <w:t>2</w:t>
            </w:r>
            <w:bookmarkEnd w:id="226"/>
            <w:bookmarkEnd w:id="227"/>
            <w:bookmarkEnd w:id="228"/>
          </w:p>
        </w:tc>
        <w:tc>
          <w:tcPr>
            <w:tcW w:w="864" w:type="dxa"/>
            <w:noWrap w:val="0"/>
            <w:vAlign w:val="top"/>
          </w:tcPr>
          <w:p>
            <w:pPr>
              <w:jc w:val="center"/>
              <w:rPr>
                <w:rFonts w:hint="eastAsia" w:ascii="宋体" w:hAnsi="宋体" w:cs="Arial"/>
                <w:color w:val="000000"/>
                <w:kern w:val="0"/>
                <w:szCs w:val="21"/>
              </w:rPr>
            </w:pPr>
            <w:bookmarkStart w:id="229" w:name="_Toc457504285"/>
            <w:bookmarkStart w:id="230" w:name="_Toc461612533"/>
            <w:bookmarkStart w:id="231" w:name="_Toc465950509"/>
            <w:r>
              <w:rPr>
                <w:rFonts w:hint="eastAsia" w:ascii="宋体" w:hAnsi="宋体" w:cs="Arial"/>
                <w:color w:val="000000"/>
                <w:kern w:val="0"/>
                <w:szCs w:val="21"/>
              </w:rPr>
              <w:t>废水</w:t>
            </w:r>
            <w:bookmarkEnd w:id="229"/>
            <w:bookmarkEnd w:id="230"/>
            <w:bookmarkEnd w:id="231"/>
          </w:p>
        </w:tc>
        <w:tc>
          <w:tcPr>
            <w:tcW w:w="1555" w:type="dxa"/>
            <w:noWrap w:val="0"/>
            <w:vAlign w:val="top"/>
          </w:tcPr>
          <w:p>
            <w:pPr>
              <w:jc w:val="center"/>
              <w:rPr>
                <w:rFonts w:hint="eastAsia" w:ascii="宋体" w:hAnsi="宋体" w:cs="Arial"/>
                <w:color w:val="000000"/>
                <w:kern w:val="0"/>
                <w:szCs w:val="21"/>
              </w:rPr>
            </w:pPr>
            <w:bookmarkStart w:id="232" w:name="_Toc457504286"/>
            <w:bookmarkStart w:id="233" w:name="_Toc461612534"/>
            <w:bookmarkStart w:id="234" w:name="_Toc465950510"/>
            <w:r>
              <w:rPr>
                <w:rFonts w:hint="eastAsia" w:ascii="宋体" w:hAnsi="宋体" w:cs="Arial"/>
                <w:color w:val="000000"/>
                <w:kern w:val="0"/>
                <w:szCs w:val="21"/>
              </w:rPr>
              <w:t>无排放口</w:t>
            </w:r>
            <w:bookmarkEnd w:id="232"/>
            <w:bookmarkEnd w:id="233"/>
            <w:bookmarkEnd w:id="234"/>
          </w:p>
        </w:tc>
        <w:tc>
          <w:tcPr>
            <w:tcW w:w="1884" w:type="dxa"/>
            <w:noWrap w:val="0"/>
            <w:vAlign w:val="top"/>
          </w:tcPr>
          <w:p>
            <w:pPr>
              <w:jc w:val="center"/>
              <w:rPr>
                <w:rFonts w:hint="eastAsia" w:ascii="宋体" w:hAnsi="宋体" w:cs="Arial"/>
                <w:color w:val="000000"/>
                <w:kern w:val="0"/>
                <w:szCs w:val="21"/>
              </w:rPr>
            </w:pPr>
            <w:bookmarkStart w:id="235" w:name="_Toc457504287"/>
            <w:bookmarkStart w:id="236" w:name="_Toc461612535"/>
            <w:bookmarkStart w:id="237" w:name="_Toc465950511"/>
            <w:r>
              <w:rPr>
                <w:rFonts w:hint="eastAsia" w:ascii="宋体" w:hAnsi="宋体" w:cs="Arial"/>
                <w:color w:val="000000"/>
                <w:kern w:val="0"/>
                <w:szCs w:val="21"/>
              </w:rPr>
              <w:t>/</w:t>
            </w:r>
            <w:bookmarkEnd w:id="235"/>
            <w:bookmarkEnd w:id="236"/>
            <w:bookmarkEnd w:id="237"/>
          </w:p>
        </w:tc>
        <w:tc>
          <w:tcPr>
            <w:tcW w:w="2139" w:type="dxa"/>
            <w:noWrap w:val="0"/>
            <w:vAlign w:val="top"/>
          </w:tcPr>
          <w:p>
            <w:pPr>
              <w:jc w:val="center"/>
              <w:rPr>
                <w:rFonts w:hint="eastAsia" w:ascii="宋体" w:hAnsi="宋体" w:cs="Arial"/>
                <w:color w:val="000000"/>
                <w:kern w:val="0"/>
                <w:szCs w:val="21"/>
              </w:rPr>
            </w:pPr>
            <w:bookmarkStart w:id="238" w:name="_Toc457504288"/>
            <w:bookmarkStart w:id="239" w:name="_Toc461612536"/>
            <w:bookmarkStart w:id="240" w:name="_Toc465950512"/>
            <w:r>
              <w:rPr>
                <w:rFonts w:hint="eastAsia" w:ascii="宋体" w:hAnsi="宋体" w:cs="Arial"/>
                <w:color w:val="000000"/>
                <w:kern w:val="0"/>
                <w:szCs w:val="21"/>
              </w:rPr>
              <w:t>/</w:t>
            </w:r>
            <w:bookmarkEnd w:id="238"/>
            <w:bookmarkEnd w:id="239"/>
            <w:bookmarkEnd w:id="240"/>
          </w:p>
        </w:tc>
        <w:tc>
          <w:tcPr>
            <w:tcW w:w="2050" w:type="dxa"/>
            <w:noWrap w:val="0"/>
            <w:vAlign w:val="top"/>
          </w:tcPr>
          <w:p>
            <w:pPr>
              <w:jc w:val="center"/>
              <w:rPr>
                <w:rFonts w:hint="eastAsia" w:ascii="宋体" w:hAnsi="宋体" w:cs="Arial"/>
                <w:color w:val="000000"/>
                <w:kern w:val="0"/>
                <w:szCs w:val="21"/>
              </w:rPr>
            </w:pPr>
            <w:bookmarkStart w:id="241" w:name="_Toc457504289"/>
            <w:bookmarkStart w:id="242" w:name="_Toc461612537"/>
            <w:bookmarkStart w:id="243" w:name="_Toc465950513"/>
            <w:r>
              <w:rPr>
                <w:rFonts w:hint="eastAsia" w:ascii="宋体" w:hAnsi="宋体" w:cs="Arial"/>
                <w:color w:val="000000"/>
                <w:kern w:val="0"/>
                <w:szCs w:val="21"/>
              </w:rPr>
              <w:t>/</w:t>
            </w:r>
            <w:bookmarkEnd w:id="241"/>
            <w:bookmarkEnd w:id="242"/>
            <w:bookmarkEnd w:id="24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7" w:hRule="atLeast"/>
        </w:trPr>
        <w:tc>
          <w:tcPr>
            <w:tcW w:w="346" w:type="dxa"/>
            <w:noWrap w:val="0"/>
            <w:vAlign w:val="top"/>
          </w:tcPr>
          <w:p>
            <w:pPr>
              <w:jc w:val="center"/>
              <w:rPr>
                <w:rFonts w:hint="eastAsia" w:ascii="宋体" w:hAnsi="宋体" w:cs="Arial"/>
                <w:color w:val="000000"/>
                <w:kern w:val="0"/>
                <w:szCs w:val="21"/>
              </w:rPr>
            </w:pPr>
            <w:bookmarkStart w:id="244" w:name="_Toc457504290"/>
            <w:bookmarkStart w:id="245" w:name="_Toc461612538"/>
            <w:bookmarkStart w:id="246" w:name="_Toc465950514"/>
            <w:r>
              <w:rPr>
                <w:rFonts w:hint="eastAsia" w:ascii="宋体" w:hAnsi="宋体" w:cs="Arial"/>
                <w:color w:val="000000"/>
                <w:kern w:val="0"/>
                <w:szCs w:val="21"/>
              </w:rPr>
              <w:t>3</w:t>
            </w:r>
            <w:bookmarkEnd w:id="244"/>
            <w:bookmarkEnd w:id="245"/>
            <w:bookmarkEnd w:id="246"/>
          </w:p>
        </w:tc>
        <w:tc>
          <w:tcPr>
            <w:tcW w:w="864" w:type="dxa"/>
            <w:noWrap w:val="0"/>
            <w:vAlign w:val="top"/>
          </w:tcPr>
          <w:p>
            <w:pPr>
              <w:jc w:val="center"/>
              <w:rPr>
                <w:rFonts w:hint="eastAsia" w:ascii="宋体" w:hAnsi="宋体" w:cs="Arial"/>
                <w:color w:val="000000"/>
                <w:kern w:val="0"/>
                <w:szCs w:val="21"/>
              </w:rPr>
            </w:pPr>
            <w:bookmarkStart w:id="247" w:name="_Toc457504291"/>
            <w:bookmarkStart w:id="248" w:name="_Toc461612539"/>
            <w:bookmarkStart w:id="249" w:name="_Toc465950515"/>
            <w:r>
              <w:rPr>
                <w:rFonts w:hint="eastAsia" w:ascii="宋体" w:hAnsi="宋体" w:cs="Arial"/>
                <w:color w:val="000000"/>
                <w:kern w:val="0"/>
                <w:szCs w:val="21"/>
              </w:rPr>
              <w:t>废渣</w:t>
            </w:r>
            <w:bookmarkEnd w:id="247"/>
            <w:bookmarkEnd w:id="248"/>
            <w:bookmarkEnd w:id="249"/>
          </w:p>
        </w:tc>
        <w:tc>
          <w:tcPr>
            <w:tcW w:w="1555" w:type="dxa"/>
            <w:noWrap w:val="0"/>
            <w:vAlign w:val="top"/>
          </w:tcPr>
          <w:p>
            <w:pPr>
              <w:jc w:val="center"/>
              <w:rPr>
                <w:rFonts w:hint="eastAsia" w:ascii="宋体" w:hAnsi="宋体" w:cs="Arial"/>
                <w:color w:val="000000"/>
                <w:kern w:val="0"/>
                <w:szCs w:val="21"/>
              </w:rPr>
            </w:pPr>
            <w:bookmarkStart w:id="250" w:name="_Toc457504292"/>
            <w:bookmarkStart w:id="251" w:name="_Toc461612540"/>
            <w:bookmarkStart w:id="252" w:name="_Toc465950516"/>
            <w:r>
              <w:rPr>
                <w:rFonts w:hint="eastAsia" w:ascii="宋体" w:hAnsi="宋体" w:cs="Arial"/>
                <w:color w:val="000000"/>
                <w:kern w:val="0"/>
                <w:szCs w:val="21"/>
              </w:rPr>
              <w:t>是</w:t>
            </w:r>
            <w:bookmarkEnd w:id="250"/>
            <w:bookmarkEnd w:id="251"/>
            <w:bookmarkEnd w:id="252"/>
          </w:p>
        </w:tc>
        <w:tc>
          <w:tcPr>
            <w:tcW w:w="1884" w:type="dxa"/>
            <w:noWrap w:val="0"/>
            <w:vAlign w:val="top"/>
          </w:tcPr>
          <w:p>
            <w:pPr>
              <w:jc w:val="center"/>
              <w:rPr>
                <w:rFonts w:hint="eastAsia" w:ascii="宋体" w:hAnsi="宋体" w:cs="Arial"/>
                <w:color w:val="000000"/>
                <w:kern w:val="0"/>
                <w:szCs w:val="21"/>
              </w:rPr>
            </w:pPr>
            <w:bookmarkStart w:id="253" w:name="_Toc457504293"/>
            <w:bookmarkStart w:id="254" w:name="_Toc461612541"/>
            <w:bookmarkStart w:id="255" w:name="_Toc465950517"/>
            <w:r>
              <w:rPr>
                <w:rFonts w:hint="eastAsia" w:ascii="宋体" w:hAnsi="宋体" w:cs="Arial"/>
                <w:color w:val="000000"/>
                <w:kern w:val="0"/>
                <w:szCs w:val="21"/>
              </w:rPr>
              <w:t>是</w:t>
            </w:r>
            <w:bookmarkEnd w:id="253"/>
            <w:bookmarkEnd w:id="254"/>
            <w:bookmarkEnd w:id="255"/>
          </w:p>
        </w:tc>
        <w:tc>
          <w:tcPr>
            <w:tcW w:w="2139" w:type="dxa"/>
            <w:noWrap w:val="0"/>
            <w:vAlign w:val="top"/>
          </w:tcPr>
          <w:p>
            <w:pPr>
              <w:jc w:val="center"/>
              <w:rPr>
                <w:rFonts w:hint="eastAsia" w:ascii="宋体" w:hAnsi="宋体" w:cs="Arial"/>
                <w:color w:val="000000"/>
                <w:kern w:val="0"/>
                <w:szCs w:val="21"/>
              </w:rPr>
            </w:pPr>
            <w:r>
              <w:rPr>
                <w:rFonts w:hint="eastAsia" w:ascii="宋体" w:hAnsi="宋体" w:cs="Arial"/>
                <w:color w:val="000000"/>
                <w:kern w:val="0"/>
                <w:szCs w:val="21"/>
              </w:rPr>
              <w:t>/</w:t>
            </w:r>
          </w:p>
        </w:tc>
        <w:tc>
          <w:tcPr>
            <w:tcW w:w="2050" w:type="dxa"/>
            <w:noWrap w:val="0"/>
            <w:vAlign w:val="top"/>
          </w:tcPr>
          <w:p>
            <w:pPr>
              <w:jc w:val="center"/>
              <w:rPr>
                <w:rFonts w:hint="eastAsia" w:ascii="宋体" w:hAnsi="宋体" w:cs="Arial"/>
                <w:color w:val="000000"/>
                <w:kern w:val="0"/>
                <w:szCs w:val="21"/>
              </w:rPr>
            </w:pPr>
            <w:bookmarkStart w:id="256" w:name="_Toc457504295"/>
            <w:bookmarkStart w:id="257" w:name="_Toc461612543"/>
            <w:bookmarkStart w:id="258" w:name="_Toc465950519"/>
            <w:r>
              <w:rPr>
                <w:rFonts w:hint="eastAsia" w:ascii="宋体" w:hAnsi="宋体" w:cs="Arial"/>
                <w:color w:val="000000"/>
                <w:kern w:val="0"/>
                <w:szCs w:val="21"/>
              </w:rPr>
              <w:t>是</w:t>
            </w:r>
            <w:bookmarkEnd w:id="256"/>
            <w:bookmarkEnd w:id="257"/>
            <w:bookmarkEnd w:id="25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47" w:hRule="atLeast"/>
        </w:trPr>
        <w:tc>
          <w:tcPr>
            <w:tcW w:w="346" w:type="dxa"/>
            <w:noWrap w:val="0"/>
            <w:vAlign w:val="top"/>
          </w:tcPr>
          <w:p>
            <w:pPr>
              <w:jc w:val="center"/>
              <w:rPr>
                <w:rFonts w:hint="eastAsia" w:ascii="宋体" w:hAnsi="宋体" w:cs="Arial"/>
                <w:color w:val="000000"/>
                <w:kern w:val="0"/>
                <w:szCs w:val="21"/>
              </w:rPr>
            </w:pPr>
            <w:bookmarkStart w:id="259" w:name="_Toc457504296"/>
            <w:bookmarkStart w:id="260" w:name="_Toc461612544"/>
            <w:bookmarkStart w:id="261" w:name="_Toc465950520"/>
            <w:r>
              <w:rPr>
                <w:rFonts w:hint="eastAsia" w:ascii="宋体" w:hAnsi="宋体" w:cs="Arial"/>
                <w:color w:val="000000"/>
                <w:kern w:val="0"/>
                <w:szCs w:val="21"/>
              </w:rPr>
              <w:t>4</w:t>
            </w:r>
            <w:bookmarkEnd w:id="259"/>
            <w:bookmarkEnd w:id="260"/>
            <w:bookmarkEnd w:id="261"/>
          </w:p>
        </w:tc>
        <w:tc>
          <w:tcPr>
            <w:tcW w:w="864" w:type="dxa"/>
            <w:noWrap w:val="0"/>
            <w:vAlign w:val="top"/>
          </w:tcPr>
          <w:p>
            <w:pPr>
              <w:jc w:val="center"/>
              <w:rPr>
                <w:rFonts w:hint="eastAsia" w:ascii="宋体" w:hAnsi="宋体" w:cs="Arial"/>
                <w:color w:val="000000"/>
                <w:kern w:val="0"/>
                <w:szCs w:val="21"/>
              </w:rPr>
            </w:pPr>
            <w:bookmarkStart w:id="262" w:name="_Toc457504297"/>
            <w:bookmarkStart w:id="263" w:name="_Toc461612545"/>
            <w:bookmarkStart w:id="264" w:name="_Toc465950521"/>
            <w:r>
              <w:rPr>
                <w:rFonts w:hint="eastAsia" w:ascii="宋体" w:hAnsi="宋体" w:cs="Arial"/>
                <w:color w:val="000000"/>
                <w:kern w:val="0"/>
                <w:szCs w:val="21"/>
              </w:rPr>
              <w:t>噪声</w:t>
            </w:r>
            <w:bookmarkEnd w:id="262"/>
            <w:bookmarkEnd w:id="263"/>
            <w:bookmarkEnd w:id="264"/>
          </w:p>
        </w:tc>
        <w:tc>
          <w:tcPr>
            <w:tcW w:w="1555" w:type="dxa"/>
            <w:noWrap w:val="0"/>
            <w:vAlign w:val="top"/>
          </w:tcPr>
          <w:p>
            <w:pPr>
              <w:jc w:val="center"/>
              <w:rPr>
                <w:rFonts w:hint="eastAsia" w:ascii="宋体" w:hAnsi="宋体" w:cs="Arial"/>
                <w:color w:val="000000"/>
                <w:kern w:val="0"/>
                <w:szCs w:val="21"/>
              </w:rPr>
            </w:pPr>
            <w:bookmarkStart w:id="265" w:name="_Toc457504298"/>
            <w:bookmarkStart w:id="266" w:name="_Toc461612546"/>
            <w:bookmarkStart w:id="267" w:name="_Toc465950522"/>
            <w:r>
              <w:rPr>
                <w:rFonts w:hint="eastAsia" w:ascii="宋体" w:hAnsi="宋体" w:cs="Arial"/>
                <w:color w:val="000000"/>
                <w:kern w:val="0"/>
                <w:szCs w:val="21"/>
              </w:rPr>
              <w:t>/</w:t>
            </w:r>
            <w:bookmarkEnd w:id="265"/>
            <w:bookmarkEnd w:id="266"/>
            <w:bookmarkEnd w:id="267"/>
          </w:p>
        </w:tc>
        <w:tc>
          <w:tcPr>
            <w:tcW w:w="1884" w:type="dxa"/>
            <w:noWrap w:val="0"/>
            <w:vAlign w:val="top"/>
          </w:tcPr>
          <w:p>
            <w:pPr>
              <w:jc w:val="center"/>
              <w:rPr>
                <w:rFonts w:hint="eastAsia" w:ascii="宋体" w:hAnsi="宋体" w:cs="Arial"/>
                <w:color w:val="000000"/>
                <w:kern w:val="0"/>
                <w:szCs w:val="21"/>
              </w:rPr>
            </w:pPr>
            <w:bookmarkStart w:id="268" w:name="_Toc457504299"/>
            <w:bookmarkStart w:id="269" w:name="_Toc461612547"/>
            <w:bookmarkStart w:id="270" w:name="_Toc465950523"/>
            <w:r>
              <w:rPr>
                <w:rFonts w:hint="eastAsia" w:ascii="宋体" w:hAnsi="宋体" w:cs="Arial"/>
                <w:color w:val="000000"/>
                <w:kern w:val="0"/>
                <w:szCs w:val="21"/>
              </w:rPr>
              <w:t>/</w:t>
            </w:r>
            <w:bookmarkEnd w:id="268"/>
            <w:bookmarkEnd w:id="269"/>
            <w:bookmarkEnd w:id="270"/>
          </w:p>
        </w:tc>
        <w:tc>
          <w:tcPr>
            <w:tcW w:w="2139" w:type="dxa"/>
            <w:noWrap w:val="0"/>
            <w:vAlign w:val="top"/>
          </w:tcPr>
          <w:p>
            <w:pPr>
              <w:jc w:val="center"/>
              <w:rPr>
                <w:rFonts w:hint="eastAsia" w:ascii="宋体" w:hAnsi="宋体" w:cs="Arial"/>
                <w:color w:val="000000"/>
                <w:kern w:val="0"/>
                <w:szCs w:val="21"/>
              </w:rPr>
            </w:pPr>
            <w:bookmarkStart w:id="271" w:name="_Toc457504300"/>
            <w:bookmarkStart w:id="272" w:name="_Toc461612548"/>
            <w:bookmarkStart w:id="273" w:name="_Toc465950524"/>
            <w:r>
              <w:rPr>
                <w:rFonts w:hint="eastAsia" w:ascii="宋体" w:hAnsi="宋体" w:cs="Arial"/>
                <w:color w:val="000000"/>
                <w:kern w:val="0"/>
                <w:szCs w:val="21"/>
              </w:rPr>
              <w:t>/</w:t>
            </w:r>
            <w:bookmarkEnd w:id="271"/>
            <w:bookmarkEnd w:id="272"/>
            <w:bookmarkEnd w:id="273"/>
          </w:p>
        </w:tc>
        <w:tc>
          <w:tcPr>
            <w:tcW w:w="2050" w:type="dxa"/>
            <w:noWrap w:val="0"/>
            <w:vAlign w:val="top"/>
          </w:tcPr>
          <w:p>
            <w:pPr>
              <w:jc w:val="center"/>
              <w:rPr>
                <w:rFonts w:hint="eastAsia" w:ascii="宋体" w:hAnsi="宋体" w:cs="Arial"/>
                <w:color w:val="000000"/>
                <w:kern w:val="0"/>
                <w:szCs w:val="21"/>
              </w:rPr>
            </w:pPr>
            <w:bookmarkStart w:id="274" w:name="_Toc457504301"/>
            <w:bookmarkStart w:id="275" w:name="_Toc461612549"/>
            <w:bookmarkStart w:id="276" w:name="_Toc465950525"/>
            <w:r>
              <w:rPr>
                <w:rFonts w:hint="eastAsia" w:ascii="宋体" w:hAnsi="宋体" w:cs="Arial"/>
                <w:color w:val="000000"/>
                <w:kern w:val="0"/>
                <w:szCs w:val="21"/>
              </w:rPr>
              <w:t>是</w:t>
            </w:r>
            <w:bookmarkEnd w:id="274"/>
            <w:bookmarkEnd w:id="275"/>
            <w:bookmarkEnd w:id="276"/>
          </w:p>
        </w:tc>
      </w:tr>
    </w:tbl>
    <w:p>
      <w:pPr>
        <w:pStyle w:val="5"/>
        <w:rPr>
          <w:rFonts w:hint="eastAsia"/>
          <w:color w:val="000000"/>
        </w:rPr>
      </w:pPr>
      <w:bookmarkStart w:id="277" w:name="_Toc23000879"/>
      <w:bookmarkStart w:id="278" w:name="_Toc428180740"/>
      <w:r>
        <w:rPr>
          <w:rFonts w:hint="eastAsia"/>
          <w:color w:val="000000"/>
        </w:rPr>
        <w:t>2.4.9重金属污染防治情况</w:t>
      </w:r>
      <w:bookmarkEnd w:id="277"/>
    </w:p>
    <w:p>
      <w:pPr>
        <w:shd w:val="clear" w:color="auto" w:fill="FFFFFF"/>
        <w:spacing w:line="360" w:lineRule="auto"/>
        <w:ind w:firstLine="482" w:firstLineChars="200"/>
        <w:rPr>
          <w:rFonts w:hint="eastAsia" w:ascii="宋体" w:hAnsi="宋体"/>
          <w:b/>
          <w:color w:val="000000"/>
          <w:sz w:val="24"/>
          <w:szCs w:val="24"/>
        </w:rPr>
      </w:pPr>
      <w:r>
        <w:rPr>
          <w:rFonts w:hint="eastAsia" w:ascii="宋体" w:hAnsi="宋体"/>
          <w:b/>
          <w:color w:val="000000"/>
          <w:sz w:val="24"/>
          <w:szCs w:val="24"/>
        </w:rPr>
        <w:t>2.4.9.1重金属来源及分类</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公司属于铅锌采选行业，生产过程中，产生对环境有危害性的包括铅、汞、镉、钴等元素。重金属如果进入大气、水、土壤引起严重的</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"http://baike.baidu.com/view/71744.htm"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环境污染</w:t>
      </w:r>
      <w:r>
        <w:rPr>
          <w:rFonts w:ascii="宋体" w:hAnsi="宋体" w:cs="宋体"/>
          <w:color w:val="000000"/>
          <w:kern w:val="0"/>
          <w:sz w:val="24"/>
          <w:szCs w:val="24"/>
        </w:rPr>
        <w:fldChar w:fldCharType="end"/>
      </w:r>
      <w:r>
        <w:rPr>
          <w:rFonts w:ascii="宋体" w:hAnsi="宋体" w:cs="宋体"/>
          <w:color w:val="000000"/>
          <w:kern w:val="0"/>
          <w:sz w:val="24"/>
          <w:szCs w:val="24"/>
        </w:rPr>
        <w:t>。</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ascii="宋体" w:hAnsi="宋体" w:cs="宋体"/>
          <w:color w:val="000000"/>
          <w:kern w:val="0"/>
          <w:sz w:val="24"/>
          <w:szCs w:val="24"/>
        </w:rPr>
        <w:t>水排出的重金属，即使浓度小，也可在藻类和</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"http://baike.baidu.com/view/1590716.htm"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底泥</w:t>
      </w:r>
      <w:r>
        <w:rPr>
          <w:rFonts w:ascii="宋体" w:hAnsi="宋体" w:cs="宋体"/>
          <w:color w:val="000000"/>
          <w:kern w:val="0"/>
          <w:sz w:val="24"/>
          <w:szCs w:val="24"/>
        </w:rPr>
        <w:fldChar w:fldCharType="end"/>
      </w:r>
      <w:r>
        <w:rPr>
          <w:rFonts w:ascii="宋体" w:hAnsi="宋体" w:cs="宋体"/>
          <w:color w:val="000000"/>
          <w:kern w:val="0"/>
          <w:sz w:val="24"/>
          <w:szCs w:val="24"/>
        </w:rPr>
        <w:t>中积累，被鱼和贝类体表吸附，产生食物链浓缩，从而造成公害。</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"http://baike.baidu.com/view/150061.htm"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水体</w:t>
      </w:r>
      <w:r>
        <w:rPr>
          <w:rFonts w:ascii="宋体" w:hAnsi="宋体" w:cs="宋体"/>
          <w:color w:val="000000"/>
          <w:kern w:val="0"/>
          <w:sz w:val="24"/>
          <w:szCs w:val="24"/>
        </w:rPr>
        <w:fldChar w:fldCharType="end"/>
      </w:r>
      <w:r>
        <w:rPr>
          <w:rFonts w:ascii="宋体" w:hAnsi="宋体" w:cs="宋体"/>
          <w:color w:val="000000"/>
          <w:kern w:val="0"/>
          <w:sz w:val="24"/>
          <w:szCs w:val="24"/>
        </w:rPr>
        <w:t>中金属有利或有害不仅取决于金属的种类、理化性质，而且还取决于金属的</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"http://baike.baidu.com/view/63062.htm"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浓度</w:t>
      </w:r>
      <w:r>
        <w:rPr>
          <w:rFonts w:ascii="宋体" w:hAnsi="宋体" w:cs="宋体"/>
          <w:color w:val="000000"/>
          <w:kern w:val="0"/>
          <w:sz w:val="24"/>
          <w:szCs w:val="24"/>
        </w:rPr>
        <w:fldChar w:fldCharType="end"/>
      </w:r>
      <w:r>
        <w:rPr>
          <w:rFonts w:ascii="宋体" w:hAnsi="宋体" w:cs="宋体"/>
          <w:color w:val="000000"/>
          <w:kern w:val="0"/>
          <w:sz w:val="24"/>
          <w:szCs w:val="24"/>
        </w:rPr>
        <w:t>及存在的</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"http://baike.baidu.com/view/1957753.htm"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价态</w:t>
      </w:r>
      <w:r>
        <w:rPr>
          <w:rFonts w:ascii="宋体" w:hAnsi="宋体" w:cs="宋体"/>
          <w:color w:val="000000"/>
          <w:kern w:val="0"/>
          <w:sz w:val="24"/>
          <w:szCs w:val="24"/>
        </w:rPr>
        <w:fldChar w:fldCharType="end"/>
      </w:r>
      <w:r>
        <w:rPr>
          <w:rFonts w:ascii="宋体" w:hAnsi="宋体" w:cs="宋体"/>
          <w:color w:val="000000"/>
          <w:kern w:val="0"/>
          <w:sz w:val="24"/>
          <w:szCs w:val="24"/>
        </w:rPr>
        <w:t>和形态，即使有益的</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"http://baike.baidu.com/view/1278603.htm"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金属元素</w:t>
      </w:r>
      <w:r>
        <w:rPr>
          <w:rFonts w:ascii="宋体" w:hAnsi="宋体" w:cs="宋体"/>
          <w:color w:val="000000"/>
          <w:kern w:val="0"/>
          <w:sz w:val="24"/>
          <w:szCs w:val="24"/>
        </w:rPr>
        <w:fldChar w:fldCharType="end"/>
      </w:r>
      <w:r>
        <w:rPr>
          <w:rFonts w:ascii="宋体" w:hAnsi="宋体" w:cs="宋体"/>
          <w:color w:val="000000"/>
          <w:kern w:val="0"/>
          <w:sz w:val="24"/>
          <w:szCs w:val="24"/>
        </w:rPr>
        <w:t>浓度超过某一数值也会有剧烈的</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"http://baike.baidu.com/view/84361.htm"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毒性</w:t>
      </w:r>
      <w:r>
        <w:rPr>
          <w:rFonts w:ascii="宋体" w:hAnsi="宋体" w:cs="宋体"/>
          <w:color w:val="000000"/>
          <w:kern w:val="0"/>
          <w:sz w:val="24"/>
          <w:szCs w:val="24"/>
        </w:rPr>
        <w:fldChar w:fldCharType="end"/>
      </w:r>
      <w:r>
        <w:rPr>
          <w:rFonts w:ascii="宋体" w:hAnsi="宋体" w:cs="宋体"/>
          <w:color w:val="000000"/>
          <w:kern w:val="0"/>
          <w:sz w:val="24"/>
          <w:szCs w:val="24"/>
        </w:rPr>
        <w:t>，使动植物</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"http://baike.baidu.com/view/29136.htm"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中毒</w:t>
      </w:r>
      <w:r>
        <w:rPr>
          <w:rFonts w:ascii="宋体" w:hAnsi="宋体" w:cs="宋体"/>
          <w:color w:val="000000"/>
          <w:kern w:val="0"/>
          <w:sz w:val="24"/>
          <w:szCs w:val="24"/>
        </w:rPr>
        <w:fldChar w:fldCharType="end"/>
      </w:r>
      <w:r>
        <w:rPr>
          <w:rFonts w:ascii="宋体" w:hAnsi="宋体" w:cs="宋体"/>
          <w:color w:val="000000"/>
          <w:kern w:val="0"/>
          <w:sz w:val="24"/>
          <w:szCs w:val="24"/>
        </w:rPr>
        <w:t>，甚至死亡。</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ascii="宋体" w:hAnsi="宋体" w:cs="宋体"/>
          <w:color w:val="000000"/>
          <w:kern w:val="0"/>
          <w:sz w:val="24"/>
          <w:szCs w:val="24"/>
        </w:rPr>
        <w:t>重金属在人体内能和</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"http://baike.baidu.com/view/15472.htm"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蛋白质</w:t>
      </w:r>
      <w:r>
        <w:rPr>
          <w:rFonts w:ascii="宋体" w:hAnsi="宋体" w:cs="宋体"/>
          <w:color w:val="000000"/>
          <w:kern w:val="0"/>
          <w:sz w:val="24"/>
          <w:szCs w:val="24"/>
        </w:rPr>
        <w:fldChar w:fldCharType="end"/>
      </w:r>
      <w:r>
        <w:rPr>
          <w:rFonts w:ascii="宋体" w:hAnsi="宋体" w:cs="宋体"/>
          <w:color w:val="000000"/>
          <w:kern w:val="0"/>
          <w:sz w:val="24"/>
          <w:szCs w:val="24"/>
        </w:rPr>
        <w:t>及各种酶发生强烈的相互作用，使它们失去活性，也可能在人体的某些</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"http://baike.baidu.com/view/60813.htm"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器官</w:t>
      </w:r>
      <w:r>
        <w:rPr>
          <w:rFonts w:ascii="宋体" w:hAnsi="宋体" w:cs="宋体"/>
          <w:color w:val="000000"/>
          <w:kern w:val="0"/>
          <w:sz w:val="24"/>
          <w:szCs w:val="24"/>
        </w:rPr>
        <w:fldChar w:fldCharType="end"/>
      </w:r>
      <w:r>
        <w:rPr>
          <w:rFonts w:ascii="宋体" w:hAnsi="宋体" w:cs="宋体"/>
          <w:color w:val="000000"/>
          <w:kern w:val="0"/>
          <w:sz w:val="24"/>
          <w:szCs w:val="24"/>
        </w:rPr>
        <w:t>中富集，如果超过人体所能耐受的限度，会造成人体</w:t>
      </w:r>
      <w:r>
        <w:rPr>
          <w:rFonts w:ascii="宋体" w:hAnsi="宋体" w:cs="宋体"/>
          <w:color w:val="000000"/>
          <w:kern w:val="0"/>
          <w:sz w:val="24"/>
          <w:szCs w:val="24"/>
        </w:rPr>
        <w:fldChar w:fldCharType="begin"/>
      </w:r>
      <w:r>
        <w:rPr>
          <w:rFonts w:ascii="宋体" w:hAnsi="宋体" w:cs="宋体"/>
          <w:color w:val="000000"/>
          <w:kern w:val="0"/>
          <w:sz w:val="24"/>
          <w:szCs w:val="24"/>
        </w:rPr>
        <w:instrText xml:space="preserve"> HYPERLINK "http://baike.baidu.com/view/1311114.htm" \t "http://baike.baidu.com/_blank" </w:instrText>
      </w:r>
      <w:r>
        <w:rPr>
          <w:rFonts w:ascii="宋体" w:hAnsi="宋体" w:cs="宋体"/>
          <w:color w:val="000000"/>
          <w:kern w:val="0"/>
          <w:sz w:val="24"/>
          <w:szCs w:val="24"/>
        </w:rPr>
        <w:fldChar w:fldCharType="separate"/>
      </w:r>
      <w:r>
        <w:rPr>
          <w:rFonts w:ascii="宋体" w:hAnsi="宋体" w:cs="宋体"/>
          <w:color w:val="000000"/>
          <w:kern w:val="0"/>
          <w:sz w:val="24"/>
          <w:szCs w:val="24"/>
        </w:rPr>
        <w:t>急性中毒</w:t>
      </w:r>
      <w:r>
        <w:rPr>
          <w:rFonts w:ascii="宋体" w:hAnsi="宋体" w:cs="宋体"/>
          <w:color w:val="000000"/>
          <w:kern w:val="0"/>
          <w:sz w:val="24"/>
          <w:szCs w:val="24"/>
        </w:rPr>
        <w:fldChar w:fldCharType="end"/>
      </w:r>
      <w:r>
        <w:rPr>
          <w:rFonts w:ascii="宋体" w:hAnsi="宋体" w:cs="宋体"/>
          <w:color w:val="000000"/>
          <w:kern w:val="0"/>
          <w:sz w:val="24"/>
          <w:szCs w:val="24"/>
        </w:rPr>
        <w:t>、亚急性中毒、慢性中毒等，对人体会造成很大的危害，</w:t>
      </w:r>
    </w:p>
    <w:p>
      <w:pPr>
        <w:autoSpaceDE w:val="0"/>
        <w:autoSpaceDN w:val="0"/>
        <w:adjustRightInd w:val="0"/>
        <w:spacing w:line="360" w:lineRule="auto"/>
        <w:ind w:firstLine="482" w:firstLineChars="200"/>
        <w:jc w:val="left"/>
        <w:outlineLvl w:val="0"/>
        <w:rPr>
          <w:rFonts w:hint="eastAsia" w:ascii="宋体" w:hAnsi="宋体" w:cs="宋体"/>
          <w:b/>
          <w:color w:val="000000"/>
          <w:kern w:val="0"/>
          <w:sz w:val="24"/>
          <w:szCs w:val="24"/>
        </w:rPr>
      </w:pPr>
      <w:r>
        <w:rPr>
          <w:rFonts w:hint="eastAsia" w:ascii="宋体" w:hAnsi="宋体" w:cs="宋体"/>
          <w:b/>
          <w:color w:val="000000"/>
          <w:kern w:val="0"/>
          <w:sz w:val="24"/>
          <w:szCs w:val="24"/>
        </w:rPr>
        <w:t>2.4.9.2重金属平衡及污染特性</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密度在5以上的金属统称为重金属，如金、银、铜、铅、锌、镍、钴、镉、铬和汞等45种。从环境污染方面所说的重金属，实际上主要是指汞、镉、铅、铬以及类金属砷等生物毒性明显的重金属，也指具有一定毒性的一般重金属如锌、铜、钴、镍、锡等。目前最引起人们留意的是汞、镉、铬等。重金属随废水排出时，即使浓度很小，也可能造成危害。由重金属造成的环境污染称为重金属污染。 </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重金属污染的特点表现在以下几方面： </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(1)水体中的某些重金属可在微生物作用下转化为毒性更强的金属化合物，如汞的甲基化作用就是其中典型例子； </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(2)生物从环境中摄取重金属可以经过食品链的生物放大作用，在较高级生物体内成千万倍地富集起来，然后通过食品进进人体，在人体的某些器官中积蓄起来造成慢性中毒，危害人体健康； </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(3)在自然水体中只要有微量重金属即可产生毒性效应，一般重金属产生毒性的范围大约在1—10mg/L之间，毒性较强的金属如汞、镉等产生毒性的质量浓度范围在0．0l—0．001mg／L之间。 </w:t>
      </w:r>
    </w:p>
    <w:p>
      <w:pPr>
        <w:autoSpaceDE w:val="0"/>
        <w:autoSpaceDN w:val="0"/>
        <w:adjustRightInd w:val="0"/>
        <w:spacing w:line="360" w:lineRule="auto"/>
        <w:ind w:firstLine="482" w:firstLineChars="200"/>
        <w:jc w:val="left"/>
        <w:outlineLvl w:val="0"/>
        <w:rPr>
          <w:rFonts w:hint="eastAsia" w:ascii="宋体" w:hAnsi="宋体" w:cs="宋体"/>
          <w:b/>
          <w:color w:val="000000"/>
          <w:kern w:val="0"/>
          <w:sz w:val="24"/>
          <w:szCs w:val="24"/>
        </w:rPr>
      </w:pPr>
      <w:r>
        <w:rPr>
          <w:rFonts w:hint="eastAsia" w:ascii="宋体" w:hAnsi="宋体" w:cs="宋体"/>
          <w:b/>
          <w:color w:val="000000"/>
          <w:kern w:val="0"/>
          <w:sz w:val="24"/>
          <w:szCs w:val="24"/>
        </w:rPr>
        <w:t>2.4.9.3采取的重金属污染防治措施</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（1）选矿厂选址在边远山区，远离居民集中的区域，选厂符合国家相关要求。</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hAnsi="宋体" w:cs="宋体"/>
          <w:color w:val="000000"/>
          <w:kern w:val="0"/>
          <w:sz w:val="24"/>
          <w:szCs w:val="24"/>
        </w:rPr>
        <w:t>（2）源头治理和防范。一是提升工艺水平，注重生产设备和环保设备的更新，从工艺和设备控制污染源的产生，几年来对环保设施基本作了全部更换。对车间环保设施实行专人管理，尾矿库设立巡视员，监督检查环保设施的正常运行。</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（3）妥善处置，做好周边群众的工作，接受群众监督，</w:t>
      </w:r>
      <w:r>
        <w:rPr>
          <w:rFonts w:hint="eastAsia" w:ascii="宋体" w:hAnsi="宋体" w:cs="宋体"/>
          <w:color w:val="000000"/>
          <w:kern w:val="0"/>
          <w:sz w:val="24"/>
          <w:szCs w:val="24"/>
        </w:rPr>
        <w:t>切实维护群众环境权益，保持社会和谐稳定</w:t>
      </w:r>
      <w:r>
        <w:rPr>
          <w:rFonts w:ascii="宋体" w:hAnsi="宋体" w:cs="宋体"/>
          <w:color w:val="000000"/>
          <w:kern w:val="0"/>
          <w:sz w:val="24"/>
          <w:szCs w:val="24"/>
        </w:rPr>
        <w:t>。</w:t>
      </w:r>
      <w:r>
        <w:rPr>
          <w:rFonts w:hint="eastAsia" w:ascii="宋体" w:hAnsi="宋体" w:cs="宋体"/>
          <w:color w:val="000000"/>
          <w:kern w:val="0"/>
          <w:sz w:val="24"/>
          <w:szCs w:val="24"/>
        </w:rPr>
        <w:t>做好环保信息报送，接受环保部门对周边环境土壤水源等进行抽样检验</w:t>
      </w:r>
      <w:r>
        <w:rPr>
          <w:rFonts w:ascii="宋体" w:hAnsi="宋体" w:cs="宋体"/>
          <w:color w:val="000000"/>
          <w:kern w:val="0"/>
          <w:sz w:val="24"/>
          <w:szCs w:val="24"/>
        </w:rPr>
        <w:t>，</w:t>
      </w:r>
      <w:r>
        <w:rPr>
          <w:rFonts w:hint="eastAsia" w:ascii="宋体" w:hAnsi="宋体" w:cs="宋体"/>
          <w:color w:val="000000"/>
          <w:kern w:val="0"/>
          <w:sz w:val="24"/>
          <w:szCs w:val="24"/>
        </w:rPr>
        <w:t>确保企业周边重金属排放达标</w:t>
      </w:r>
      <w:r>
        <w:rPr>
          <w:rFonts w:ascii="宋体" w:hAnsi="宋体" w:cs="宋体"/>
          <w:color w:val="000000"/>
          <w:kern w:val="0"/>
          <w:sz w:val="24"/>
          <w:szCs w:val="24"/>
        </w:rPr>
        <w:t>，</w:t>
      </w:r>
      <w:r>
        <w:rPr>
          <w:rFonts w:hint="eastAsia" w:ascii="宋体" w:hAnsi="宋体" w:cs="宋体"/>
          <w:color w:val="000000"/>
          <w:kern w:val="0"/>
          <w:sz w:val="24"/>
          <w:szCs w:val="24"/>
        </w:rPr>
        <w:t>不污染环境</w:t>
      </w:r>
      <w:r>
        <w:rPr>
          <w:rFonts w:ascii="宋体" w:hAnsi="宋体" w:cs="宋体"/>
          <w:color w:val="000000"/>
          <w:kern w:val="0"/>
          <w:sz w:val="24"/>
          <w:szCs w:val="24"/>
        </w:rPr>
        <w:t>。</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（4）推进技术进步，</w:t>
      </w:r>
      <w:r>
        <w:rPr>
          <w:rFonts w:hint="eastAsia" w:ascii="宋体" w:hAnsi="宋体" w:cs="宋体"/>
          <w:color w:val="000000"/>
          <w:kern w:val="0"/>
          <w:sz w:val="24"/>
          <w:szCs w:val="24"/>
        </w:rPr>
        <w:t>提高行业工艺</w:t>
      </w:r>
      <w:r>
        <w:rPr>
          <w:rFonts w:ascii="宋体" w:hAnsi="宋体" w:cs="宋体"/>
          <w:color w:val="000000"/>
          <w:kern w:val="0"/>
          <w:sz w:val="24"/>
          <w:szCs w:val="24"/>
        </w:rPr>
        <w:t>、</w:t>
      </w:r>
      <w:r>
        <w:rPr>
          <w:rFonts w:hint="eastAsia" w:ascii="宋体" w:hAnsi="宋体" w:cs="宋体"/>
          <w:color w:val="000000"/>
          <w:kern w:val="0"/>
          <w:sz w:val="24"/>
          <w:szCs w:val="24"/>
        </w:rPr>
        <w:t>技术装备</w:t>
      </w:r>
      <w:r>
        <w:rPr>
          <w:rFonts w:ascii="宋体" w:hAnsi="宋体" w:cs="宋体"/>
          <w:color w:val="000000"/>
          <w:kern w:val="0"/>
          <w:sz w:val="24"/>
          <w:szCs w:val="24"/>
        </w:rPr>
        <w:t>、</w:t>
      </w:r>
      <w:r>
        <w:rPr>
          <w:rFonts w:hint="eastAsia" w:ascii="宋体" w:hAnsi="宋体" w:cs="宋体"/>
          <w:color w:val="000000"/>
          <w:kern w:val="0"/>
          <w:sz w:val="24"/>
          <w:szCs w:val="24"/>
        </w:rPr>
        <w:t>自动化和机械化水平</w:t>
      </w:r>
      <w:r>
        <w:rPr>
          <w:rFonts w:ascii="宋体" w:hAnsi="宋体" w:cs="宋体"/>
          <w:color w:val="000000"/>
          <w:kern w:val="0"/>
          <w:sz w:val="24"/>
          <w:szCs w:val="24"/>
        </w:rPr>
        <w:t>，</w:t>
      </w:r>
      <w:r>
        <w:rPr>
          <w:rFonts w:hint="eastAsia" w:ascii="宋体" w:hAnsi="宋体" w:cs="宋体"/>
          <w:color w:val="000000"/>
          <w:kern w:val="0"/>
          <w:sz w:val="24"/>
          <w:szCs w:val="24"/>
        </w:rPr>
        <w:t>减少重金属污染物的产生量</w:t>
      </w:r>
      <w:r>
        <w:rPr>
          <w:rFonts w:ascii="宋体" w:hAnsi="宋体" w:cs="宋体"/>
          <w:color w:val="000000"/>
          <w:kern w:val="0"/>
          <w:sz w:val="24"/>
          <w:szCs w:val="24"/>
        </w:rPr>
        <w:t>。</w:t>
      </w:r>
      <w:r>
        <w:rPr>
          <w:rFonts w:hint="eastAsia" w:ascii="宋体" w:hAnsi="宋体" w:cs="宋体"/>
          <w:color w:val="000000"/>
          <w:kern w:val="0"/>
          <w:sz w:val="24"/>
          <w:szCs w:val="24"/>
        </w:rPr>
        <w:t>加强行业重金属污染治理核心技术攻关研究</w:t>
      </w:r>
      <w:r>
        <w:rPr>
          <w:rFonts w:ascii="宋体" w:hAnsi="宋体" w:cs="宋体"/>
          <w:color w:val="000000"/>
          <w:kern w:val="0"/>
          <w:sz w:val="24"/>
          <w:szCs w:val="24"/>
        </w:rPr>
        <w:t>，</w:t>
      </w:r>
      <w:r>
        <w:rPr>
          <w:rFonts w:hint="eastAsia" w:ascii="宋体" w:hAnsi="宋体" w:cs="宋体"/>
          <w:color w:val="000000"/>
          <w:kern w:val="0"/>
          <w:sz w:val="24"/>
          <w:szCs w:val="24"/>
        </w:rPr>
        <w:t>加大企业</w:t>
      </w:r>
      <w:r>
        <w:rPr>
          <w:rFonts w:ascii="宋体" w:hAnsi="宋体" w:cs="宋体"/>
          <w:color w:val="000000"/>
          <w:kern w:val="0"/>
          <w:sz w:val="24"/>
          <w:szCs w:val="24"/>
        </w:rPr>
        <w:t>“</w:t>
      </w:r>
      <w:r>
        <w:rPr>
          <w:rFonts w:hint="eastAsia" w:ascii="宋体" w:hAnsi="宋体" w:cs="宋体"/>
          <w:color w:val="000000"/>
          <w:kern w:val="0"/>
          <w:sz w:val="24"/>
          <w:szCs w:val="24"/>
        </w:rPr>
        <w:t>三废</w:t>
      </w:r>
      <w:r>
        <w:rPr>
          <w:rFonts w:ascii="宋体" w:hAnsi="宋体" w:cs="宋体"/>
          <w:color w:val="000000"/>
          <w:kern w:val="0"/>
          <w:sz w:val="24"/>
          <w:szCs w:val="24"/>
        </w:rPr>
        <w:t>”</w:t>
      </w:r>
      <w:r>
        <w:rPr>
          <w:rFonts w:hint="eastAsia" w:ascii="宋体" w:hAnsi="宋体" w:cs="宋体"/>
          <w:color w:val="000000"/>
          <w:kern w:val="0"/>
          <w:sz w:val="24"/>
          <w:szCs w:val="24"/>
        </w:rPr>
        <w:t>处理力度</w:t>
      </w:r>
      <w:r>
        <w:rPr>
          <w:rFonts w:ascii="宋体" w:hAnsi="宋体" w:cs="宋体"/>
          <w:color w:val="000000"/>
          <w:kern w:val="0"/>
          <w:sz w:val="24"/>
          <w:szCs w:val="24"/>
        </w:rPr>
        <w:t>。</w:t>
      </w:r>
      <w:r>
        <w:rPr>
          <w:rFonts w:hint="eastAsia" w:ascii="宋体" w:hAnsi="宋体" w:cs="宋体"/>
          <w:color w:val="000000"/>
          <w:kern w:val="0"/>
          <w:sz w:val="24"/>
          <w:szCs w:val="24"/>
        </w:rPr>
        <w:t>加强资源综合利用</w:t>
      </w:r>
      <w:r>
        <w:rPr>
          <w:rFonts w:ascii="宋体" w:hAnsi="宋体" w:cs="宋体"/>
          <w:color w:val="000000"/>
          <w:kern w:val="0"/>
          <w:sz w:val="24"/>
          <w:szCs w:val="24"/>
        </w:rPr>
        <w:t>，</w:t>
      </w:r>
      <w:r>
        <w:rPr>
          <w:rFonts w:hint="eastAsia" w:ascii="宋体" w:hAnsi="宋体" w:cs="宋体"/>
          <w:color w:val="000000"/>
          <w:kern w:val="0"/>
          <w:sz w:val="24"/>
          <w:szCs w:val="24"/>
        </w:rPr>
        <w:t>促进行业产业升级</w:t>
      </w:r>
      <w:r>
        <w:rPr>
          <w:rFonts w:ascii="宋体" w:hAnsi="宋体" w:cs="宋体"/>
          <w:color w:val="000000"/>
          <w:kern w:val="0"/>
          <w:sz w:val="24"/>
          <w:szCs w:val="24"/>
        </w:rPr>
        <w:t>。</w:t>
      </w:r>
      <w:r>
        <w:rPr>
          <w:rFonts w:hint="eastAsia" w:ascii="宋体" w:hAnsi="宋体" w:cs="宋体"/>
          <w:color w:val="000000"/>
          <w:kern w:val="0"/>
          <w:sz w:val="24"/>
          <w:szCs w:val="24"/>
        </w:rPr>
        <w:t>尽量使用行业较先进的工艺和冶污处理设备，加强对企业三废的处理机制</w:t>
      </w:r>
      <w:r>
        <w:rPr>
          <w:rFonts w:ascii="宋体" w:hAnsi="宋体" w:cs="宋体"/>
          <w:color w:val="000000"/>
          <w:kern w:val="0"/>
          <w:sz w:val="24"/>
          <w:szCs w:val="24"/>
        </w:rPr>
        <w:t>，</w:t>
      </w:r>
      <w:r>
        <w:rPr>
          <w:rFonts w:hint="eastAsia" w:ascii="宋体" w:hAnsi="宋体" w:cs="宋体"/>
          <w:color w:val="000000"/>
          <w:kern w:val="0"/>
          <w:sz w:val="24"/>
          <w:szCs w:val="24"/>
        </w:rPr>
        <w:t>做到循环利用。</w:t>
      </w:r>
    </w:p>
    <w:p>
      <w:pPr>
        <w:shd w:val="clear" w:color="auto" w:fill="FFFFFF"/>
        <w:spacing w:line="360" w:lineRule="auto"/>
        <w:ind w:firstLine="480" w:firstLineChars="200"/>
        <w:outlineLvl w:val="0"/>
        <w:rPr>
          <w:rFonts w:hint="eastAsia" w:ascii="宋体" w:hAnsi="宋体"/>
          <w:color w:val="000000"/>
          <w:sz w:val="24"/>
          <w:szCs w:val="24"/>
        </w:rPr>
      </w:pPr>
      <w:r>
        <w:rPr>
          <w:rFonts w:hint="eastAsia" w:ascii="宋体" w:hAnsi="宋体"/>
          <w:color w:val="000000"/>
          <w:sz w:val="24"/>
          <w:szCs w:val="24"/>
        </w:rPr>
        <w:t>2.4.9.4重金属污染防治存在的主要问题及减排潜力</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（1）企业尾矿库建于鸡西村，地处高位,对环境有一定的压力。如防渗措施不好，将对周边水体和环境造成一定的影响。</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cs="宋体"/>
          <w:color w:val="000000"/>
          <w:kern w:val="0"/>
          <w:sz w:val="24"/>
          <w:szCs w:val="24"/>
        </w:rPr>
        <w:t>（2）</w:t>
      </w:r>
      <w:r>
        <w:rPr>
          <w:rFonts w:hint="eastAsia" w:ascii="宋体" w:hAnsi="宋体" w:cs="宋体"/>
          <w:color w:val="000000"/>
          <w:kern w:val="0"/>
          <w:sz w:val="24"/>
          <w:szCs w:val="24"/>
        </w:rPr>
        <w:t>出厂</w:t>
      </w:r>
      <w:r>
        <w:rPr>
          <w:rFonts w:hint="eastAsia" w:ascii="宋体" w:cs="宋体"/>
          <w:color w:val="000000"/>
          <w:kern w:val="0"/>
          <w:sz w:val="24"/>
          <w:szCs w:val="24"/>
        </w:rPr>
        <w:t>运输车</w:t>
      </w:r>
      <w:r>
        <w:rPr>
          <w:rFonts w:hint="eastAsia" w:ascii="宋体" w:hAnsi="宋体" w:cs="宋体"/>
          <w:color w:val="000000"/>
          <w:kern w:val="0"/>
          <w:sz w:val="24"/>
          <w:szCs w:val="24"/>
        </w:rPr>
        <w:t>尚未进行严格的清洗，尚未建立车辆清洗糟，车辆必需进行彻底清洗后方可离厂</w:t>
      </w:r>
      <w:r>
        <w:rPr>
          <w:rFonts w:ascii="宋体" w:hAnsi="宋体" w:cs="宋体"/>
          <w:color w:val="000000"/>
          <w:kern w:val="0"/>
          <w:sz w:val="24"/>
          <w:szCs w:val="24"/>
        </w:rPr>
        <w:t>，</w:t>
      </w:r>
      <w:r>
        <w:rPr>
          <w:rFonts w:hint="eastAsia" w:ascii="宋体" w:hAnsi="宋体" w:cs="宋体"/>
          <w:color w:val="000000"/>
          <w:kern w:val="0"/>
          <w:sz w:val="24"/>
          <w:szCs w:val="24"/>
        </w:rPr>
        <w:t>避免因车辆携带而污染周边环境</w:t>
      </w:r>
      <w:r>
        <w:rPr>
          <w:rFonts w:ascii="宋体" w:hAnsi="宋体" w:cs="宋体"/>
          <w:color w:val="000000"/>
          <w:kern w:val="0"/>
          <w:sz w:val="24"/>
          <w:szCs w:val="24"/>
        </w:rPr>
        <w:t>，</w:t>
      </w:r>
      <w:r>
        <w:rPr>
          <w:rFonts w:hint="eastAsia" w:ascii="宋体" w:hAnsi="宋体" w:cs="宋体"/>
          <w:color w:val="000000"/>
          <w:kern w:val="0"/>
          <w:sz w:val="24"/>
          <w:szCs w:val="24"/>
        </w:rPr>
        <w:t>冲洗废水应统一收集后排至厂区污水处理站处理</w:t>
      </w:r>
      <w:r>
        <w:rPr>
          <w:rFonts w:ascii="宋体" w:hAnsi="宋体" w:cs="宋体"/>
          <w:color w:val="000000"/>
          <w:kern w:val="0"/>
          <w:sz w:val="24"/>
          <w:szCs w:val="24"/>
        </w:rPr>
        <w:t>。</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（3）雨污分流系统未完善，容易造成雨污混流。</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（4）精矿库堆存设施未完善，需进行整改维护。</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（5）污水应急池设置不合规范，并且损毁严重，需要扩大加固和防渗处理。</w:t>
      </w:r>
    </w:p>
    <w:p>
      <w:pPr>
        <w:pStyle w:val="5"/>
        <w:rPr>
          <w:color w:val="000000"/>
        </w:rPr>
      </w:pPr>
      <w:bookmarkStart w:id="279" w:name="_Toc23000880"/>
      <w:r>
        <w:rPr>
          <w:rFonts w:hint="eastAsia"/>
          <w:color w:val="000000"/>
        </w:rPr>
        <w:t>2.4.10生态保护、生态修复情况</w:t>
      </w:r>
      <w:bookmarkEnd w:id="278"/>
      <w:bookmarkEnd w:id="279"/>
    </w:p>
    <w:p>
      <w:pPr>
        <w:spacing w:line="360" w:lineRule="auto"/>
        <w:ind w:firstLine="480" w:firstLineChars="200"/>
        <w:rPr>
          <w:rFonts w:hint="eastAsia"/>
          <w:color w:val="000000"/>
          <w:sz w:val="24"/>
          <w:szCs w:val="24"/>
        </w:rPr>
      </w:pPr>
      <w:bookmarkStart w:id="280" w:name="_Toc428180741"/>
      <w:r>
        <w:rPr>
          <w:rFonts w:hint="eastAsia"/>
          <w:color w:val="000000"/>
          <w:sz w:val="24"/>
          <w:szCs w:val="24"/>
        </w:rPr>
        <w:t>厂</w:t>
      </w:r>
      <w:r>
        <w:rPr>
          <w:color w:val="000000"/>
          <w:sz w:val="24"/>
          <w:szCs w:val="24"/>
        </w:rPr>
        <w:t>区内</w:t>
      </w:r>
      <w:r>
        <w:rPr>
          <w:rFonts w:hint="eastAsia"/>
          <w:color w:val="000000"/>
          <w:sz w:val="24"/>
          <w:szCs w:val="24"/>
        </w:rPr>
        <w:t>和周围</w:t>
      </w:r>
      <w:r>
        <w:rPr>
          <w:color w:val="000000"/>
          <w:sz w:val="24"/>
          <w:szCs w:val="24"/>
        </w:rPr>
        <w:t>原生植物稀少，植物均是利用后形成的次生类型，多数为灌丛草坡和植被；铅锌矿区附近无成片森林，由于人为干扰强烈，原有天然植被破坏，逐步演变成次生类型；绝大多数是湿性稀树、灌丛草、草坡山地，生态质量现状一般。</w:t>
      </w:r>
    </w:p>
    <w:p>
      <w:pPr>
        <w:spacing w:line="360" w:lineRule="auto"/>
        <w:ind w:firstLine="480" w:firstLineChars="200"/>
        <w:rPr>
          <w:rFonts w:hint="eastAsia"/>
          <w:color w:val="000000"/>
          <w:sz w:val="24"/>
          <w:szCs w:val="24"/>
        </w:rPr>
      </w:pPr>
      <w:r>
        <w:rPr>
          <w:rFonts w:hint="eastAsia"/>
          <w:color w:val="000000"/>
          <w:sz w:val="24"/>
          <w:szCs w:val="24"/>
        </w:rPr>
        <w:t>建厂后，公司投入资金</w:t>
      </w:r>
      <w:r>
        <w:rPr>
          <w:color w:val="000000"/>
          <w:sz w:val="24"/>
          <w:szCs w:val="24"/>
        </w:rPr>
        <w:t>边坡等</w:t>
      </w:r>
      <w:r>
        <w:rPr>
          <w:rFonts w:hint="eastAsia"/>
          <w:color w:val="000000"/>
          <w:sz w:val="24"/>
          <w:szCs w:val="24"/>
        </w:rPr>
        <w:t>进行</w:t>
      </w:r>
      <w:r>
        <w:rPr>
          <w:color w:val="000000"/>
          <w:sz w:val="24"/>
          <w:szCs w:val="24"/>
        </w:rPr>
        <w:t>绿化。</w:t>
      </w:r>
      <w:r>
        <w:rPr>
          <w:rFonts w:hint="eastAsia"/>
          <w:color w:val="000000"/>
          <w:sz w:val="24"/>
          <w:szCs w:val="24"/>
        </w:rPr>
        <w:t>同时</w:t>
      </w:r>
      <w:r>
        <w:rPr>
          <w:color w:val="000000"/>
          <w:sz w:val="24"/>
          <w:szCs w:val="24"/>
        </w:rPr>
        <w:t>在厂区</w:t>
      </w:r>
      <w:r>
        <w:rPr>
          <w:rFonts w:hint="eastAsia"/>
          <w:color w:val="000000"/>
          <w:sz w:val="24"/>
          <w:szCs w:val="24"/>
        </w:rPr>
        <w:t>附近</w:t>
      </w:r>
      <w:r>
        <w:rPr>
          <w:color w:val="000000"/>
          <w:sz w:val="24"/>
          <w:szCs w:val="24"/>
        </w:rPr>
        <w:t>空地等可以绿化的地方植树种草进行绿化，改善了</w:t>
      </w:r>
      <w:r>
        <w:rPr>
          <w:rFonts w:hint="eastAsia"/>
          <w:color w:val="000000"/>
          <w:sz w:val="24"/>
          <w:szCs w:val="24"/>
        </w:rPr>
        <w:t>选矿厂</w:t>
      </w:r>
      <w:r>
        <w:rPr>
          <w:color w:val="000000"/>
          <w:sz w:val="24"/>
          <w:szCs w:val="24"/>
        </w:rPr>
        <w:t>区域生态环境。</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矿山在采矿过程中，对地表有一定的破坏，公司选用采矿—排土（石）回填一体化工艺技术，矿山每年扰动的土地在当年开采后即进入林草恢复期，实行“采矿</w:t>
      </w:r>
      <w:r>
        <w:rPr>
          <w:rFonts w:ascii="ArialMT" w:eastAsia="ArialMT" w:cs="ArialMT"/>
          <w:color w:val="000000"/>
          <w:kern w:val="0"/>
          <w:sz w:val="24"/>
          <w:szCs w:val="24"/>
        </w:rPr>
        <w:t>-</w:t>
      </w:r>
      <w:r>
        <w:rPr>
          <w:rFonts w:hint="eastAsia" w:ascii="宋体" w:cs="宋体"/>
          <w:color w:val="000000"/>
          <w:kern w:val="0"/>
          <w:sz w:val="24"/>
          <w:szCs w:val="24"/>
        </w:rPr>
        <w:t>废石回填”一体化，大大缩短了土地利用周期，减少生态环境影响时间。其次，废石场以先拦后弃的原则，减少弃渣流失，同时在弃渣过程中随时进行渣堆平整，分层压实。为防止山坡水流对废石场的冲刷，在废石场两边坡面修筑截水沟，禁止公路一侧和坡面上雨水不进入废石场，靠近山坡侧修筑排水沟。达到保护地表，防治水土流失、改善生态环境的目的。</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尾矿库目前正在堆存过程中，一旦闭库将进行植被恢复，已建立有完善的修复计划。目前矿坝均已种植树木进行绿化。</w:t>
      </w:r>
    </w:p>
    <w:p>
      <w:pPr>
        <w:pStyle w:val="5"/>
        <w:rPr>
          <w:color w:val="000000"/>
          <w:szCs w:val="28"/>
        </w:rPr>
      </w:pPr>
      <w:bookmarkStart w:id="281" w:name="_Toc23000881"/>
      <w:r>
        <w:rPr>
          <w:rFonts w:hint="eastAsia"/>
          <w:color w:val="000000"/>
          <w:szCs w:val="28"/>
        </w:rPr>
        <w:t>2.4.11环境敏感区影响</w:t>
      </w:r>
      <w:bookmarkEnd w:id="280"/>
      <w:bookmarkEnd w:id="281"/>
    </w:p>
    <w:p>
      <w:pPr>
        <w:spacing w:line="360" w:lineRule="auto"/>
        <w:ind w:firstLine="480" w:firstLineChars="200"/>
        <w:jc w:val="left"/>
        <w:rPr>
          <w:rFonts w:hint="eastAsia" w:ascii="宋体" w:hAnsi="宋体"/>
          <w:color w:val="000000"/>
          <w:sz w:val="24"/>
          <w:szCs w:val="24"/>
        </w:rPr>
      </w:pPr>
      <w:bookmarkStart w:id="282" w:name="_Toc428180742"/>
      <w:r>
        <w:rPr>
          <w:rFonts w:hint="eastAsia" w:ascii="宋体" w:hAnsi="宋体"/>
          <w:color w:val="000000"/>
          <w:sz w:val="24"/>
          <w:szCs w:val="24"/>
        </w:rPr>
        <w:t>云南罗平锌电股份有限公司富乐铅锌矿采选项目东南面边界是块泽河，块泽河发源于富源金鸡洞（富源城西部支锅石村大水塘）属珠江支系，是南盘江下游主要支流黄泥河的一级支流，河流全长174km，流域面积3265km</w:t>
      </w:r>
      <w:r>
        <w:rPr>
          <w:rFonts w:hint="eastAsia" w:ascii="宋体" w:hAnsi="宋体"/>
          <w:color w:val="000000"/>
          <w:sz w:val="24"/>
          <w:szCs w:val="24"/>
          <w:vertAlign w:val="superscript"/>
        </w:rPr>
        <w:t>2</w:t>
      </w:r>
      <w:r>
        <w:rPr>
          <w:rFonts w:hint="eastAsia" w:ascii="宋体" w:hAnsi="宋体"/>
          <w:color w:val="000000"/>
          <w:sz w:val="24"/>
          <w:szCs w:val="24"/>
        </w:rPr>
        <w:t>，河流中段东南横切富乐镇8个行政村。河水干季（2005年12月20日）流量9.5m</w:t>
      </w:r>
      <w:r>
        <w:rPr>
          <w:rFonts w:hint="eastAsia" w:ascii="宋体" w:hAnsi="宋体"/>
          <w:color w:val="000000"/>
          <w:sz w:val="24"/>
          <w:szCs w:val="24"/>
          <w:vertAlign w:val="superscript"/>
        </w:rPr>
        <w:t>3</w:t>
      </w:r>
      <w:r>
        <w:rPr>
          <w:rFonts w:hint="eastAsia" w:ascii="宋体" w:hAnsi="宋体"/>
          <w:color w:val="000000"/>
          <w:sz w:val="24"/>
          <w:szCs w:val="24"/>
        </w:rPr>
        <w:t>/s。据访问调查与区段内最高洪水位标高为1369～1360m。50年一遇最大洪峰流量64.384m</w:t>
      </w:r>
      <w:r>
        <w:rPr>
          <w:rFonts w:hint="eastAsia" w:ascii="宋体" w:hAnsi="宋体"/>
          <w:color w:val="000000"/>
          <w:sz w:val="24"/>
          <w:szCs w:val="24"/>
          <w:vertAlign w:val="superscript"/>
        </w:rPr>
        <w:t>3</w:t>
      </w:r>
      <w:r>
        <w:rPr>
          <w:rFonts w:hint="eastAsia" w:ascii="宋体" w:hAnsi="宋体"/>
          <w:color w:val="000000"/>
          <w:sz w:val="24"/>
          <w:szCs w:val="24"/>
        </w:rPr>
        <w:t>/s。另据云南省水文手册查阅，年径流量系数0.4～0.5。年最大洪峰模数2～3。年最大一日暴雨量为80mm。</w:t>
      </w:r>
    </w:p>
    <w:p>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地表水：项目东临块泽河，根据《云南省地表水水功能区划（复审）》要求块泽河功能为工农业用水，执行GB3838-2002《地表水环境质量标准》Ⅲ类标准。</w:t>
      </w:r>
    </w:p>
    <w:p>
      <w:pPr>
        <w:spacing w:line="360" w:lineRule="auto"/>
        <w:ind w:firstLine="480" w:firstLineChars="200"/>
        <w:jc w:val="left"/>
        <w:rPr>
          <w:rFonts w:ascii="宋体" w:hAnsi="宋体"/>
          <w:color w:val="000000"/>
          <w:sz w:val="24"/>
          <w:szCs w:val="24"/>
        </w:rPr>
      </w:pPr>
      <w:r>
        <w:rPr>
          <w:rFonts w:hint="eastAsia" w:ascii="宋体" w:hAnsi="宋体"/>
          <w:color w:val="000000"/>
          <w:sz w:val="24"/>
          <w:szCs w:val="24"/>
        </w:rPr>
        <w:t>区域内村庄不多，离选厂最近的是老君台村500米左右，8户4 2人，马路脚村8户37人，虾子湾村约一公里77户近300人，距富乐镇两公里。</w:t>
      </w:r>
      <w:r>
        <w:rPr>
          <w:rFonts w:ascii="宋体" w:hAnsi="宋体"/>
          <w:color w:val="000000"/>
          <w:sz w:val="24"/>
          <w:szCs w:val="24"/>
        </w:rPr>
        <w:t>多为人工种植作物。区内植物均是利用后形成的次生类型，多数为灌丛草坡和农田植被；区</w:t>
      </w:r>
      <w:r>
        <w:rPr>
          <w:rFonts w:hint="eastAsia" w:ascii="宋体" w:hAnsi="宋体"/>
          <w:color w:val="000000"/>
          <w:sz w:val="24"/>
          <w:szCs w:val="24"/>
        </w:rPr>
        <w:t>域</w:t>
      </w:r>
      <w:r>
        <w:rPr>
          <w:rFonts w:ascii="宋体" w:hAnsi="宋体"/>
          <w:color w:val="000000"/>
          <w:sz w:val="24"/>
          <w:szCs w:val="24"/>
        </w:rPr>
        <w:t>内无国家和省级重点保护的珍惜动植物、风景名胜区、自然保护区和重要文物保护区，矿区所在地及周围均为荒山和农田，绝大多数是湿性稀树、灌丛草、草坡山地</w:t>
      </w:r>
      <w:r>
        <w:rPr>
          <w:rFonts w:hint="eastAsia" w:ascii="宋体" w:hAnsi="宋体"/>
          <w:color w:val="000000"/>
          <w:sz w:val="24"/>
          <w:szCs w:val="24"/>
        </w:rPr>
        <w:t>。</w:t>
      </w:r>
    </w:p>
    <w:p>
      <w:pPr>
        <w:spacing w:line="360" w:lineRule="auto"/>
        <w:ind w:firstLine="480" w:firstLineChars="200"/>
        <w:jc w:val="left"/>
        <w:rPr>
          <w:rFonts w:hint="eastAsia" w:ascii="宋体" w:hAnsi="宋体"/>
          <w:color w:val="000000"/>
          <w:sz w:val="24"/>
          <w:szCs w:val="24"/>
        </w:rPr>
      </w:pPr>
      <w:r>
        <w:rPr>
          <w:rFonts w:hint="eastAsia" w:ascii="宋体" w:hAnsi="宋体"/>
          <w:color w:val="000000"/>
          <w:sz w:val="24"/>
          <w:szCs w:val="24"/>
        </w:rPr>
        <w:t>项目所在的区域暂未发生过泥石流、洪水、地震等大型自然灾害。根据该地区多年气象资料分析，该地区年最大降雨量1369.2毫米，极端最高气温30.7℃，最低气温为-8.5℃。</w:t>
      </w:r>
    </w:p>
    <w:p>
      <w:pPr>
        <w:pStyle w:val="5"/>
        <w:rPr>
          <w:color w:val="000000"/>
        </w:rPr>
      </w:pPr>
      <w:bookmarkStart w:id="283" w:name="_Toc23000882"/>
      <w:r>
        <w:rPr>
          <w:rFonts w:hint="eastAsia"/>
          <w:color w:val="000000"/>
        </w:rPr>
        <w:t>2.4.12环境信息情况</w:t>
      </w:r>
      <w:bookmarkEnd w:id="282"/>
      <w:bookmarkEnd w:id="283"/>
    </w:p>
    <w:p>
      <w:pPr>
        <w:shd w:val="clear" w:color="auto" w:fill="FFFFFF"/>
        <w:spacing w:line="360" w:lineRule="auto"/>
        <w:ind w:firstLine="480" w:firstLineChars="200"/>
        <w:rPr>
          <w:rFonts w:hint="eastAsia" w:ascii="宋体" w:hAnsi="宋体"/>
          <w:color w:val="000000"/>
          <w:sz w:val="24"/>
        </w:rPr>
      </w:pPr>
      <w:r>
        <w:rPr>
          <w:rFonts w:hint="eastAsia" w:ascii="宋体" w:hAnsi="宋体"/>
          <w:color w:val="000000"/>
          <w:sz w:val="24"/>
        </w:rPr>
        <w:t>公司项目和技改项目均按照要求进行环境信息进行公示，公示后未收到公众意见和投诉。</w:t>
      </w:r>
    </w:p>
    <w:p>
      <w:pPr>
        <w:pStyle w:val="5"/>
        <w:rPr>
          <w:rFonts w:hint="eastAsia"/>
          <w:color w:val="000000"/>
        </w:rPr>
      </w:pPr>
      <w:bookmarkStart w:id="284" w:name="_Toc23000883"/>
      <w:bookmarkStart w:id="285" w:name="_Toc428180744"/>
      <w:r>
        <w:rPr>
          <w:rFonts w:hint="eastAsia"/>
          <w:color w:val="000000"/>
        </w:rPr>
        <w:t>2.4.13危险废弃物处置情况</w:t>
      </w:r>
      <w:bookmarkEnd w:id="284"/>
      <w:bookmarkEnd w:id="285"/>
    </w:p>
    <w:p>
      <w:pPr>
        <w:tabs>
          <w:tab w:val="left" w:pos="1620"/>
          <w:tab w:val="left" w:pos="2160"/>
          <w:tab w:val="left" w:pos="2520"/>
        </w:tabs>
        <w:autoSpaceDE w:val="0"/>
        <w:autoSpaceDN w:val="0"/>
        <w:adjustRightInd w:val="0"/>
        <w:spacing w:line="360" w:lineRule="auto"/>
        <w:ind w:firstLine="480" w:firstLineChars="200"/>
        <w:rPr>
          <w:rFonts w:hint="eastAsia" w:ascii="宋体" w:hAnsi="宋体"/>
          <w:color w:val="000000"/>
          <w:sz w:val="24"/>
          <w:szCs w:val="24"/>
        </w:rPr>
      </w:pPr>
      <w:bookmarkStart w:id="286" w:name="_Toc428180745"/>
      <w:r>
        <w:rPr>
          <w:rFonts w:hint="eastAsia" w:ascii="宋体" w:hAnsi="宋体"/>
          <w:color w:val="000000"/>
          <w:sz w:val="24"/>
          <w:szCs w:val="24"/>
        </w:rPr>
        <w:t>通过查阅企业生产资料以及现场堪查，企业在生产过程中危险的废物主要是机械维护更换的废机测和尾矿库污水处理产生的水处理污泥，同时化验室化验产生少量废物。化验室产生的废物交由总公司交给供货单位回收处理，废机油和有资质的企业签订回收处置协议。废机油目前年产生约2吨左右，水处理污泥年产生1吨左右，目前产生量极少。</w:t>
      </w:r>
    </w:p>
    <w:p>
      <w:pPr>
        <w:pStyle w:val="5"/>
        <w:rPr>
          <w:color w:val="000000"/>
        </w:rPr>
      </w:pPr>
      <w:bookmarkStart w:id="287" w:name="_Toc23000884"/>
      <w:r>
        <w:rPr>
          <w:rFonts w:hint="eastAsia"/>
          <w:color w:val="000000"/>
        </w:rPr>
        <w:t>2.4.14放射源管理</w:t>
      </w:r>
      <w:bookmarkEnd w:id="286"/>
      <w:bookmarkEnd w:id="287"/>
    </w:p>
    <w:p>
      <w:pPr>
        <w:spacing w:line="360" w:lineRule="auto"/>
        <w:ind w:firstLine="480" w:firstLineChars="200"/>
        <w:rPr>
          <w:rFonts w:ascii="宋体" w:hAnsi="宋体"/>
          <w:color w:val="000000"/>
          <w:sz w:val="24"/>
          <w:szCs w:val="24"/>
        </w:rPr>
      </w:pPr>
      <w:r>
        <w:rPr>
          <w:rFonts w:hint="eastAsia" w:ascii="宋体" w:hAnsi="宋体"/>
          <w:color w:val="000000"/>
          <w:sz w:val="24"/>
          <w:szCs w:val="24"/>
        </w:rPr>
        <w:t>公司生产不使用放射源。</w:t>
      </w:r>
    </w:p>
    <w:p>
      <w:pPr>
        <w:pStyle w:val="5"/>
        <w:rPr>
          <w:color w:val="000000"/>
        </w:rPr>
      </w:pPr>
      <w:bookmarkStart w:id="288" w:name="_Toc23000885"/>
      <w:bookmarkStart w:id="289" w:name="_Toc428180746"/>
      <w:r>
        <w:rPr>
          <w:color w:val="000000"/>
        </w:rPr>
        <w:t>2.</w:t>
      </w:r>
      <w:r>
        <w:rPr>
          <w:rFonts w:hint="eastAsia"/>
          <w:color w:val="000000"/>
        </w:rPr>
        <w:t>4.</w:t>
      </w:r>
      <w:r>
        <w:rPr>
          <w:color w:val="000000"/>
        </w:rPr>
        <w:t>1</w:t>
      </w:r>
      <w:r>
        <w:rPr>
          <w:rFonts w:hint="eastAsia"/>
          <w:color w:val="000000"/>
        </w:rPr>
        <w:t>5</w:t>
      </w:r>
      <w:r>
        <w:rPr>
          <w:color w:val="000000"/>
        </w:rPr>
        <w:t xml:space="preserve"> </w:t>
      </w:r>
      <w:r>
        <w:rPr>
          <w:rFonts w:hint="eastAsia"/>
          <w:color w:val="000000"/>
        </w:rPr>
        <w:t>危险化学品污染防治</w:t>
      </w:r>
      <w:bookmarkEnd w:id="288"/>
      <w:bookmarkEnd w:id="289"/>
    </w:p>
    <w:p>
      <w:pPr>
        <w:shd w:val="clear" w:color="auto" w:fill="FFFFFF"/>
        <w:spacing w:line="360" w:lineRule="auto"/>
        <w:ind w:firstLine="480" w:firstLineChars="200"/>
        <w:rPr>
          <w:rFonts w:hint="eastAsia" w:ascii="宋体" w:hAnsi="宋体" w:cs="宋体"/>
          <w:color w:val="000000"/>
          <w:kern w:val="0"/>
          <w:sz w:val="24"/>
          <w:szCs w:val="24"/>
        </w:rPr>
      </w:pPr>
      <w:bookmarkStart w:id="290" w:name="_Toc428180747"/>
      <w:r>
        <w:rPr>
          <w:rFonts w:hint="eastAsia" w:ascii="宋体" w:hAnsi="宋体" w:cs="宋体"/>
          <w:color w:val="000000"/>
          <w:kern w:val="0"/>
          <w:sz w:val="24"/>
          <w:szCs w:val="24"/>
        </w:rPr>
        <w:t>使用危险化学品是</w:t>
      </w:r>
      <w:r>
        <w:rPr>
          <w:rFonts w:ascii="宋体" w:hAnsi="宋体"/>
          <w:color w:val="000000"/>
          <w:sz w:val="24"/>
          <w:szCs w:val="24"/>
        </w:rPr>
        <w:t>硫酸铜</w:t>
      </w:r>
      <w:r>
        <w:rPr>
          <w:rFonts w:hint="eastAsia" w:ascii="宋体" w:hAnsi="宋体"/>
          <w:color w:val="000000"/>
          <w:sz w:val="24"/>
          <w:szCs w:val="24"/>
        </w:rPr>
        <w:t>（</w:t>
      </w:r>
      <w:r>
        <w:rPr>
          <w:rFonts w:ascii="宋体" w:hAnsi="宋体"/>
          <w:color w:val="000000"/>
          <w:sz w:val="24"/>
          <w:szCs w:val="24"/>
        </w:rPr>
        <w:t>CuSO</w:t>
      </w:r>
      <w:r>
        <w:rPr>
          <w:rFonts w:ascii="宋体" w:hAnsi="宋体"/>
          <w:color w:val="000000"/>
          <w:sz w:val="24"/>
          <w:szCs w:val="24"/>
          <w:vertAlign w:val="subscript"/>
        </w:rPr>
        <w:t>4</w:t>
      </w:r>
      <w:r>
        <w:rPr>
          <w:rFonts w:hint="eastAsia" w:ascii="宋体" w:hAnsi="宋体"/>
          <w:color w:val="000000"/>
          <w:sz w:val="24"/>
          <w:szCs w:val="24"/>
        </w:rPr>
        <w:t>），危险编号61519；</w:t>
      </w:r>
      <w:r>
        <w:rPr>
          <w:rFonts w:ascii="宋体" w:hAnsi="宋体"/>
          <w:color w:val="000000"/>
          <w:sz w:val="24"/>
          <w:szCs w:val="24"/>
        </w:rPr>
        <w:t>硫酸锌</w:t>
      </w:r>
      <w:r>
        <w:rPr>
          <w:rFonts w:hint="eastAsia" w:ascii="宋体" w:hAnsi="宋体"/>
          <w:color w:val="000000"/>
          <w:sz w:val="24"/>
          <w:szCs w:val="24"/>
        </w:rPr>
        <w:t>（</w:t>
      </w:r>
      <w:r>
        <w:rPr>
          <w:rFonts w:ascii="宋体" w:hAnsi="宋体"/>
          <w:color w:val="000000"/>
          <w:sz w:val="24"/>
          <w:szCs w:val="24"/>
        </w:rPr>
        <w:t>ZnSO</w:t>
      </w:r>
      <w:r>
        <w:rPr>
          <w:rFonts w:ascii="宋体" w:hAnsi="宋体"/>
          <w:color w:val="000000"/>
          <w:sz w:val="24"/>
          <w:szCs w:val="24"/>
          <w:vertAlign w:val="subscript"/>
        </w:rPr>
        <w:t>4</w:t>
      </w:r>
      <w:r>
        <w:rPr>
          <w:rFonts w:hint="eastAsia" w:ascii="宋体" w:hAnsi="宋体"/>
          <w:color w:val="000000"/>
          <w:sz w:val="24"/>
          <w:szCs w:val="24"/>
        </w:rPr>
        <w:t>），危险编号43508。</w:t>
      </w:r>
    </w:p>
    <w:p>
      <w:pPr>
        <w:shd w:val="clear" w:color="auto" w:fill="FFFFFF"/>
        <w:spacing w:line="360" w:lineRule="auto"/>
        <w:ind w:firstLine="480" w:firstLineChars="200"/>
        <w:rPr>
          <w:rFonts w:hint="eastAsia" w:ascii="宋体" w:hAnsi="宋体" w:cs="宋体"/>
          <w:color w:val="000000"/>
          <w:kern w:val="0"/>
          <w:sz w:val="24"/>
          <w:szCs w:val="24"/>
        </w:rPr>
      </w:pPr>
      <w:r>
        <w:rPr>
          <w:rFonts w:hint="eastAsia" w:ascii="宋体" w:hAnsi="宋体" w:cs="宋体"/>
          <w:color w:val="000000"/>
          <w:kern w:val="0"/>
          <w:sz w:val="24"/>
          <w:szCs w:val="24"/>
        </w:rPr>
        <w:t>选矿辅助剂</w:t>
      </w:r>
      <w:r>
        <w:rPr>
          <w:rFonts w:ascii="宋体" w:hAnsi="宋体"/>
          <w:color w:val="000000"/>
          <w:sz w:val="24"/>
          <w:szCs w:val="24"/>
        </w:rPr>
        <w:t>硫酸铜</w:t>
      </w:r>
      <w:r>
        <w:rPr>
          <w:rFonts w:hint="eastAsia" w:ascii="宋体" w:hAnsi="宋体"/>
          <w:color w:val="000000"/>
          <w:sz w:val="24"/>
          <w:szCs w:val="24"/>
        </w:rPr>
        <w:t>属毒害品，</w:t>
      </w:r>
      <w:r>
        <w:rPr>
          <w:rFonts w:ascii="宋体" w:hAnsi="宋体"/>
          <w:color w:val="000000"/>
          <w:sz w:val="24"/>
          <w:szCs w:val="24"/>
        </w:rPr>
        <w:t>硫酸锌</w:t>
      </w:r>
      <w:r>
        <w:rPr>
          <w:rFonts w:hint="eastAsia" w:ascii="宋体" w:hAnsi="宋体"/>
          <w:color w:val="000000"/>
          <w:sz w:val="24"/>
          <w:szCs w:val="24"/>
        </w:rPr>
        <w:t>属易燃物品。</w:t>
      </w:r>
      <w:r>
        <w:rPr>
          <w:rFonts w:hint="eastAsia" w:ascii="宋体" w:hAnsi="宋体" w:cs="宋体"/>
          <w:color w:val="000000"/>
          <w:kern w:val="0"/>
          <w:sz w:val="24"/>
          <w:szCs w:val="24"/>
        </w:rPr>
        <w:t>对有毒有害物品实行严格的入库出库使用制度。在选矿过程中，所产生的废水经污水处理系统进行处理后循环使用，不外排。对渗入尾矿渣的少量废水排拉到鸡西尾矿库，尾矿库已经进行防渗处理，尾矿库设置了污水处理系统对渗滤液进行深度处理。尾矿库杜绝废水外排，周边设置了防洪沟，严禁沟水雨水入库</w:t>
      </w:r>
      <w:r>
        <w:rPr>
          <w:rFonts w:hint="eastAsia"/>
          <w:color w:val="000000"/>
          <w:sz w:val="24"/>
          <w:szCs w:val="24"/>
        </w:rPr>
        <w:t>。</w:t>
      </w:r>
    </w:p>
    <w:p>
      <w:pPr>
        <w:pStyle w:val="5"/>
        <w:rPr>
          <w:rFonts w:hint="eastAsia"/>
          <w:color w:val="000000"/>
        </w:rPr>
      </w:pPr>
      <w:bookmarkStart w:id="291" w:name="_Toc23000886"/>
      <w:r>
        <w:rPr>
          <w:color w:val="000000"/>
        </w:rPr>
        <w:t>2.</w:t>
      </w:r>
      <w:r>
        <w:rPr>
          <w:rFonts w:hint="eastAsia"/>
          <w:color w:val="000000"/>
        </w:rPr>
        <w:t>4.</w:t>
      </w:r>
      <w:r>
        <w:rPr>
          <w:color w:val="000000"/>
        </w:rPr>
        <w:t>1</w:t>
      </w:r>
      <w:r>
        <w:rPr>
          <w:rFonts w:hint="eastAsia"/>
          <w:color w:val="000000"/>
        </w:rPr>
        <w:t>6环境风险</w:t>
      </w:r>
      <w:bookmarkEnd w:id="290"/>
      <w:bookmarkEnd w:id="291"/>
    </w:p>
    <w:p>
      <w:pPr>
        <w:spacing w:line="360" w:lineRule="auto"/>
        <w:ind w:firstLine="482" w:firstLineChars="200"/>
        <w:rPr>
          <w:rFonts w:hint="eastAsia" w:ascii="宋体" w:hAnsi="宋体"/>
          <w:b/>
          <w:color w:val="000000"/>
          <w:sz w:val="24"/>
          <w:szCs w:val="24"/>
        </w:rPr>
      </w:pPr>
      <w:bookmarkStart w:id="292" w:name="_Toc428180748"/>
      <w:r>
        <w:rPr>
          <w:rFonts w:hint="eastAsia" w:ascii="宋体" w:hAnsi="宋体"/>
          <w:b/>
          <w:color w:val="000000"/>
          <w:sz w:val="24"/>
          <w:szCs w:val="24"/>
        </w:rPr>
        <w:t>2.4.16.1预案的编制和备案情况</w:t>
      </w:r>
    </w:p>
    <w:p>
      <w:pPr>
        <w:spacing w:line="360" w:lineRule="auto"/>
        <w:ind w:firstLine="480" w:firstLineChars="200"/>
        <w:rPr>
          <w:color w:val="000000"/>
          <w:sz w:val="24"/>
        </w:rPr>
      </w:pPr>
      <w:r>
        <w:rPr>
          <w:rFonts w:hint="eastAsia" w:ascii="宋体" w:hAnsi="宋体"/>
          <w:color w:val="000000"/>
          <w:sz w:val="24"/>
          <w:szCs w:val="24"/>
        </w:rPr>
        <w:t>公司已编制《突发环境事件应急预案》，并到曲靖市生态环境部门备案。</w:t>
      </w:r>
      <w:r>
        <w:rPr>
          <w:rFonts w:hint="eastAsia"/>
          <w:color w:val="000000"/>
          <w:sz w:val="24"/>
        </w:rPr>
        <w:t>、富乐铅锌矿采选项目、鸡西尾矿库均编制突发环境事件风险应急预案。2019年1月3日，经曲靖市生态环境局罗平分局审查备案，备案号分别为： 530324-2019-002-L、530324-2019-003-L</w:t>
      </w:r>
    </w:p>
    <w:p>
      <w:pPr>
        <w:spacing w:line="360" w:lineRule="auto"/>
        <w:ind w:firstLine="480" w:firstLineChars="200"/>
        <w:rPr>
          <w:rFonts w:hint="eastAsia"/>
          <w:color w:val="000000"/>
          <w:sz w:val="24"/>
          <w:szCs w:val="24"/>
        </w:rPr>
      </w:pPr>
      <w:r>
        <w:rPr>
          <w:color w:val="000000"/>
          <w:sz w:val="24"/>
          <w:szCs w:val="24"/>
        </w:rPr>
        <w:t>为保证公司</w:t>
      </w:r>
      <w:r>
        <w:rPr>
          <w:rFonts w:hint="eastAsia"/>
          <w:color w:val="000000"/>
          <w:sz w:val="24"/>
          <w:szCs w:val="24"/>
        </w:rPr>
        <w:t>抢险</w:t>
      </w:r>
      <w:r>
        <w:rPr>
          <w:color w:val="000000"/>
          <w:sz w:val="24"/>
          <w:szCs w:val="24"/>
        </w:rPr>
        <w:t>救援</w:t>
      </w:r>
      <w:r>
        <w:rPr>
          <w:rFonts w:hint="eastAsia"/>
          <w:color w:val="000000"/>
          <w:sz w:val="24"/>
          <w:szCs w:val="24"/>
        </w:rPr>
        <w:t>队伍在应急情况下开展救援工作</w:t>
      </w:r>
      <w:r>
        <w:rPr>
          <w:color w:val="000000"/>
          <w:sz w:val="24"/>
          <w:szCs w:val="24"/>
        </w:rPr>
        <w:t>，</w:t>
      </w:r>
      <w:r>
        <w:rPr>
          <w:rFonts w:hint="eastAsia"/>
          <w:color w:val="000000"/>
          <w:sz w:val="24"/>
          <w:szCs w:val="24"/>
        </w:rPr>
        <w:t>公司除</w:t>
      </w:r>
      <w:r>
        <w:rPr>
          <w:color w:val="000000"/>
          <w:sz w:val="24"/>
          <w:szCs w:val="24"/>
        </w:rPr>
        <w:t>每年组织进行一次应急业务知识培训，</w:t>
      </w:r>
      <w:r>
        <w:rPr>
          <w:rFonts w:hint="eastAsia"/>
          <w:color w:val="000000"/>
          <w:sz w:val="24"/>
          <w:szCs w:val="24"/>
        </w:rPr>
        <w:t>并计划每年六月份开展一次应急演练，锻炼抢险救援队伍</w:t>
      </w:r>
      <w:r>
        <w:rPr>
          <w:color w:val="000000"/>
          <w:sz w:val="24"/>
          <w:szCs w:val="24"/>
        </w:rPr>
        <w:t>。</w:t>
      </w:r>
    </w:p>
    <w:p>
      <w:pPr>
        <w:spacing w:line="360" w:lineRule="auto"/>
        <w:ind w:firstLine="482" w:firstLineChars="200"/>
        <w:outlineLvl w:val="0"/>
        <w:rPr>
          <w:rFonts w:hint="eastAsia" w:ascii="宋体" w:hAnsi="宋体"/>
          <w:b/>
          <w:color w:val="000000"/>
          <w:sz w:val="24"/>
          <w:szCs w:val="24"/>
        </w:rPr>
      </w:pPr>
      <w:r>
        <w:rPr>
          <w:rFonts w:hint="eastAsia" w:ascii="宋体" w:hAnsi="宋体"/>
          <w:b/>
          <w:color w:val="000000"/>
          <w:sz w:val="24"/>
          <w:szCs w:val="24"/>
        </w:rPr>
        <w:t>2.4.16.2涉及的环境风险物质</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依据《企业突发环境事件风险分级方法》（HJ941-2018）附录B的要求，企业涉及的环境风险物质见表2-40。</w:t>
      </w:r>
    </w:p>
    <w:p>
      <w:pPr>
        <w:autoSpaceDE w:val="0"/>
        <w:autoSpaceDN w:val="0"/>
        <w:adjustRightInd w:val="0"/>
        <w:spacing w:line="360" w:lineRule="auto"/>
        <w:ind w:firstLine="480"/>
        <w:jc w:val="center"/>
        <w:rPr>
          <w:rFonts w:hint="eastAsia" w:ascii="宋体" w:hAnsi="宋体" w:cs="仿宋"/>
          <w:b/>
          <w:bCs/>
          <w:color w:val="000000"/>
          <w:sz w:val="24"/>
        </w:rPr>
      </w:pPr>
      <w:r>
        <w:rPr>
          <w:rFonts w:hint="eastAsia" w:ascii="宋体" w:hAnsi="宋体" w:cs="仿宋"/>
          <w:b/>
          <w:bCs/>
          <w:color w:val="000000"/>
          <w:spacing w:val="1"/>
          <w:kern w:val="0"/>
          <w:sz w:val="24"/>
        </w:rPr>
        <w:t>表2-40 危险物质的临界量</w:t>
      </w:r>
      <w:r>
        <w:rPr>
          <w:rFonts w:hint="eastAsia" w:ascii="宋体" w:hAnsi="宋体" w:cs="仿宋"/>
          <w:b/>
          <w:bCs/>
          <w:color w:val="000000"/>
          <w:sz w:val="24"/>
        </w:rPr>
        <w:t>与暂存量一览表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1319"/>
        <w:gridCol w:w="2533"/>
        <w:gridCol w:w="2452"/>
        <w:gridCol w:w="1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9" w:hRule="atLeast"/>
          <w:jc w:val="center"/>
        </w:trPr>
        <w:tc>
          <w:tcPr>
            <w:tcW w:w="860"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序号</w:t>
            </w:r>
          </w:p>
        </w:tc>
        <w:tc>
          <w:tcPr>
            <w:tcW w:w="1319"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物质名称</w:t>
            </w:r>
          </w:p>
        </w:tc>
        <w:tc>
          <w:tcPr>
            <w:tcW w:w="2533"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储存场所临界量Q（t）</w:t>
            </w:r>
          </w:p>
        </w:tc>
        <w:tc>
          <w:tcPr>
            <w:tcW w:w="2452"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厂内实际最大量q（t）</w:t>
            </w:r>
          </w:p>
        </w:tc>
        <w:tc>
          <w:tcPr>
            <w:tcW w:w="1805"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q/Q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9" w:hRule="atLeast"/>
          <w:jc w:val="center"/>
        </w:trPr>
        <w:tc>
          <w:tcPr>
            <w:tcW w:w="860"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1</w:t>
            </w:r>
          </w:p>
        </w:tc>
        <w:tc>
          <w:tcPr>
            <w:tcW w:w="1319"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柴油</w:t>
            </w:r>
          </w:p>
        </w:tc>
        <w:tc>
          <w:tcPr>
            <w:tcW w:w="2533"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2500</w:t>
            </w:r>
          </w:p>
        </w:tc>
        <w:tc>
          <w:tcPr>
            <w:tcW w:w="2452"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40</w:t>
            </w:r>
          </w:p>
        </w:tc>
        <w:tc>
          <w:tcPr>
            <w:tcW w:w="1805"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0.016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9" w:hRule="atLeast"/>
          <w:jc w:val="center"/>
        </w:trPr>
        <w:tc>
          <w:tcPr>
            <w:tcW w:w="860"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2</w:t>
            </w:r>
          </w:p>
        </w:tc>
        <w:tc>
          <w:tcPr>
            <w:tcW w:w="1319"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废机油</w:t>
            </w:r>
          </w:p>
        </w:tc>
        <w:tc>
          <w:tcPr>
            <w:tcW w:w="2533"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2500</w:t>
            </w:r>
          </w:p>
        </w:tc>
        <w:tc>
          <w:tcPr>
            <w:tcW w:w="2452"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2</w:t>
            </w:r>
          </w:p>
        </w:tc>
        <w:tc>
          <w:tcPr>
            <w:tcW w:w="1805"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0．00</w:t>
            </w:r>
            <w:r>
              <w:rPr>
                <w:rFonts w:cs="仿宋"/>
                <w:bCs/>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9" w:hRule="atLeast"/>
          <w:jc w:val="center"/>
        </w:trPr>
        <w:tc>
          <w:tcPr>
            <w:tcW w:w="860" w:type="dxa"/>
            <w:noWrap w:val="0"/>
            <w:vAlign w:val="center"/>
          </w:tcPr>
          <w:p>
            <w:pPr>
              <w:pStyle w:val="32"/>
              <w:spacing w:line="336" w:lineRule="auto"/>
              <w:rPr>
                <w:rFonts w:hint="eastAsia" w:cs="仿宋"/>
                <w:bCs/>
                <w:color w:val="000000"/>
                <w:sz w:val="21"/>
                <w:szCs w:val="21"/>
              </w:rPr>
            </w:pPr>
            <w:r>
              <w:rPr>
                <w:rFonts w:hint="eastAsia" w:cs="仿宋"/>
                <w:bCs/>
                <w:color w:val="000000"/>
                <w:sz w:val="21"/>
                <w:szCs w:val="21"/>
              </w:rPr>
              <w:t>合计</w:t>
            </w:r>
          </w:p>
        </w:tc>
        <w:tc>
          <w:tcPr>
            <w:tcW w:w="6304" w:type="dxa"/>
            <w:gridSpan w:val="3"/>
            <w:noWrap w:val="0"/>
            <w:vAlign w:val="center"/>
          </w:tcPr>
          <w:p>
            <w:pPr>
              <w:adjustRightInd w:val="0"/>
              <w:snapToGrid w:val="0"/>
              <w:spacing w:line="400" w:lineRule="exact"/>
              <w:jc w:val="center"/>
              <w:rPr>
                <w:rFonts w:ascii="宋体" w:hAnsi="宋体"/>
                <w:color w:val="000000"/>
                <w:szCs w:val="21"/>
              </w:rPr>
            </w:pPr>
          </w:p>
        </w:tc>
        <w:tc>
          <w:tcPr>
            <w:tcW w:w="1805" w:type="dxa"/>
            <w:noWrap w:val="0"/>
            <w:vAlign w:val="center"/>
          </w:tcPr>
          <w:p>
            <w:pPr>
              <w:pStyle w:val="32"/>
              <w:spacing w:line="336" w:lineRule="auto"/>
              <w:jc w:val="center"/>
              <w:rPr>
                <w:rFonts w:hint="eastAsia" w:cs="仿宋"/>
                <w:bCs/>
                <w:color w:val="000000"/>
                <w:sz w:val="21"/>
                <w:szCs w:val="21"/>
              </w:rPr>
            </w:pPr>
            <w:r>
              <w:rPr>
                <w:rFonts w:hint="eastAsia" w:cs="仿宋"/>
                <w:bCs/>
                <w:color w:val="000000"/>
                <w:sz w:val="21"/>
                <w:szCs w:val="21"/>
              </w:rPr>
              <w:t>0.016</w:t>
            </w:r>
          </w:p>
        </w:tc>
      </w:tr>
    </w:tbl>
    <w:p>
      <w:pPr>
        <w:spacing w:before="240" w:beforeLines="100" w:line="360" w:lineRule="auto"/>
        <w:ind w:firstLine="482" w:firstLineChars="200"/>
        <w:rPr>
          <w:rFonts w:hint="eastAsia"/>
          <w:b/>
          <w:color w:val="000000"/>
          <w:sz w:val="24"/>
        </w:rPr>
      </w:pPr>
      <w:r>
        <w:rPr>
          <w:rFonts w:hint="eastAsia"/>
          <w:b/>
          <w:color w:val="000000"/>
          <w:sz w:val="24"/>
        </w:rPr>
        <w:t>2.4.16.3尾矿库风险防范</w:t>
      </w:r>
    </w:p>
    <w:p>
      <w:pPr>
        <w:spacing w:line="360" w:lineRule="auto"/>
        <w:ind w:firstLine="480" w:firstLineChars="200"/>
        <w:rPr>
          <w:rFonts w:hint="eastAsia"/>
          <w:color w:val="000000"/>
          <w:sz w:val="24"/>
        </w:rPr>
      </w:pPr>
      <w:r>
        <w:rPr>
          <w:rFonts w:hint="eastAsia"/>
          <w:color w:val="000000"/>
          <w:sz w:val="24"/>
        </w:rPr>
        <w:t>（1）严格按照设计文件的要求和《尾矿设施安全监督管理办法（试行）》《尾矿库安全监督管理规定》、《尾矿库安全技术规程》等有关技术规定，做好尾矿浓缩分级，回水利用、防汛渡汛、抗震等安全检查和检测工作。</w:t>
      </w:r>
    </w:p>
    <w:p>
      <w:pPr>
        <w:spacing w:line="360" w:lineRule="auto"/>
        <w:ind w:firstLine="480" w:firstLineChars="200"/>
        <w:rPr>
          <w:rFonts w:hint="eastAsia"/>
          <w:color w:val="000000"/>
          <w:sz w:val="24"/>
        </w:rPr>
      </w:pPr>
      <w:r>
        <w:rPr>
          <w:rFonts w:hint="eastAsia"/>
          <w:color w:val="000000"/>
          <w:sz w:val="24"/>
        </w:rPr>
        <w:t>（2）在生产过程中对尾矿库的管理严格遵守《尾矿库安全管理规定》(国家经济贸易委员会令第20号)中的有关规定，注意尾矿坝的定期观测，及时发现问题，及时加以解决，防患于未然。</w:t>
      </w:r>
    </w:p>
    <w:p>
      <w:pPr>
        <w:spacing w:line="360" w:lineRule="auto"/>
        <w:ind w:firstLine="480" w:firstLineChars="200"/>
        <w:rPr>
          <w:rFonts w:hint="eastAsia"/>
          <w:color w:val="000000"/>
          <w:sz w:val="24"/>
        </w:rPr>
      </w:pPr>
      <w:r>
        <w:rPr>
          <w:rFonts w:hint="eastAsia"/>
          <w:color w:val="000000"/>
          <w:sz w:val="24"/>
        </w:rPr>
        <w:t>（3）对尾矿库防护的稳固性，尾矿库的排水沟，确保尾矿库具有抗击特大暴雨洪流冲击与防止洪流漫顶的能力。</w:t>
      </w:r>
    </w:p>
    <w:p>
      <w:pPr>
        <w:spacing w:line="360" w:lineRule="auto"/>
        <w:ind w:firstLine="480" w:firstLineChars="200"/>
        <w:rPr>
          <w:rFonts w:hint="eastAsia"/>
          <w:color w:val="000000"/>
          <w:sz w:val="24"/>
        </w:rPr>
      </w:pPr>
      <w:r>
        <w:rPr>
          <w:rFonts w:hint="eastAsia"/>
          <w:color w:val="000000"/>
          <w:sz w:val="24"/>
        </w:rPr>
        <w:t>（4）尾矿库按当地100a一遇特大暴雨与基本地震烈度设防加固，坝体防护应采用50～60cm厚浆砌石块。坝高在满足尾矿渣堆放情况下，还应考虑预留出当地最大暴雨时，库区每日可承接降水量的高度，确保任何条件下，均能把暴雨量拦截在库区之外，并经排洪沟畅顺地排至库区之外，使其不能汇入库区。</w:t>
      </w:r>
    </w:p>
    <w:p>
      <w:pPr>
        <w:spacing w:line="360" w:lineRule="auto"/>
        <w:ind w:firstLine="480" w:firstLineChars="200"/>
        <w:rPr>
          <w:rFonts w:hint="eastAsia"/>
          <w:color w:val="000000"/>
          <w:sz w:val="24"/>
        </w:rPr>
      </w:pPr>
      <w:r>
        <w:rPr>
          <w:rFonts w:hint="eastAsia"/>
          <w:color w:val="000000"/>
          <w:sz w:val="24"/>
        </w:rPr>
        <w:t>（5）事故应急处理措施</w:t>
      </w:r>
    </w:p>
    <w:p>
      <w:pPr>
        <w:spacing w:line="360" w:lineRule="auto"/>
        <w:ind w:firstLine="480" w:firstLineChars="200"/>
        <w:rPr>
          <w:rFonts w:hint="eastAsia"/>
          <w:color w:val="000000"/>
          <w:sz w:val="24"/>
        </w:rPr>
      </w:pPr>
      <w:r>
        <w:rPr>
          <w:rFonts w:hint="eastAsia"/>
          <w:color w:val="000000"/>
          <w:sz w:val="24"/>
        </w:rPr>
        <w:t>应急反应：</w:t>
      </w:r>
    </w:p>
    <w:p>
      <w:pPr>
        <w:spacing w:line="360" w:lineRule="auto"/>
        <w:ind w:firstLine="480" w:firstLineChars="200"/>
        <w:rPr>
          <w:rFonts w:hint="eastAsia"/>
          <w:color w:val="000000"/>
          <w:sz w:val="24"/>
        </w:rPr>
      </w:pPr>
      <w:r>
        <w:rPr>
          <w:rFonts w:hint="eastAsia"/>
          <w:color w:val="000000"/>
          <w:sz w:val="24"/>
        </w:rPr>
        <w:t>①险情发生后，事故应急指挥机构立即启动应急预案；</w:t>
      </w:r>
    </w:p>
    <w:p>
      <w:pPr>
        <w:spacing w:line="360" w:lineRule="auto"/>
        <w:ind w:firstLine="480" w:firstLineChars="200"/>
        <w:rPr>
          <w:rFonts w:hint="eastAsia"/>
          <w:color w:val="000000"/>
          <w:sz w:val="24"/>
        </w:rPr>
      </w:pPr>
      <w:r>
        <w:rPr>
          <w:rFonts w:hint="eastAsia"/>
          <w:color w:val="000000"/>
          <w:sz w:val="24"/>
        </w:rPr>
        <w:t>②应急小组立即形成，由应急指挥组组长统一发布应急指挥命令；</w:t>
      </w:r>
    </w:p>
    <w:p>
      <w:pPr>
        <w:spacing w:line="360" w:lineRule="auto"/>
        <w:ind w:firstLine="480" w:firstLineChars="200"/>
        <w:rPr>
          <w:rFonts w:hint="eastAsia"/>
          <w:color w:val="000000"/>
          <w:sz w:val="24"/>
        </w:rPr>
      </w:pPr>
      <w:r>
        <w:rPr>
          <w:rFonts w:hint="eastAsia"/>
          <w:color w:val="000000"/>
          <w:sz w:val="24"/>
        </w:rPr>
        <w:t>③救援和抢险组负责协调、配合抢险单位实施应急抢险工作，以及在应急情况下现场人员的疏散；</w:t>
      </w:r>
    </w:p>
    <w:p>
      <w:pPr>
        <w:spacing w:line="360" w:lineRule="auto"/>
        <w:ind w:firstLine="480" w:firstLineChars="200"/>
        <w:rPr>
          <w:rFonts w:hint="eastAsia"/>
          <w:color w:val="000000"/>
          <w:sz w:val="24"/>
        </w:rPr>
      </w:pPr>
      <w:r>
        <w:rPr>
          <w:rFonts w:hint="eastAsia"/>
          <w:color w:val="000000"/>
          <w:sz w:val="24"/>
        </w:rPr>
        <w:t>④技术指导组负责现场安全警戒线的设置，并配合相关单位实施应急救援；</w:t>
      </w:r>
    </w:p>
    <w:p>
      <w:pPr>
        <w:spacing w:line="360" w:lineRule="auto"/>
        <w:ind w:firstLine="480" w:firstLineChars="200"/>
        <w:rPr>
          <w:rFonts w:hint="eastAsia"/>
          <w:color w:val="000000"/>
          <w:sz w:val="24"/>
        </w:rPr>
      </w:pPr>
      <w:r>
        <w:rPr>
          <w:rFonts w:hint="eastAsia"/>
          <w:color w:val="000000"/>
          <w:sz w:val="24"/>
        </w:rPr>
        <w:t>⑤通讯联络组负责建立抢险单位、救援单位及地方政府有关部门的联络；</w:t>
      </w:r>
    </w:p>
    <w:p>
      <w:pPr>
        <w:spacing w:line="360" w:lineRule="auto"/>
        <w:ind w:firstLine="480" w:firstLineChars="200"/>
        <w:rPr>
          <w:rFonts w:hint="eastAsia"/>
          <w:color w:val="000000"/>
          <w:sz w:val="24"/>
        </w:rPr>
      </w:pPr>
      <w:r>
        <w:rPr>
          <w:rFonts w:hint="eastAsia"/>
          <w:color w:val="000000"/>
          <w:sz w:val="24"/>
        </w:rPr>
        <w:t>⑥支持保障组负责抢险物资组织，后勤、车辆的保障。</w:t>
      </w:r>
    </w:p>
    <w:p>
      <w:pPr>
        <w:spacing w:line="360" w:lineRule="auto"/>
        <w:ind w:firstLine="480" w:firstLineChars="200"/>
        <w:rPr>
          <w:rFonts w:hint="eastAsia"/>
          <w:color w:val="000000"/>
          <w:sz w:val="24"/>
        </w:rPr>
      </w:pPr>
      <w:r>
        <w:rPr>
          <w:rFonts w:hint="eastAsia"/>
          <w:color w:val="000000"/>
          <w:sz w:val="24"/>
        </w:rPr>
        <w:t>（6）尾矿库防漫顶措施：</w:t>
      </w:r>
    </w:p>
    <w:p>
      <w:pPr>
        <w:spacing w:line="360" w:lineRule="auto"/>
        <w:ind w:firstLine="480" w:firstLineChars="200"/>
        <w:rPr>
          <w:rFonts w:hint="eastAsia"/>
          <w:color w:val="000000"/>
          <w:sz w:val="24"/>
        </w:rPr>
      </w:pPr>
      <w:r>
        <w:rPr>
          <w:rFonts w:hint="eastAsia"/>
          <w:color w:val="000000"/>
          <w:sz w:val="24"/>
        </w:rPr>
        <w:t>尾矿坝一般为散粒结构，如果洪水漫顶就会迅速冲决口，造成溃坝事故，富乐鸡西尾矿库由于利用天然凹墰干式堆存尾矿，不存在溃坝问题。当排水设施已全部使用，水位仍继续上升，根据水情预报可能出现险情时，应抢筑子堤，增加挡水高度。</w:t>
      </w:r>
    </w:p>
    <w:p>
      <w:pPr>
        <w:spacing w:line="360" w:lineRule="auto"/>
        <w:ind w:firstLine="480" w:firstLineChars="200"/>
        <w:rPr>
          <w:rFonts w:hint="eastAsia"/>
          <w:color w:val="000000"/>
          <w:sz w:val="24"/>
        </w:rPr>
      </w:pPr>
      <w:r>
        <w:rPr>
          <w:rFonts w:hint="eastAsia"/>
          <w:color w:val="000000"/>
          <w:sz w:val="24"/>
        </w:rPr>
        <w:t>在堤顶不宽、土质较差的情况下，可用土袋抢筑子堤。在铺第一层土袋前，要清理堤坝顶的杂物并耙松表土。用草袋、编织袋、麻袋等装土七成左右，将袋口缝紧，铺于子堤的迎水面。铺砌时，袋口应向背水侧互相搭接，用脚踩实，上下层袋缝必须错开。</w:t>
      </w:r>
    </w:p>
    <w:p>
      <w:pPr>
        <w:spacing w:line="360" w:lineRule="auto"/>
        <w:ind w:firstLine="480" w:firstLineChars="200"/>
        <w:rPr>
          <w:rFonts w:hint="eastAsia"/>
          <w:color w:val="000000"/>
          <w:sz w:val="24"/>
        </w:rPr>
      </w:pPr>
      <w:r>
        <w:rPr>
          <w:rFonts w:hint="eastAsia"/>
          <w:color w:val="000000"/>
          <w:sz w:val="24"/>
        </w:rPr>
        <w:t>在缺土、浪大、堤顶较窄的情况下，可采用单层木板或埽捆子堤。</w:t>
      </w:r>
    </w:p>
    <w:p>
      <w:pPr>
        <w:spacing w:line="360" w:lineRule="auto"/>
        <w:ind w:firstLine="480" w:firstLineChars="200"/>
        <w:rPr>
          <w:rFonts w:hint="eastAsia"/>
          <w:color w:val="000000"/>
          <w:sz w:val="24"/>
        </w:rPr>
      </w:pPr>
      <w:r>
        <w:rPr>
          <w:rFonts w:hint="eastAsia"/>
          <w:color w:val="000000"/>
          <w:sz w:val="24"/>
        </w:rPr>
        <w:t>当出现超过设计标准的特大洪水时，应在抢筑子堤的同时，报请上级批准，采取非常措施加强排洪，降低库水位。</w:t>
      </w:r>
    </w:p>
    <w:p>
      <w:pPr>
        <w:spacing w:line="360" w:lineRule="auto"/>
        <w:ind w:firstLine="480" w:firstLineChars="200"/>
        <w:outlineLvl w:val="0"/>
        <w:rPr>
          <w:rFonts w:hint="eastAsia"/>
          <w:color w:val="000000"/>
          <w:sz w:val="24"/>
        </w:rPr>
      </w:pPr>
      <w:r>
        <w:rPr>
          <w:rFonts w:hint="eastAsia"/>
          <w:color w:val="000000"/>
          <w:sz w:val="24"/>
        </w:rPr>
        <w:t>（7）尾矿坝的抢险</w:t>
      </w:r>
    </w:p>
    <w:p>
      <w:pPr>
        <w:spacing w:line="360" w:lineRule="auto"/>
        <w:ind w:firstLine="480" w:firstLineChars="200"/>
        <w:rPr>
          <w:rFonts w:hint="eastAsia"/>
          <w:color w:val="000000"/>
          <w:sz w:val="24"/>
        </w:rPr>
      </w:pPr>
      <w:r>
        <w:rPr>
          <w:rFonts w:hint="eastAsia"/>
          <w:color w:val="000000"/>
          <w:sz w:val="24"/>
        </w:rPr>
        <w:t>尾矿坝的险情常在汛期发生，而重大险情又多在暴雨时发生。汛期尾矿库处于高水位工作状态，调洪库容有所减少，遇到特大暴雨极易造成洪水漫顶。同时，浸润线的位置处于高位，坝体饱和区扩大，使坝的稳定性降低 。</w:t>
      </w:r>
    </w:p>
    <w:p>
      <w:pPr>
        <w:pStyle w:val="5"/>
        <w:rPr>
          <w:rFonts w:hint="eastAsia"/>
          <w:color w:val="000000"/>
        </w:rPr>
      </w:pPr>
      <w:bookmarkStart w:id="293" w:name="_Toc23000887"/>
      <w:r>
        <w:rPr>
          <w:rFonts w:hint="eastAsia"/>
          <w:color w:val="000000"/>
        </w:rPr>
        <w:t>2.4.17企业环境管理情况</w:t>
      </w:r>
      <w:bookmarkEnd w:id="292"/>
      <w:bookmarkEnd w:id="293"/>
    </w:p>
    <w:p>
      <w:pPr>
        <w:spacing w:line="360" w:lineRule="auto"/>
        <w:ind w:firstLine="482" w:firstLineChars="200"/>
        <w:outlineLvl w:val="0"/>
        <w:rPr>
          <w:rFonts w:ascii="宋体" w:hAnsi="宋体"/>
          <w:b/>
          <w:color w:val="000000"/>
          <w:sz w:val="24"/>
        </w:rPr>
      </w:pPr>
      <w:bookmarkStart w:id="294" w:name="_TOC_250012"/>
      <w:bookmarkEnd w:id="294"/>
      <w:bookmarkStart w:id="295" w:name="_Toc43800546"/>
      <w:bookmarkStart w:id="296" w:name="_Toc83742070"/>
      <w:bookmarkStart w:id="297" w:name="_Toc101761966"/>
      <w:bookmarkStart w:id="298" w:name="_Toc102374610"/>
      <w:bookmarkStart w:id="299" w:name="_Toc117671041"/>
      <w:bookmarkStart w:id="300" w:name="_Toc119307494"/>
      <w:bookmarkStart w:id="301" w:name="_Toc120331140"/>
      <w:bookmarkStart w:id="302" w:name="_Toc205093539"/>
      <w:bookmarkStart w:id="303" w:name="_Toc472086370"/>
      <w:bookmarkStart w:id="304" w:name="_Toc428180749"/>
      <w:r>
        <w:rPr>
          <w:rFonts w:hint="eastAsia" w:ascii="宋体" w:hAnsi="宋体"/>
          <w:b/>
          <w:color w:val="000000"/>
          <w:sz w:val="24"/>
        </w:rPr>
        <w:t>2</w:t>
      </w:r>
      <w:r>
        <w:rPr>
          <w:rFonts w:ascii="宋体" w:hAnsi="宋体"/>
          <w:b/>
          <w:color w:val="000000"/>
          <w:sz w:val="24"/>
        </w:rPr>
        <w:t>.</w:t>
      </w:r>
      <w:r>
        <w:rPr>
          <w:rFonts w:hint="eastAsia" w:ascii="宋体" w:hAnsi="宋体"/>
          <w:b/>
          <w:color w:val="000000"/>
          <w:sz w:val="24"/>
        </w:rPr>
        <w:t>4</w:t>
      </w:r>
      <w:r>
        <w:rPr>
          <w:rFonts w:ascii="宋体" w:hAnsi="宋体"/>
          <w:b/>
          <w:color w:val="000000"/>
          <w:sz w:val="24"/>
        </w:rPr>
        <w:t>.1</w:t>
      </w:r>
      <w:r>
        <w:rPr>
          <w:rFonts w:hint="eastAsia" w:ascii="宋体" w:hAnsi="宋体"/>
          <w:b/>
          <w:color w:val="000000"/>
          <w:sz w:val="24"/>
        </w:rPr>
        <w:t>7.1</w:t>
      </w:r>
      <w:r>
        <w:rPr>
          <w:rFonts w:ascii="宋体" w:hAnsi="宋体"/>
          <w:b/>
          <w:color w:val="000000"/>
          <w:sz w:val="24"/>
        </w:rPr>
        <w:t xml:space="preserve"> 环保组织机构</w:t>
      </w:r>
      <w:bookmarkEnd w:id="295"/>
      <w:bookmarkEnd w:id="296"/>
      <w:bookmarkEnd w:id="297"/>
      <w:bookmarkEnd w:id="298"/>
      <w:bookmarkEnd w:id="299"/>
      <w:bookmarkEnd w:id="300"/>
      <w:bookmarkEnd w:id="301"/>
      <w:bookmarkEnd w:id="302"/>
      <w:bookmarkEnd w:id="303"/>
    </w:p>
    <w:p>
      <w:pPr>
        <w:spacing w:line="360" w:lineRule="auto"/>
        <w:ind w:firstLine="510"/>
        <w:rPr>
          <w:rFonts w:ascii="宋体" w:hAnsi="宋体" w:cs="宋体"/>
          <w:color w:val="000000"/>
          <w:sz w:val="24"/>
          <w:szCs w:val="24"/>
          <w:lang w:bidi="ar"/>
        </w:rPr>
      </w:pPr>
      <w:bookmarkStart w:id="305" w:name="_Toc101761968"/>
      <w:bookmarkStart w:id="306" w:name="_Toc102374612"/>
      <w:bookmarkStart w:id="307" w:name="_Toc117671043"/>
      <w:bookmarkStart w:id="308" w:name="_Toc119307495"/>
      <w:bookmarkStart w:id="309" w:name="_Toc120331141"/>
      <w:bookmarkStart w:id="310" w:name="_Toc205093540"/>
      <w:bookmarkStart w:id="311" w:name="_Toc43800548"/>
      <w:bookmarkStart w:id="312" w:name="_Toc83742072"/>
      <w:r>
        <w:rPr>
          <w:rFonts w:hint="eastAsia" w:ascii="宋体" w:hAnsi="宋体" w:cs="宋体"/>
          <w:color w:val="000000"/>
          <w:sz w:val="24"/>
          <w:szCs w:val="24"/>
          <w:lang w:bidi="ar"/>
        </w:rPr>
        <w:t>云南罗平锌电股份有限公司富乐铅锌矿由安全环保管理部负责全公司</w:t>
      </w:r>
      <w:r>
        <w:rPr>
          <w:rFonts w:ascii="宋体" w:hAnsi="宋体" w:cs="宋体"/>
          <w:color w:val="000000"/>
          <w:sz w:val="24"/>
          <w:szCs w:val="24"/>
          <w:lang w:bidi="ar"/>
        </w:rPr>
        <w:t>“</w:t>
      </w:r>
      <w:r>
        <w:rPr>
          <w:rFonts w:hint="eastAsia" w:ascii="宋体" w:hAnsi="宋体" w:cs="宋体"/>
          <w:color w:val="000000"/>
          <w:sz w:val="24"/>
          <w:szCs w:val="24"/>
          <w:lang w:bidi="ar"/>
        </w:rPr>
        <w:t>三废</w:t>
      </w:r>
      <w:r>
        <w:rPr>
          <w:rFonts w:ascii="宋体" w:hAnsi="宋体" w:cs="宋体"/>
          <w:color w:val="000000"/>
          <w:sz w:val="24"/>
          <w:szCs w:val="24"/>
          <w:lang w:bidi="ar"/>
        </w:rPr>
        <w:t>”</w:t>
      </w:r>
      <w:r>
        <w:rPr>
          <w:rFonts w:hint="eastAsia" w:ascii="宋体" w:hAnsi="宋体" w:cs="宋体"/>
          <w:color w:val="000000"/>
          <w:sz w:val="24"/>
          <w:szCs w:val="24"/>
          <w:lang w:bidi="ar"/>
        </w:rPr>
        <w:t>排放、环保设施及现场环境等日常管理、考核和环保宣传工作。</w:t>
      </w:r>
    </w:p>
    <w:p>
      <w:pPr>
        <w:spacing w:line="360" w:lineRule="auto"/>
        <w:ind w:firstLine="510"/>
        <w:rPr>
          <w:rFonts w:ascii="宋体" w:hAnsi="宋体" w:cs="宋体"/>
          <w:color w:val="000000"/>
          <w:sz w:val="24"/>
          <w:szCs w:val="24"/>
          <w:lang w:bidi="ar"/>
        </w:rPr>
      </w:pPr>
      <w:r>
        <w:rPr>
          <w:rFonts w:hint="eastAsia" w:ascii="宋体" w:hAnsi="宋体" w:cs="宋体"/>
          <w:color w:val="000000"/>
          <w:sz w:val="24"/>
          <w:szCs w:val="24"/>
          <w:lang w:bidi="ar"/>
        </w:rPr>
        <w:t>公司董事长对公司的环境保护工作负法律责任，公司安排一名生产副总经理协助抓好环境保护工作，对公司的环境保护工作负具体领导责任。公司环境管理部是公司环境保护的职能部门，对公司环境保护工作负有具体责任，部门设置</w:t>
      </w:r>
      <w:r>
        <w:rPr>
          <w:rFonts w:ascii="宋体" w:hAnsi="宋体" w:cs="宋体"/>
          <w:color w:val="000000"/>
          <w:sz w:val="24"/>
          <w:szCs w:val="24"/>
          <w:lang w:bidi="ar"/>
        </w:rPr>
        <w:t>环保</w:t>
      </w:r>
      <w:r>
        <w:rPr>
          <w:rFonts w:hint="eastAsia" w:ascii="宋体" w:hAnsi="宋体" w:cs="宋体"/>
          <w:color w:val="000000"/>
          <w:sz w:val="24"/>
          <w:szCs w:val="24"/>
          <w:lang w:bidi="ar"/>
        </w:rPr>
        <w:t>部经理一人，副经理一人，</w:t>
      </w:r>
      <w:r>
        <w:rPr>
          <w:rFonts w:ascii="宋体" w:hAnsi="宋体" w:cs="宋体"/>
          <w:color w:val="000000"/>
          <w:sz w:val="24"/>
          <w:szCs w:val="24"/>
          <w:lang w:bidi="ar"/>
        </w:rPr>
        <w:t>负责日常环保管理工作</w:t>
      </w:r>
      <w:r>
        <w:rPr>
          <w:rFonts w:hint="eastAsia" w:ascii="宋体" w:hAnsi="宋体" w:cs="宋体"/>
          <w:color w:val="000000"/>
          <w:sz w:val="24"/>
          <w:szCs w:val="24"/>
          <w:lang w:bidi="ar"/>
        </w:rPr>
        <w:t>。</w:t>
      </w:r>
    </w:p>
    <w:p>
      <w:pPr>
        <w:spacing w:line="360" w:lineRule="auto"/>
        <w:ind w:firstLine="510"/>
        <w:rPr>
          <w:rFonts w:ascii="宋体" w:hAnsi="宋体" w:cs="宋体"/>
          <w:b/>
          <w:color w:val="000000"/>
          <w:sz w:val="24"/>
          <w:szCs w:val="24"/>
          <w:lang w:bidi="ar"/>
        </w:rPr>
      </w:pPr>
      <w:bookmarkStart w:id="313" w:name="_Toc472086371"/>
      <w:bookmarkStart w:id="314" w:name="_Toc532506344"/>
      <w:r>
        <w:rPr>
          <w:rFonts w:hint="eastAsia" w:ascii="宋体" w:hAnsi="宋体" w:cs="宋体"/>
          <w:b/>
          <w:color w:val="000000"/>
          <w:sz w:val="24"/>
          <w:szCs w:val="24"/>
          <w:lang w:bidi="ar"/>
        </w:rPr>
        <w:t>2.4.17.2</w:t>
      </w:r>
      <w:r>
        <w:rPr>
          <w:rFonts w:ascii="宋体" w:hAnsi="宋体" w:cs="宋体"/>
          <w:b/>
          <w:color w:val="000000"/>
          <w:sz w:val="24"/>
          <w:szCs w:val="24"/>
          <w:lang w:bidi="ar"/>
        </w:rPr>
        <w:t>环境管理制度</w:t>
      </w:r>
      <w:bookmarkEnd w:id="305"/>
      <w:bookmarkEnd w:id="306"/>
      <w:bookmarkEnd w:id="307"/>
      <w:bookmarkEnd w:id="308"/>
      <w:bookmarkEnd w:id="309"/>
      <w:bookmarkEnd w:id="310"/>
      <w:bookmarkEnd w:id="311"/>
      <w:bookmarkEnd w:id="312"/>
      <w:bookmarkEnd w:id="313"/>
      <w:bookmarkEnd w:id="314"/>
    </w:p>
    <w:p>
      <w:pPr>
        <w:spacing w:line="360" w:lineRule="auto"/>
        <w:ind w:firstLine="510"/>
        <w:rPr>
          <w:rFonts w:hint="eastAsia" w:ascii="宋体" w:hAnsi="宋体" w:cs="宋体"/>
          <w:color w:val="000000"/>
          <w:sz w:val="24"/>
          <w:szCs w:val="24"/>
          <w:lang w:bidi="ar"/>
        </w:rPr>
      </w:pPr>
      <w:r>
        <w:rPr>
          <w:rFonts w:ascii="宋体" w:hAnsi="宋体" w:cs="宋体"/>
          <w:color w:val="000000"/>
          <w:sz w:val="24"/>
          <w:szCs w:val="24"/>
          <w:lang w:bidi="ar"/>
        </w:rPr>
        <w:t>在环境管理制度上</w:t>
      </w:r>
      <w:r>
        <w:rPr>
          <w:rFonts w:hint="eastAsia" w:ascii="宋体" w:hAnsi="宋体" w:cs="宋体"/>
          <w:color w:val="000000"/>
          <w:sz w:val="24"/>
          <w:szCs w:val="24"/>
          <w:lang w:bidi="ar"/>
        </w:rPr>
        <w:t>，目前，云南罗平锌电股份有限公司富乐铅锌矿已制定了《云南罗平锌电股份有限公司富乐铅锌矿环保管理制度》、《环保责任制》、《危险废物管理制度》、《危险废物贮存库出入库管理制度》、《各级人员安全环保职业健康安全生产责任制》、《各职能部门安全环保职业健康安全生产责任制》、《安全环保职业健康安全生产会议管理制度》、《安全环保职业健康安全生产投入费用管理制度》、《安全环保检查和隐患整改管理制度》、《重大危险源管理制度》、《安全环保职业健康安全生产法律法规识别、评审、更新制度》、《安全环保职业健康安全生产管理制度的评审与更新制度》、《安全环保职业健康安全生产教育与培训管理制度》、《现场安全环保监督管理办法》、《仓库安全环保管理制度》、《储罐区安全环保管理制度》、《生产安全环保事故管理制度》、《环境保护管理办法》、《环保设备设施管理制度》、《环境监测管理制度》、《废水控制管理规定》、《废气排放控制管理规定》、《固体废弃物处置管理规定》、《环境标识管理规定》、《现场环保监督管理办法》等较全面的环境管理制度。</w:t>
      </w:r>
    </w:p>
    <w:p>
      <w:pPr>
        <w:spacing w:line="360" w:lineRule="auto"/>
        <w:ind w:firstLine="510"/>
        <w:rPr>
          <w:rFonts w:hint="eastAsia" w:ascii="宋体" w:hAnsi="宋体" w:cs="宋体"/>
          <w:color w:val="000000"/>
          <w:sz w:val="24"/>
          <w:szCs w:val="24"/>
          <w:lang w:bidi="ar"/>
        </w:rPr>
      </w:pPr>
      <w:r>
        <w:rPr>
          <w:rFonts w:hint="eastAsia" w:ascii="宋体" w:hAnsi="宋体" w:cs="宋体"/>
          <w:color w:val="000000"/>
          <w:sz w:val="24"/>
          <w:szCs w:val="24"/>
          <w:lang w:bidi="ar"/>
        </w:rPr>
        <w:t>公司管理制度在云南罗平锌电股份公司制订的框架下统一管理，目前，公司环境管理相关制度较建全，但需进一步执行和落实。</w:t>
      </w:r>
    </w:p>
    <w:bookmarkEnd w:id="304"/>
    <w:p>
      <w:pPr>
        <w:pStyle w:val="5"/>
        <w:rPr>
          <w:rFonts w:hint="eastAsia"/>
          <w:color w:val="000000"/>
        </w:rPr>
      </w:pPr>
      <w:bookmarkStart w:id="315" w:name="_Toc428180750"/>
      <w:bookmarkStart w:id="316" w:name="_Toc23000888"/>
      <w:r>
        <w:rPr>
          <w:rFonts w:hint="eastAsia"/>
          <w:color w:val="000000"/>
        </w:rPr>
        <w:t>2.4.18环境管理水平现状总结</w:t>
      </w:r>
      <w:bookmarkEnd w:id="315"/>
      <w:r>
        <w:rPr>
          <w:rFonts w:hint="eastAsia"/>
          <w:color w:val="000000"/>
        </w:rPr>
        <w:t>及清洁生产潜力分析</w:t>
      </w:r>
      <w:bookmarkEnd w:id="316"/>
    </w:p>
    <w:p>
      <w:pPr>
        <w:spacing w:line="360" w:lineRule="auto"/>
        <w:ind w:firstLine="510"/>
        <w:rPr>
          <w:rFonts w:hint="eastAsia" w:ascii="宋体" w:hAnsi="宋体" w:cs="宋体"/>
          <w:b/>
          <w:color w:val="000000"/>
          <w:sz w:val="24"/>
          <w:szCs w:val="24"/>
          <w:lang w:bidi="ar"/>
        </w:rPr>
      </w:pPr>
      <w:bookmarkStart w:id="317" w:name="_Toc428180752"/>
      <w:bookmarkStart w:id="318" w:name="_Toc474018712"/>
      <w:bookmarkStart w:id="319" w:name="_Toc415316046"/>
      <w:bookmarkStart w:id="320" w:name="_Toc433361544"/>
      <w:r>
        <w:rPr>
          <w:rFonts w:hint="eastAsia" w:ascii="宋体" w:hAnsi="宋体" w:cs="宋体"/>
          <w:b/>
          <w:color w:val="000000"/>
          <w:sz w:val="24"/>
          <w:szCs w:val="24"/>
          <w:lang w:bidi="ar"/>
        </w:rPr>
        <w:t>2.4.18.1环境管理水平现状总结</w:t>
      </w:r>
    </w:p>
    <w:p>
      <w:pPr>
        <w:spacing w:line="360" w:lineRule="auto"/>
        <w:ind w:firstLine="510"/>
        <w:outlineLvl w:val="0"/>
        <w:rPr>
          <w:rFonts w:hint="eastAsia" w:ascii="宋体" w:hAnsi="宋体" w:cs="宋体"/>
          <w:color w:val="000000"/>
          <w:sz w:val="24"/>
          <w:szCs w:val="24"/>
          <w:lang w:bidi="ar"/>
        </w:rPr>
      </w:pPr>
      <w:r>
        <w:rPr>
          <w:rFonts w:hint="eastAsia" w:ascii="宋体" w:hAnsi="宋体" w:cs="宋体"/>
          <w:color w:val="000000"/>
          <w:sz w:val="24"/>
          <w:szCs w:val="24"/>
          <w:lang w:bidi="ar"/>
        </w:rPr>
        <w:t>（1）企业执行国家和地方环保法律法规情况</w:t>
      </w:r>
    </w:p>
    <w:p>
      <w:pPr>
        <w:spacing w:line="360" w:lineRule="auto"/>
        <w:ind w:firstLine="510"/>
        <w:rPr>
          <w:rFonts w:hint="eastAsia" w:ascii="宋体" w:hAnsi="宋体" w:cs="宋体"/>
          <w:color w:val="000000"/>
          <w:sz w:val="24"/>
          <w:szCs w:val="24"/>
          <w:lang w:bidi="ar"/>
        </w:rPr>
      </w:pPr>
      <w:r>
        <w:rPr>
          <w:rFonts w:hint="eastAsia" w:ascii="宋体" w:hAnsi="宋体" w:cs="宋体"/>
          <w:color w:val="000000"/>
          <w:sz w:val="24"/>
          <w:szCs w:val="24"/>
          <w:lang w:bidi="ar"/>
        </w:rPr>
        <w:t>生产严格执行国家相关的法律法规，近几年来，富乐铅锌矿补充完善了相关的环保手续，但需进一步的完善。根据现状监测，污染物达标排放，自觉接受生态环境部门的监督。</w:t>
      </w:r>
    </w:p>
    <w:p>
      <w:pPr>
        <w:spacing w:line="360" w:lineRule="auto"/>
        <w:ind w:firstLine="510"/>
        <w:outlineLvl w:val="0"/>
        <w:rPr>
          <w:rFonts w:ascii="宋体" w:hAnsi="宋体" w:cs="宋体"/>
          <w:color w:val="000000"/>
          <w:sz w:val="24"/>
          <w:szCs w:val="24"/>
          <w:lang w:bidi="ar"/>
        </w:rPr>
      </w:pPr>
      <w:r>
        <w:rPr>
          <w:rFonts w:hint="eastAsia" w:ascii="宋体" w:hAnsi="宋体" w:cs="宋体"/>
          <w:color w:val="000000"/>
          <w:sz w:val="24"/>
          <w:szCs w:val="24"/>
          <w:lang w:bidi="ar"/>
        </w:rPr>
        <w:t>（2）企业环境管理机制建立情况</w:t>
      </w:r>
    </w:p>
    <w:p>
      <w:pPr>
        <w:spacing w:line="360" w:lineRule="auto"/>
        <w:ind w:firstLine="510"/>
        <w:rPr>
          <w:rFonts w:hint="eastAsia" w:ascii="宋体" w:hAnsi="宋体" w:cs="宋体"/>
          <w:color w:val="000000"/>
          <w:sz w:val="24"/>
          <w:szCs w:val="24"/>
          <w:lang w:bidi="ar"/>
        </w:rPr>
      </w:pPr>
      <w:r>
        <w:rPr>
          <w:rFonts w:hint="eastAsia" w:ascii="宋体" w:hAnsi="宋体" w:cs="宋体"/>
          <w:color w:val="000000"/>
          <w:sz w:val="24"/>
          <w:szCs w:val="24"/>
          <w:lang w:bidi="ar"/>
        </w:rPr>
        <w:t>企业建立和完善相关的环境管理制度，但执行力不强，需要进一步强化管理职能。</w:t>
      </w:r>
    </w:p>
    <w:p>
      <w:pPr>
        <w:spacing w:line="360" w:lineRule="auto"/>
        <w:ind w:firstLine="510"/>
        <w:outlineLvl w:val="0"/>
        <w:rPr>
          <w:rFonts w:hint="eastAsia" w:ascii="宋体" w:hAnsi="宋体" w:cs="宋体"/>
          <w:color w:val="000000"/>
          <w:sz w:val="24"/>
          <w:szCs w:val="24"/>
          <w:lang w:bidi="ar"/>
        </w:rPr>
      </w:pPr>
      <w:r>
        <w:rPr>
          <w:rFonts w:hint="eastAsia" w:ascii="宋体" w:hAnsi="宋体" w:cs="宋体"/>
          <w:color w:val="000000"/>
          <w:sz w:val="24"/>
          <w:szCs w:val="24"/>
          <w:lang w:bidi="ar"/>
        </w:rPr>
        <w:t>（3）企业外排废弃物对环境的影响情况</w:t>
      </w:r>
    </w:p>
    <w:p>
      <w:pPr>
        <w:spacing w:line="360" w:lineRule="auto"/>
        <w:ind w:firstLine="510"/>
        <w:rPr>
          <w:rFonts w:hint="eastAsia" w:ascii="宋体" w:hAnsi="宋体" w:cs="宋体"/>
          <w:color w:val="000000"/>
          <w:sz w:val="24"/>
          <w:szCs w:val="24"/>
          <w:lang w:bidi="ar"/>
        </w:rPr>
      </w:pPr>
      <w:r>
        <w:rPr>
          <w:rFonts w:hint="eastAsia" w:ascii="宋体" w:hAnsi="宋体" w:cs="宋体"/>
          <w:color w:val="000000"/>
          <w:sz w:val="24"/>
          <w:szCs w:val="24"/>
          <w:lang w:bidi="ar"/>
        </w:rPr>
        <w:t>企业生产主要污染物是废水和废渣和噪声。根据企业的环保设施处理效果和环保部门相关的监测数据看，选矿废水建立了相应的处理设施，废水做到循环利用不外排；生产废渣主要是尾矿渣，尾矿渣通过陶瓷过滤器滤掉大部分水分拉到鸡西尾矿库堆存，尾矿库按要求实行“三防”处理，尾矿库堆存符合要求，管理制度完善，并制定了环境风险防控措施。</w:t>
      </w:r>
    </w:p>
    <w:p>
      <w:pPr>
        <w:spacing w:line="360" w:lineRule="auto"/>
        <w:ind w:firstLine="510"/>
        <w:outlineLvl w:val="0"/>
        <w:rPr>
          <w:rFonts w:hint="eastAsia" w:ascii="宋体" w:hAnsi="宋体" w:cs="宋体"/>
          <w:b/>
          <w:color w:val="000000"/>
          <w:sz w:val="24"/>
          <w:szCs w:val="24"/>
          <w:lang w:bidi="ar"/>
        </w:rPr>
      </w:pPr>
      <w:r>
        <w:rPr>
          <w:rFonts w:hint="eastAsia" w:ascii="宋体" w:hAnsi="宋体" w:cs="宋体"/>
          <w:b/>
          <w:color w:val="000000"/>
          <w:sz w:val="24"/>
          <w:szCs w:val="24"/>
          <w:lang w:bidi="ar"/>
        </w:rPr>
        <w:t>2.4.18.2企业清洁生产潜力分析</w:t>
      </w:r>
    </w:p>
    <w:p>
      <w:pPr>
        <w:spacing w:line="360" w:lineRule="auto"/>
        <w:ind w:firstLine="510"/>
        <w:rPr>
          <w:rFonts w:ascii="宋体" w:hAnsi="宋体" w:cs="宋体"/>
          <w:color w:val="000000"/>
          <w:sz w:val="24"/>
          <w:szCs w:val="24"/>
          <w:lang w:bidi="ar"/>
        </w:rPr>
      </w:pPr>
      <w:r>
        <w:rPr>
          <w:rFonts w:hint="eastAsia" w:ascii="宋体" w:hAnsi="宋体" w:cs="宋体"/>
          <w:color w:val="000000"/>
          <w:sz w:val="24"/>
          <w:szCs w:val="24"/>
          <w:lang w:bidi="ar"/>
        </w:rPr>
        <w:t>（1）</w:t>
      </w:r>
      <w:r>
        <w:rPr>
          <w:rFonts w:ascii="宋体" w:hAnsi="宋体" w:cs="宋体"/>
          <w:color w:val="000000"/>
          <w:sz w:val="24"/>
          <w:szCs w:val="24"/>
          <w:lang w:bidi="ar"/>
        </w:rPr>
        <w:t>对于伴生元素的回收，企业可认真研读《金属尾矿综合利用先进适用技术目录》，可回收其中的硫、锰等元素，研究对伴生元素的回收利用，减少资源浪费。</w:t>
      </w:r>
    </w:p>
    <w:p>
      <w:pPr>
        <w:autoSpaceDE w:val="0"/>
        <w:autoSpaceDN w:val="0"/>
        <w:adjustRightInd w:val="0"/>
        <w:spacing w:line="360" w:lineRule="auto"/>
        <w:ind w:firstLine="480" w:firstLineChars="200"/>
        <w:jc w:val="left"/>
        <w:rPr>
          <w:rFonts w:hint="eastAsia" w:ascii="宋体" w:hAnsi="宋体" w:cs="宋体"/>
          <w:color w:val="000000"/>
          <w:kern w:val="0"/>
          <w:sz w:val="24"/>
          <w:szCs w:val="24"/>
        </w:rPr>
      </w:pPr>
      <w:r>
        <w:rPr>
          <w:rFonts w:hint="eastAsia" w:ascii="宋体" w:cs="宋体"/>
          <w:color w:val="000000"/>
          <w:kern w:val="0"/>
          <w:sz w:val="24"/>
          <w:szCs w:val="24"/>
        </w:rPr>
        <w:t>（2）</w:t>
      </w:r>
      <w:r>
        <w:rPr>
          <w:rFonts w:hint="eastAsia" w:ascii="宋体" w:hAnsi="宋体" w:cs="宋体"/>
          <w:color w:val="000000"/>
          <w:kern w:val="0"/>
          <w:sz w:val="24"/>
          <w:szCs w:val="24"/>
        </w:rPr>
        <w:t>出厂</w:t>
      </w:r>
      <w:r>
        <w:rPr>
          <w:rFonts w:hint="eastAsia" w:ascii="宋体" w:cs="宋体"/>
          <w:color w:val="000000"/>
          <w:kern w:val="0"/>
          <w:sz w:val="24"/>
          <w:szCs w:val="24"/>
        </w:rPr>
        <w:t>运输车</w:t>
      </w:r>
      <w:r>
        <w:rPr>
          <w:rFonts w:hint="eastAsia" w:ascii="宋体" w:hAnsi="宋体" w:cs="宋体"/>
          <w:color w:val="000000"/>
          <w:kern w:val="0"/>
          <w:sz w:val="24"/>
          <w:szCs w:val="24"/>
        </w:rPr>
        <w:t>尚未进行严格的清洗，尚未建立车辆清洗糟，车辆必需进行彻底清洗后方可离厂</w:t>
      </w:r>
      <w:r>
        <w:rPr>
          <w:rFonts w:ascii="宋体" w:hAnsi="宋体" w:cs="宋体"/>
          <w:color w:val="000000"/>
          <w:kern w:val="0"/>
          <w:sz w:val="24"/>
          <w:szCs w:val="24"/>
        </w:rPr>
        <w:t>，</w:t>
      </w:r>
      <w:r>
        <w:rPr>
          <w:rFonts w:hint="eastAsia" w:ascii="宋体" w:hAnsi="宋体" w:cs="宋体"/>
          <w:color w:val="000000"/>
          <w:kern w:val="0"/>
          <w:sz w:val="24"/>
          <w:szCs w:val="24"/>
        </w:rPr>
        <w:t>避免因车辆携带而污染周边环境</w:t>
      </w:r>
      <w:r>
        <w:rPr>
          <w:rFonts w:ascii="宋体" w:hAnsi="宋体" w:cs="宋体"/>
          <w:color w:val="000000"/>
          <w:kern w:val="0"/>
          <w:sz w:val="24"/>
          <w:szCs w:val="24"/>
        </w:rPr>
        <w:t>，</w:t>
      </w:r>
      <w:r>
        <w:rPr>
          <w:rFonts w:hint="eastAsia" w:ascii="宋体" w:hAnsi="宋体" w:cs="宋体"/>
          <w:color w:val="000000"/>
          <w:kern w:val="0"/>
          <w:sz w:val="24"/>
          <w:szCs w:val="24"/>
        </w:rPr>
        <w:t>冲洗废水应统一收集后排至厂区污水处理站处理</w:t>
      </w:r>
      <w:r>
        <w:rPr>
          <w:rFonts w:ascii="宋体" w:hAnsi="宋体" w:cs="宋体"/>
          <w:color w:val="000000"/>
          <w:kern w:val="0"/>
          <w:sz w:val="24"/>
          <w:szCs w:val="24"/>
        </w:rPr>
        <w:t>。</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（3）雨污分流系统未完善，容易造成雨污混流。</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（4）精矿库堆存设施未完善，需进行整改维护。</w:t>
      </w:r>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（5）污水应急池设置不合规范，并且损毁严重，需要扩大加固和防渗处理。</w:t>
      </w:r>
    </w:p>
    <w:p>
      <w:pPr>
        <w:spacing w:line="360" w:lineRule="auto"/>
        <w:ind w:firstLine="510"/>
        <w:rPr>
          <w:rFonts w:hint="eastAsia" w:ascii="宋体" w:hAnsi="宋体" w:cs="宋体"/>
          <w:color w:val="000000"/>
          <w:sz w:val="24"/>
          <w:szCs w:val="24"/>
          <w:lang w:bidi="ar"/>
        </w:rPr>
      </w:pPr>
      <w:r>
        <w:rPr>
          <w:rFonts w:hint="eastAsia" w:ascii="宋体" w:hAnsi="宋体" w:cs="宋体"/>
          <w:color w:val="000000"/>
          <w:sz w:val="24"/>
          <w:szCs w:val="24"/>
          <w:lang w:bidi="ar"/>
        </w:rPr>
        <w:t>（6）选矿药水应加强管理，投药配药工序没采取相应的安全防护措施，对员工的生产操作带来一定的影响。</w:t>
      </w:r>
    </w:p>
    <w:p>
      <w:pPr>
        <w:spacing w:line="360" w:lineRule="auto"/>
        <w:ind w:firstLine="510"/>
        <w:rPr>
          <w:rFonts w:hint="eastAsia" w:ascii="宋体" w:hAnsi="宋体" w:cs="宋体"/>
          <w:color w:val="000000"/>
          <w:sz w:val="24"/>
          <w:szCs w:val="24"/>
          <w:lang w:bidi="ar"/>
        </w:rPr>
      </w:pPr>
      <w:r>
        <w:rPr>
          <w:rFonts w:hint="eastAsia" w:ascii="宋体" w:hAnsi="宋体" w:cs="宋体"/>
          <w:color w:val="000000"/>
          <w:sz w:val="24"/>
          <w:szCs w:val="24"/>
          <w:lang w:bidi="ar"/>
        </w:rPr>
        <w:t>（7）加强对尾矿库的巡视，严格管理。</w:t>
      </w:r>
    </w:p>
    <w:p>
      <w:pPr>
        <w:pStyle w:val="4"/>
        <w:rPr>
          <w:rFonts w:hint="eastAsia"/>
          <w:color w:val="000000"/>
        </w:rPr>
      </w:pPr>
      <w:bookmarkStart w:id="321" w:name="_Toc23000889"/>
      <w:r>
        <w:rPr>
          <w:rFonts w:hint="eastAsia"/>
          <w:color w:val="000000"/>
        </w:rPr>
        <w:t>2.5企业各项指标与国家清洁生产标准对比</w:t>
      </w:r>
      <w:bookmarkEnd w:id="317"/>
      <w:bookmarkEnd w:id="318"/>
      <w:bookmarkEnd w:id="321"/>
    </w:p>
    <w:p>
      <w:pPr>
        <w:spacing w:line="360" w:lineRule="auto"/>
        <w:ind w:firstLine="480" w:firstLineChars="200"/>
        <w:rPr>
          <w:rFonts w:hint="eastAsia"/>
          <w:color w:val="000000"/>
          <w:sz w:val="24"/>
          <w:szCs w:val="24"/>
        </w:rPr>
      </w:pPr>
      <w:r>
        <w:rPr>
          <w:color w:val="000000"/>
          <w:sz w:val="24"/>
          <w:szCs w:val="24"/>
        </w:rPr>
        <w:t>评价企业清洁生产水平可以通过清洁生产指标体系对企业进行定量化和定性化评价，清洁生产评价指标的权重是指衡量该项指标在整个清洁生产评价指标体系中所占的比重。它原则上是根据该项指标对</w:t>
      </w:r>
      <w:r>
        <w:rPr>
          <w:rFonts w:hint="eastAsia"/>
          <w:color w:val="000000"/>
          <w:sz w:val="24"/>
          <w:szCs w:val="24"/>
        </w:rPr>
        <w:t>铅锌</w:t>
      </w:r>
      <w:r>
        <w:rPr>
          <w:color w:val="000000"/>
          <w:sz w:val="24"/>
          <w:szCs w:val="24"/>
        </w:rPr>
        <w:t>行业清洁生产水平影响程度的大小及其实施的难易程度来确定。清洁生产评价指标选用</w:t>
      </w:r>
      <w:r>
        <w:rPr>
          <w:rFonts w:hint="eastAsia"/>
          <w:color w:val="000000"/>
          <w:sz w:val="24"/>
          <w:szCs w:val="24"/>
        </w:rPr>
        <w:t>国家发展和改革委员会、环保部、工业和信息化部2015年颁布的《铅锌采选行业清洁生产评价指标体系》，和公司</w:t>
      </w:r>
      <w:r>
        <w:rPr>
          <w:rFonts w:hint="eastAsia" w:ascii="宋体" w:hAnsi="宋体"/>
          <w:color w:val="000000"/>
          <w:sz w:val="24"/>
          <w:szCs w:val="24"/>
        </w:rPr>
        <w:t>的工艺指标、产污和排污指标等进行对比，详见表2－41.</w:t>
      </w:r>
    </w:p>
    <w:p>
      <w:pPr>
        <w:shd w:val="clear" w:color="auto" w:fill="FFFFFF"/>
        <w:spacing w:line="360" w:lineRule="auto"/>
        <w:ind w:firstLine="480" w:firstLineChars="200"/>
        <w:rPr>
          <w:rFonts w:hint="eastAsia" w:ascii="宋体" w:hAnsi="宋体"/>
          <w:color w:val="000000"/>
          <w:sz w:val="24"/>
        </w:rPr>
      </w:pPr>
    </w:p>
    <w:p>
      <w:pPr>
        <w:shd w:val="clear" w:color="auto" w:fill="FFFFFF"/>
        <w:spacing w:line="360" w:lineRule="auto"/>
        <w:ind w:firstLine="480" w:firstLineChars="200"/>
        <w:rPr>
          <w:rFonts w:hint="eastAsia" w:ascii="宋体" w:hAnsi="宋体"/>
          <w:color w:val="000000"/>
          <w:sz w:val="24"/>
        </w:rPr>
      </w:pPr>
    </w:p>
    <w:p>
      <w:pPr>
        <w:shd w:val="clear" w:color="auto" w:fill="FFFFFF"/>
        <w:spacing w:line="360" w:lineRule="auto"/>
        <w:ind w:firstLine="480" w:firstLineChars="200"/>
        <w:rPr>
          <w:rFonts w:hint="eastAsia" w:ascii="宋体" w:hAnsi="宋体"/>
          <w:color w:val="000000"/>
          <w:sz w:val="24"/>
        </w:rPr>
      </w:pPr>
    </w:p>
    <w:p>
      <w:pPr>
        <w:shd w:val="clear" w:color="auto" w:fill="FFFFFF"/>
        <w:spacing w:line="360" w:lineRule="auto"/>
        <w:ind w:firstLine="480" w:firstLineChars="200"/>
        <w:rPr>
          <w:rFonts w:ascii="宋体" w:hAnsi="宋体"/>
          <w:color w:val="000000"/>
          <w:sz w:val="24"/>
        </w:rPr>
        <w:sectPr>
          <w:pgSz w:w="11906" w:h="16838"/>
          <w:pgMar w:top="1247" w:right="1418" w:bottom="1247" w:left="1418" w:header="720" w:footer="720" w:gutter="0"/>
          <w:cols w:space="720" w:num="1"/>
          <w:titlePg/>
        </w:sectPr>
      </w:pPr>
    </w:p>
    <w:p>
      <w:pPr>
        <w:spacing w:line="360" w:lineRule="auto"/>
        <w:jc w:val="center"/>
        <w:rPr>
          <w:rFonts w:hint="eastAsia"/>
          <w:b/>
          <w:color w:val="000000"/>
          <w:sz w:val="24"/>
        </w:rPr>
      </w:pPr>
      <w:r>
        <w:rPr>
          <w:rFonts w:hint="eastAsia"/>
          <w:b/>
          <w:color w:val="000000"/>
          <w:sz w:val="24"/>
        </w:rPr>
        <w:t>表2-41    铅锌采选行业清洁生产评价指标体系(审核前2018年12月)</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815"/>
        <w:gridCol w:w="1051"/>
        <w:gridCol w:w="2589"/>
        <w:gridCol w:w="1109"/>
        <w:gridCol w:w="1107"/>
        <w:gridCol w:w="1800"/>
        <w:gridCol w:w="1473"/>
        <w:gridCol w:w="157"/>
        <w:gridCol w:w="1954"/>
        <w:gridCol w:w="970"/>
        <w:gridCol w:w="8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blHeader/>
        </w:trPr>
        <w:tc>
          <w:tcPr>
            <w:tcW w:w="223" w:type="pct"/>
            <w:noWrap w:val="0"/>
            <w:vAlign w:val="top"/>
          </w:tcPr>
          <w:p>
            <w:pPr>
              <w:spacing w:line="280" w:lineRule="exact"/>
              <w:jc w:val="center"/>
              <w:rPr>
                <w:rFonts w:hint="eastAsia"/>
                <w:color w:val="000000"/>
                <w:sz w:val="18"/>
                <w:szCs w:val="18"/>
              </w:rPr>
            </w:pPr>
            <w:r>
              <w:rPr>
                <w:color w:val="000000"/>
                <w:sz w:val="18"/>
                <w:szCs w:val="18"/>
              </w:rPr>
              <w:t>序号</w:t>
            </w:r>
          </w:p>
        </w:tc>
        <w:tc>
          <w:tcPr>
            <w:tcW w:w="280" w:type="pct"/>
            <w:noWrap w:val="0"/>
            <w:vAlign w:val="top"/>
          </w:tcPr>
          <w:p>
            <w:pPr>
              <w:spacing w:line="280" w:lineRule="exact"/>
              <w:jc w:val="center"/>
              <w:rPr>
                <w:rFonts w:hint="eastAsia"/>
                <w:color w:val="000000"/>
                <w:sz w:val="18"/>
                <w:szCs w:val="18"/>
              </w:rPr>
            </w:pPr>
            <w:r>
              <w:rPr>
                <w:color w:val="000000"/>
                <w:sz w:val="18"/>
                <w:szCs w:val="18"/>
              </w:rPr>
              <w:t>一级</w:t>
            </w:r>
          </w:p>
          <w:p>
            <w:pPr>
              <w:spacing w:line="280" w:lineRule="exact"/>
              <w:jc w:val="center"/>
              <w:rPr>
                <w:rFonts w:hint="eastAsia"/>
                <w:color w:val="000000"/>
                <w:sz w:val="18"/>
                <w:szCs w:val="18"/>
              </w:rPr>
            </w:pPr>
            <w:r>
              <w:rPr>
                <w:color w:val="000000"/>
                <w:sz w:val="18"/>
                <w:szCs w:val="18"/>
              </w:rPr>
              <w:t>指标</w:t>
            </w:r>
          </w:p>
        </w:tc>
        <w:tc>
          <w:tcPr>
            <w:tcW w:w="361" w:type="pct"/>
            <w:noWrap w:val="0"/>
            <w:vAlign w:val="top"/>
          </w:tcPr>
          <w:p>
            <w:pPr>
              <w:spacing w:line="280" w:lineRule="exact"/>
              <w:jc w:val="center"/>
              <w:rPr>
                <w:rFonts w:hint="eastAsia"/>
                <w:color w:val="000000"/>
                <w:sz w:val="18"/>
                <w:szCs w:val="18"/>
              </w:rPr>
            </w:pPr>
            <w:r>
              <w:rPr>
                <w:color w:val="000000"/>
                <w:sz w:val="18"/>
                <w:szCs w:val="18"/>
              </w:rPr>
              <w:t>一级指标权重值</w:t>
            </w:r>
          </w:p>
        </w:tc>
        <w:tc>
          <w:tcPr>
            <w:tcW w:w="889" w:type="pct"/>
            <w:noWrap w:val="0"/>
            <w:vAlign w:val="top"/>
          </w:tcPr>
          <w:p>
            <w:pPr>
              <w:spacing w:line="280" w:lineRule="exact"/>
              <w:jc w:val="center"/>
              <w:rPr>
                <w:rFonts w:hint="eastAsia"/>
                <w:color w:val="000000"/>
                <w:sz w:val="18"/>
                <w:szCs w:val="18"/>
              </w:rPr>
            </w:pPr>
            <w:r>
              <w:rPr>
                <w:color w:val="000000"/>
                <w:sz w:val="18"/>
                <w:szCs w:val="18"/>
              </w:rPr>
              <w:t>二级指标</w:t>
            </w:r>
          </w:p>
        </w:tc>
        <w:tc>
          <w:tcPr>
            <w:tcW w:w="381" w:type="pct"/>
            <w:noWrap w:val="0"/>
            <w:vAlign w:val="top"/>
          </w:tcPr>
          <w:p>
            <w:pPr>
              <w:spacing w:line="280" w:lineRule="exact"/>
              <w:jc w:val="center"/>
              <w:rPr>
                <w:rFonts w:hint="eastAsia"/>
                <w:color w:val="000000"/>
                <w:sz w:val="18"/>
                <w:szCs w:val="18"/>
              </w:rPr>
            </w:pPr>
            <w:r>
              <w:rPr>
                <w:color w:val="000000"/>
                <w:sz w:val="18"/>
                <w:szCs w:val="18"/>
              </w:rPr>
              <w:t>单位</w:t>
            </w:r>
          </w:p>
        </w:tc>
        <w:tc>
          <w:tcPr>
            <w:tcW w:w="380" w:type="pct"/>
            <w:noWrap w:val="0"/>
            <w:vAlign w:val="top"/>
          </w:tcPr>
          <w:p>
            <w:pPr>
              <w:spacing w:line="280" w:lineRule="exact"/>
              <w:jc w:val="center"/>
              <w:rPr>
                <w:rFonts w:hint="eastAsia"/>
                <w:color w:val="000000"/>
                <w:sz w:val="18"/>
                <w:szCs w:val="18"/>
              </w:rPr>
            </w:pPr>
            <w:r>
              <w:rPr>
                <w:color w:val="000000"/>
                <w:sz w:val="18"/>
                <w:szCs w:val="18"/>
              </w:rPr>
              <w:t>二级指标权重值</w:t>
            </w:r>
          </w:p>
        </w:tc>
        <w:tc>
          <w:tcPr>
            <w:tcW w:w="618"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Ⅰ</w:t>
            </w:r>
            <w:r>
              <w:rPr>
                <w:color w:val="000000"/>
                <w:sz w:val="18"/>
                <w:szCs w:val="18"/>
              </w:rPr>
              <w:t>级基准值</w:t>
            </w:r>
          </w:p>
        </w:tc>
        <w:tc>
          <w:tcPr>
            <w:tcW w:w="560" w:type="pct"/>
            <w:gridSpan w:val="2"/>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Ⅱ</w:t>
            </w:r>
            <w:r>
              <w:rPr>
                <w:color w:val="000000"/>
                <w:sz w:val="18"/>
                <w:szCs w:val="18"/>
              </w:rPr>
              <w:t>级基准值</w:t>
            </w:r>
          </w:p>
        </w:tc>
        <w:tc>
          <w:tcPr>
            <w:tcW w:w="671"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Ⅲ</w:t>
            </w:r>
            <w:r>
              <w:rPr>
                <w:color w:val="000000"/>
                <w:sz w:val="18"/>
                <w:szCs w:val="18"/>
              </w:rPr>
              <w:t>级基准值</w:t>
            </w:r>
          </w:p>
        </w:tc>
        <w:tc>
          <w:tcPr>
            <w:tcW w:w="333" w:type="pct"/>
            <w:noWrap w:val="0"/>
            <w:vAlign w:val="top"/>
          </w:tcPr>
          <w:p>
            <w:pPr>
              <w:spacing w:line="280" w:lineRule="exact"/>
              <w:rPr>
                <w:rFonts w:hint="eastAsia"/>
                <w:color w:val="000000"/>
                <w:sz w:val="18"/>
                <w:szCs w:val="18"/>
              </w:rPr>
            </w:pPr>
            <w:r>
              <w:rPr>
                <w:rFonts w:hint="eastAsia"/>
                <w:color w:val="000000"/>
                <w:sz w:val="18"/>
                <w:szCs w:val="18"/>
              </w:rPr>
              <w:t>公司2018年实际</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评级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w:t>
            </w:r>
          </w:p>
        </w:tc>
        <w:tc>
          <w:tcPr>
            <w:tcW w:w="280" w:type="pct"/>
            <w:vMerge w:val="restart"/>
            <w:noWrap w:val="0"/>
            <w:vAlign w:val="top"/>
          </w:tcPr>
          <w:p>
            <w:pPr>
              <w:spacing w:line="280" w:lineRule="exact"/>
              <w:rPr>
                <w:rFonts w:hint="eastAsia"/>
                <w:color w:val="000000"/>
                <w:sz w:val="18"/>
                <w:szCs w:val="18"/>
              </w:rPr>
            </w:pPr>
            <w:r>
              <w:rPr>
                <w:color w:val="000000"/>
                <w:sz w:val="18"/>
                <w:szCs w:val="18"/>
              </w:rPr>
              <w:t>生产工艺及设 备要求</w:t>
            </w:r>
          </w:p>
        </w:tc>
        <w:tc>
          <w:tcPr>
            <w:tcW w:w="361" w:type="pct"/>
            <w:vMerge w:val="restart"/>
            <w:noWrap w:val="0"/>
            <w:vAlign w:val="top"/>
          </w:tcPr>
          <w:p>
            <w:pPr>
              <w:spacing w:line="280" w:lineRule="exact"/>
              <w:jc w:val="center"/>
              <w:rPr>
                <w:rFonts w:hint="eastAsia"/>
                <w:color w:val="000000"/>
                <w:sz w:val="18"/>
                <w:szCs w:val="18"/>
              </w:rPr>
            </w:pPr>
            <w:r>
              <w:rPr>
                <w:color w:val="000000"/>
                <w:sz w:val="18"/>
                <w:szCs w:val="18"/>
              </w:rPr>
              <w:t>0.20</w:t>
            </w:r>
          </w:p>
        </w:tc>
        <w:tc>
          <w:tcPr>
            <w:tcW w:w="889" w:type="pct"/>
            <w:noWrap w:val="0"/>
            <w:vAlign w:val="top"/>
          </w:tcPr>
          <w:p>
            <w:pPr>
              <w:spacing w:line="280" w:lineRule="exact"/>
              <w:jc w:val="center"/>
              <w:rPr>
                <w:rFonts w:hint="eastAsia"/>
                <w:color w:val="000000"/>
                <w:sz w:val="18"/>
                <w:szCs w:val="18"/>
              </w:rPr>
            </w:pPr>
            <w:r>
              <w:rPr>
                <w:color w:val="000000"/>
                <w:sz w:val="18"/>
                <w:szCs w:val="18"/>
              </w:rPr>
              <w:t>采用节能设备</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0.30</w:t>
            </w:r>
          </w:p>
        </w:tc>
        <w:tc>
          <w:tcPr>
            <w:tcW w:w="1178" w:type="pct"/>
            <w:gridSpan w:val="3"/>
            <w:noWrap w:val="0"/>
            <w:vAlign w:val="top"/>
          </w:tcPr>
          <w:p>
            <w:pPr>
              <w:spacing w:line="280" w:lineRule="exact"/>
              <w:rPr>
                <w:rFonts w:hint="eastAsia"/>
                <w:color w:val="000000"/>
                <w:sz w:val="18"/>
                <w:szCs w:val="18"/>
              </w:rPr>
            </w:pPr>
            <w:r>
              <w:rPr>
                <w:color w:val="000000"/>
                <w:sz w:val="18"/>
                <w:szCs w:val="18"/>
              </w:rPr>
              <w:t>采用自动化程度高、机械性能好、效率高、能耗低的设备</w:t>
            </w:r>
          </w:p>
        </w:tc>
        <w:tc>
          <w:tcPr>
            <w:tcW w:w="671" w:type="pct"/>
            <w:noWrap w:val="0"/>
            <w:vAlign w:val="top"/>
          </w:tcPr>
          <w:p>
            <w:pPr>
              <w:spacing w:line="280" w:lineRule="exact"/>
              <w:rPr>
                <w:rFonts w:hint="eastAsia"/>
                <w:color w:val="000000"/>
                <w:sz w:val="18"/>
                <w:szCs w:val="18"/>
              </w:rPr>
            </w:pPr>
            <w:r>
              <w:rPr>
                <w:color w:val="000000"/>
                <w:sz w:val="18"/>
                <w:szCs w:val="18"/>
              </w:rPr>
              <w:t>无应淘汰的高能耗设备</w:t>
            </w:r>
          </w:p>
        </w:tc>
        <w:tc>
          <w:tcPr>
            <w:tcW w:w="333" w:type="pct"/>
            <w:noWrap w:val="0"/>
            <w:vAlign w:val="top"/>
          </w:tcPr>
          <w:p>
            <w:pPr>
              <w:spacing w:line="280" w:lineRule="exact"/>
              <w:jc w:val="center"/>
              <w:rPr>
                <w:rFonts w:hint="eastAsia"/>
                <w:color w:val="000000"/>
                <w:sz w:val="18"/>
                <w:szCs w:val="18"/>
              </w:rPr>
            </w:pP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2</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color w:val="000000"/>
                <w:sz w:val="18"/>
                <w:szCs w:val="18"/>
              </w:rPr>
              <w:t>选择合理选矿工艺</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0.35</w:t>
            </w:r>
          </w:p>
        </w:tc>
        <w:tc>
          <w:tcPr>
            <w:tcW w:w="1178" w:type="pct"/>
            <w:gridSpan w:val="3"/>
            <w:noWrap w:val="0"/>
            <w:vAlign w:val="top"/>
          </w:tcPr>
          <w:p>
            <w:pPr>
              <w:spacing w:line="280" w:lineRule="exact"/>
              <w:rPr>
                <w:rFonts w:hint="eastAsia"/>
                <w:color w:val="000000"/>
                <w:sz w:val="18"/>
                <w:szCs w:val="18"/>
              </w:rPr>
            </w:pPr>
            <w:r>
              <w:rPr>
                <w:color w:val="000000"/>
                <w:sz w:val="18"/>
                <w:szCs w:val="18"/>
              </w:rPr>
              <w:t>采用先进的选矿工艺和选矿技术</w:t>
            </w:r>
          </w:p>
        </w:tc>
        <w:tc>
          <w:tcPr>
            <w:tcW w:w="671" w:type="pct"/>
            <w:noWrap w:val="0"/>
            <w:vAlign w:val="top"/>
          </w:tcPr>
          <w:p>
            <w:pPr>
              <w:spacing w:line="280" w:lineRule="exact"/>
              <w:rPr>
                <w:rFonts w:hint="eastAsia"/>
                <w:color w:val="000000"/>
                <w:sz w:val="18"/>
                <w:szCs w:val="18"/>
              </w:rPr>
            </w:pPr>
            <w:r>
              <w:rPr>
                <w:color w:val="000000"/>
                <w:sz w:val="18"/>
                <w:szCs w:val="18"/>
              </w:rPr>
              <w:t>选矿工艺、技术符合清洁生产要求</w:t>
            </w:r>
          </w:p>
        </w:tc>
        <w:tc>
          <w:tcPr>
            <w:tcW w:w="333" w:type="pct"/>
            <w:noWrap w:val="0"/>
            <w:vAlign w:val="top"/>
          </w:tcPr>
          <w:p>
            <w:pPr>
              <w:spacing w:line="280" w:lineRule="exact"/>
              <w:jc w:val="center"/>
              <w:rPr>
                <w:rFonts w:hint="eastAsia"/>
                <w:color w:val="000000"/>
                <w:sz w:val="18"/>
                <w:szCs w:val="18"/>
              </w:rPr>
            </w:pP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3</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color w:val="000000"/>
                <w:sz w:val="18"/>
                <w:szCs w:val="18"/>
              </w:rPr>
              <w:t>选矿设备设施的完整性</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0.25</w:t>
            </w:r>
          </w:p>
        </w:tc>
        <w:tc>
          <w:tcPr>
            <w:tcW w:w="1848" w:type="pct"/>
            <w:gridSpan w:val="4"/>
            <w:noWrap w:val="0"/>
            <w:vAlign w:val="top"/>
          </w:tcPr>
          <w:p>
            <w:pPr>
              <w:spacing w:line="280" w:lineRule="exact"/>
              <w:jc w:val="center"/>
              <w:rPr>
                <w:rFonts w:hint="eastAsia"/>
                <w:color w:val="000000"/>
                <w:sz w:val="18"/>
                <w:szCs w:val="18"/>
              </w:rPr>
            </w:pPr>
            <w:r>
              <w:rPr>
                <w:color w:val="000000"/>
                <w:sz w:val="18"/>
                <w:szCs w:val="18"/>
              </w:rPr>
              <w:t>具备完整的选矿设备及配套设施</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4</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color w:val="000000"/>
                <w:sz w:val="18"/>
                <w:szCs w:val="18"/>
              </w:rPr>
              <w:t>事故性泄漏防范措施</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0.10</w:t>
            </w:r>
          </w:p>
        </w:tc>
        <w:tc>
          <w:tcPr>
            <w:tcW w:w="1848" w:type="pct"/>
            <w:gridSpan w:val="4"/>
            <w:noWrap w:val="0"/>
            <w:vAlign w:val="top"/>
          </w:tcPr>
          <w:p>
            <w:pPr>
              <w:spacing w:line="280" w:lineRule="exact"/>
              <w:jc w:val="center"/>
              <w:rPr>
                <w:rFonts w:hint="eastAsia"/>
                <w:b/>
                <w:color w:val="000000"/>
                <w:sz w:val="18"/>
                <w:szCs w:val="18"/>
              </w:rPr>
            </w:pPr>
            <w:r>
              <w:rPr>
                <w:color w:val="000000"/>
                <w:sz w:val="18"/>
                <w:szCs w:val="18"/>
              </w:rPr>
              <w:t>具备事故性泄漏防范措施</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5</w:t>
            </w:r>
          </w:p>
        </w:tc>
        <w:tc>
          <w:tcPr>
            <w:tcW w:w="280" w:type="pct"/>
            <w:vMerge w:val="restart"/>
            <w:noWrap w:val="0"/>
            <w:vAlign w:val="top"/>
          </w:tcPr>
          <w:p>
            <w:pPr>
              <w:spacing w:line="280" w:lineRule="exact"/>
              <w:rPr>
                <w:rFonts w:hint="eastAsia"/>
                <w:color w:val="000000"/>
                <w:sz w:val="18"/>
                <w:szCs w:val="18"/>
              </w:rPr>
            </w:pPr>
            <w:r>
              <w:rPr>
                <w:color w:val="000000"/>
                <w:sz w:val="18"/>
                <w:szCs w:val="18"/>
              </w:rPr>
              <w:t>资源能源消耗指标</w:t>
            </w:r>
          </w:p>
        </w:tc>
        <w:tc>
          <w:tcPr>
            <w:tcW w:w="361" w:type="pct"/>
            <w:vMerge w:val="restart"/>
            <w:noWrap w:val="0"/>
            <w:vAlign w:val="top"/>
          </w:tcPr>
          <w:p>
            <w:pPr>
              <w:spacing w:line="280" w:lineRule="exact"/>
              <w:jc w:val="center"/>
              <w:rPr>
                <w:rFonts w:hint="eastAsia"/>
                <w:color w:val="000000"/>
                <w:sz w:val="18"/>
                <w:szCs w:val="18"/>
              </w:rPr>
            </w:pPr>
            <w:r>
              <w:rPr>
                <w:color w:val="000000"/>
                <w:sz w:val="18"/>
                <w:szCs w:val="18"/>
              </w:rPr>
              <w:t>0.20</w:t>
            </w:r>
          </w:p>
        </w:tc>
        <w:tc>
          <w:tcPr>
            <w:tcW w:w="889"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w:t>
            </w:r>
            <w:r>
              <w:rPr>
                <w:color w:val="000000"/>
                <w:sz w:val="18"/>
                <w:szCs w:val="18"/>
              </w:rPr>
              <w:t>新水用量</w:t>
            </w:r>
          </w:p>
        </w:tc>
        <w:tc>
          <w:tcPr>
            <w:tcW w:w="381" w:type="pct"/>
            <w:noWrap w:val="0"/>
            <w:vAlign w:val="top"/>
          </w:tcPr>
          <w:p>
            <w:pPr>
              <w:spacing w:line="280" w:lineRule="exact"/>
              <w:jc w:val="center"/>
              <w:rPr>
                <w:rFonts w:hint="eastAsia"/>
                <w:color w:val="000000"/>
                <w:sz w:val="18"/>
                <w:szCs w:val="18"/>
              </w:rPr>
            </w:pPr>
            <w:r>
              <w:rPr>
                <w:color w:val="000000"/>
                <w:sz w:val="18"/>
                <w:szCs w:val="18"/>
              </w:rPr>
              <w:t>m</w:t>
            </w:r>
            <w:r>
              <w:rPr>
                <w:color w:val="000000"/>
                <w:sz w:val="18"/>
                <w:szCs w:val="18"/>
                <w:vertAlign w:val="superscript"/>
              </w:rPr>
              <w:t>3</w:t>
            </w:r>
            <w:r>
              <w:rPr>
                <w:color w:val="000000"/>
                <w:sz w:val="18"/>
                <w:szCs w:val="18"/>
              </w:rPr>
              <w:t>/t</w:t>
            </w:r>
          </w:p>
        </w:tc>
        <w:tc>
          <w:tcPr>
            <w:tcW w:w="380" w:type="pct"/>
            <w:noWrap w:val="0"/>
            <w:vAlign w:val="top"/>
          </w:tcPr>
          <w:p>
            <w:pPr>
              <w:spacing w:line="280" w:lineRule="exact"/>
              <w:jc w:val="center"/>
              <w:rPr>
                <w:rFonts w:hint="eastAsia"/>
                <w:color w:val="000000"/>
                <w:sz w:val="18"/>
                <w:szCs w:val="18"/>
              </w:rPr>
            </w:pPr>
            <w:r>
              <w:rPr>
                <w:color w:val="000000"/>
                <w:sz w:val="18"/>
                <w:szCs w:val="18"/>
              </w:rPr>
              <w:t>0.40</w:t>
            </w:r>
          </w:p>
        </w:tc>
        <w:tc>
          <w:tcPr>
            <w:tcW w:w="618" w:type="pct"/>
            <w:noWrap w:val="0"/>
            <w:vAlign w:val="top"/>
          </w:tcPr>
          <w:p>
            <w:pPr>
              <w:spacing w:line="280" w:lineRule="exact"/>
              <w:jc w:val="center"/>
              <w:rPr>
                <w:rFonts w:hint="eastAsia"/>
                <w:color w:val="000000"/>
                <w:sz w:val="18"/>
                <w:szCs w:val="18"/>
              </w:rPr>
            </w:pPr>
            <w:r>
              <w:rPr>
                <w:color w:val="000000"/>
                <w:sz w:val="18"/>
                <w:szCs w:val="18"/>
              </w:rPr>
              <w:t>≤1</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.0 ≤1.2</w:t>
            </w:r>
          </w:p>
        </w:tc>
        <w:tc>
          <w:tcPr>
            <w:tcW w:w="671" w:type="pct"/>
            <w:noWrap w:val="0"/>
            <w:vAlign w:val="top"/>
          </w:tcPr>
          <w:p>
            <w:pPr>
              <w:spacing w:line="280" w:lineRule="exact"/>
              <w:jc w:val="center"/>
              <w:rPr>
                <w:rFonts w:hint="eastAsia"/>
                <w:color w:val="000000"/>
                <w:sz w:val="18"/>
                <w:szCs w:val="18"/>
              </w:rPr>
            </w:pPr>
            <w:r>
              <w:rPr>
                <w:color w:val="000000"/>
                <w:sz w:val="18"/>
                <w:szCs w:val="18"/>
              </w:rPr>
              <w:t>≤1.5 6</w:t>
            </w:r>
          </w:p>
        </w:tc>
        <w:tc>
          <w:tcPr>
            <w:tcW w:w="333" w:type="pct"/>
            <w:noWrap w:val="0"/>
            <w:vAlign w:val="top"/>
          </w:tcPr>
          <w:p>
            <w:pPr>
              <w:spacing w:line="280" w:lineRule="exact"/>
              <w:jc w:val="center"/>
              <w:rPr>
                <w:color w:val="000000"/>
                <w:sz w:val="18"/>
                <w:szCs w:val="18"/>
              </w:rPr>
            </w:pPr>
            <w:r>
              <w:rPr>
                <w:rFonts w:hint="eastAsia"/>
                <w:color w:val="000000"/>
                <w:sz w:val="18"/>
                <w:szCs w:val="18"/>
              </w:rPr>
              <w:t>1.49</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rFonts w:hint="eastAsia"/>
                <w:color w:val="000000"/>
                <w:sz w:val="18"/>
                <w:szCs w:val="18"/>
              </w:rPr>
              <w:t>6</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color w:val="000000"/>
                <w:sz w:val="18"/>
                <w:szCs w:val="18"/>
              </w:rPr>
              <w:t>电耗</w:t>
            </w:r>
          </w:p>
        </w:tc>
        <w:tc>
          <w:tcPr>
            <w:tcW w:w="381" w:type="pct"/>
            <w:noWrap w:val="0"/>
            <w:vAlign w:val="top"/>
          </w:tcPr>
          <w:p>
            <w:pPr>
              <w:spacing w:line="280" w:lineRule="exact"/>
              <w:jc w:val="center"/>
              <w:rPr>
                <w:rFonts w:hint="eastAsia"/>
                <w:color w:val="000000"/>
                <w:sz w:val="15"/>
                <w:szCs w:val="15"/>
              </w:rPr>
            </w:pPr>
            <w:r>
              <w:rPr>
                <w:color w:val="000000"/>
                <w:sz w:val="15"/>
                <w:szCs w:val="15"/>
              </w:rPr>
              <w:t>k·Wh/t原矿</w:t>
            </w:r>
          </w:p>
        </w:tc>
        <w:tc>
          <w:tcPr>
            <w:tcW w:w="380" w:type="pct"/>
            <w:noWrap w:val="0"/>
            <w:vAlign w:val="top"/>
          </w:tcPr>
          <w:p>
            <w:pPr>
              <w:spacing w:line="280" w:lineRule="exact"/>
              <w:jc w:val="center"/>
              <w:rPr>
                <w:rFonts w:hint="eastAsia"/>
                <w:color w:val="000000"/>
                <w:sz w:val="18"/>
                <w:szCs w:val="18"/>
              </w:rPr>
            </w:pPr>
            <w:r>
              <w:rPr>
                <w:color w:val="000000"/>
                <w:sz w:val="18"/>
                <w:szCs w:val="18"/>
              </w:rPr>
              <w:t>0.40</w:t>
            </w:r>
          </w:p>
        </w:tc>
        <w:tc>
          <w:tcPr>
            <w:tcW w:w="618" w:type="pct"/>
            <w:noWrap w:val="0"/>
            <w:vAlign w:val="top"/>
          </w:tcPr>
          <w:p>
            <w:pPr>
              <w:spacing w:line="280" w:lineRule="exact"/>
              <w:jc w:val="center"/>
              <w:rPr>
                <w:rFonts w:hint="eastAsia"/>
                <w:color w:val="000000"/>
                <w:sz w:val="18"/>
                <w:szCs w:val="18"/>
              </w:rPr>
            </w:pPr>
            <w:r>
              <w:rPr>
                <w:color w:val="000000"/>
                <w:sz w:val="18"/>
                <w:szCs w:val="18"/>
              </w:rPr>
              <w:t>≤28</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≤30</w:t>
            </w:r>
          </w:p>
        </w:tc>
        <w:tc>
          <w:tcPr>
            <w:tcW w:w="671" w:type="pct"/>
            <w:noWrap w:val="0"/>
            <w:vAlign w:val="top"/>
          </w:tcPr>
          <w:p>
            <w:pPr>
              <w:spacing w:line="280" w:lineRule="exact"/>
              <w:jc w:val="center"/>
              <w:rPr>
                <w:rFonts w:hint="eastAsia"/>
                <w:color w:val="000000"/>
                <w:sz w:val="18"/>
                <w:szCs w:val="18"/>
              </w:rPr>
            </w:pPr>
            <w:r>
              <w:rPr>
                <w:color w:val="000000"/>
                <w:sz w:val="18"/>
                <w:szCs w:val="18"/>
              </w:rPr>
              <w:t>≤35</w:t>
            </w:r>
          </w:p>
        </w:tc>
        <w:tc>
          <w:tcPr>
            <w:tcW w:w="333" w:type="pct"/>
            <w:noWrap w:val="0"/>
            <w:vAlign w:val="top"/>
          </w:tcPr>
          <w:p>
            <w:pPr>
              <w:spacing w:line="280" w:lineRule="exact"/>
              <w:jc w:val="center"/>
              <w:rPr>
                <w:color w:val="000000"/>
                <w:sz w:val="18"/>
                <w:szCs w:val="18"/>
              </w:rPr>
            </w:pPr>
            <w:r>
              <w:rPr>
                <w:rFonts w:hint="eastAsia"/>
                <w:color w:val="000000"/>
                <w:sz w:val="18"/>
                <w:szCs w:val="18"/>
              </w:rPr>
              <w:t>33</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rFonts w:hint="eastAsia"/>
                <w:color w:val="000000"/>
                <w:sz w:val="18"/>
                <w:szCs w:val="18"/>
              </w:rPr>
              <w:t>7</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color w:val="000000"/>
                <w:sz w:val="18"/>
                <w:szCs w:val="18"/>
              </w:rPr>
              <w:t>综合能耗</w:t>
            </w:r>
          </w:p>
        </w:tc>
        <w:tc>
          <w:tcPr>
            <w:tcW w:w="381" w:type="pct"/>
            <w:noWrap w:val="0"/>
            <w:vAlign w:val="top"/>
          </w:tcPr>
          <w:p>
            <w:pPr>
              <w:spacing w:line="280" w:lineRule="exact"/>
              <w:jc w:val="center"/>
              <w:rPr>
                <w:rFonts w:hint="eastAsia"/>
                <w:color w:val="000000"/>
                <w:sz w:val="15"/>
                <w:szCs w:val="15"/>
              </w:rPr>
            </w:pPr>
            <w:r>
              <w:rPr>
                <w:color w:val="000000"/>
                <w:sz w:val="15"/>
                <w:szCs w:val="15"/>
              </w:rPr>
              <w:t>kgce/t原 矿</w:t>
            </w:r>
          </w:p>
        </w:tc>
        <w:tc>
          <w:tcPr>
            <w:tcW w:w="380" w:type="pct"/>
            <w:noWrap w:val="0"/>
            <w:vAlign w:val="top"/>
          </w:tcPr>
          <w:p>
            <w:pPr>
              <w:spacing w:line="280" w:lineRule="exact"/>
              <w:jc w:val="center"/>
              <w:rPr>
                <w:rFonts w:hint="eastAsia"/>
                <w:color w:val="000000"/>
                <w:sz w:val="18"/>
                <w:szCs w:val="18"/>
              </w:rPr>
            </w:pPr>
            <w:r>
              <w:rPr>
                <w:color w:val="000000"/>
                <w:sz w:val="18"/>
                <w:szCs w:val="18"/>
              </w:rPr>
              <w:t>0.20</w:t>
            </w:r>
          </w:p>
        </w:tc>
        <w:tc>
          <w:tcPr>
            <w:tcW w:w="618" w:type="pct"/>
            <w:noWrap w:val="0"/>
            <w:vAlign w:val="top"/>
          </w:tcPr>
          <w:p>
            <w:pPr>
              <w:spacing w:line="280" w:lineRule="exact"/>
              <w:jc w:val="center"/>
              <w:rPr>
                <w:rFonts w:hint="eastAsia"/>
                <w:color w:val="000000"/>
                <w:sz w:val="18"/>
                <w:szCs w:val="18"/>
              </w:rPr>
            </w:pPr>
            <w:r>
              <w:rPr>
                <w:color w:val="000000"/>
                <w:sz w:val="18"/>
                <w:szCs w:val="18"/>
              </w:rPr>
              <w:t>≤6.0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≤6.5</w:t>
            </w:r>
          </w:p>
        </w:tc>
        <w:tc>
          <w:tcPr>
            <w:tcW w:w="671" w:type="pct"/>
            <w:noWrap w:val="0"/>
            <w:vAlign w:val="top"/>
          </w:tcPr>
          <w:p>
            <w:pPr>
              <w:spacing w:line="280" w:lineRule="exact"/>
              <w:jc w:val="center"/>
              <w:rPr>
                <w:rFonts w:hint="eastAsia"/>
                <w:color w:val="000000"/>
                <w:sz w:val="18"/>
                <w:szCs w:val="18"/>
              </w:rPr>
            </w:pPr>
            <w:r>
              <w:rPr>
                <w:color w:val="000000"/>
                <w:sz w:val="18"/>
                <w:szCs w:val="18"/>
              </w:rPr>
              <w:t>≤7</w:t>
            </w:r>
          </w:p>
        </w:tc>
        <w:tc>
          <w:tcPr>
            <w:tcW w:w="333" w:type="pct"/>
            <w:noWrap w:val="0"/>
            <w:vAlign w:val="top"/>
          </w:tcPr>
          <w:p>
            <w:pPr>
              <w:spacing w:line="280" w:lineRule="exact"/>
              <w:jc w:val="center"/>
              <w:rPr>
                <w:color w:val="000000"/>
                <w:sz w:val="18"/>
                <w:szCs w:val="18"/>
              </w:rPr>
            </w:pPr>
            <w:r>
              <w:rPr>
                <w:rFonts w:hint="eastAsia"/>
                <w:color w:val="000000"/>
                <w:sz w:val="18"/>
                <w:szCs w:val="18"/>
              </w:rPr>
              <w:t>4.48</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8</w:t>
            </w:r>
          </w:p>
        </w:tc>
        <w:tc>
          <w:tcPr>
            <w:tcW w:w="280" w:type="pct"/>
            <w:vMerge w:val="restart"/>
            <w:noWrap w:val="0"/>
            <w:vAlign w:val="top"/>
          </w:tcPr>
          <w:p>
            <w:pPr>
              <w:spacing w:line="280" w:lineRule="exact"/>
              <w:rPr>
                <w:rFonts w:hint="eastAsia"/>
                <w:color w:val="000000"/>
                <w:sz w:val="18"/>
                <w:szCs w:val="18"/>
              </w:rPr>
            </w:pPr>
            <w:r>
              <w:rPr>
                <w:color w:val="000000"/>
                <w:sz w:val="18"/>
                <w:szCs w:val="18"/>
              </w:rPr>
              <w:t>资源利用指标</w:t>
            </w:r>
          </w:p>
        </w:tc>
        <w:tc>
          <w:tcPr>
            <w:tcW w:w="361" w:type="pct"/>
            <w:vMerge w:val="restart"/>
            <w:noWrap w:val="0"/>
            <w:vAlign w:val="top"/>
          </w:tcPr>
          <w:p>
            <w:pPr>
              <w:spacing w:line="280" w:lineRule="exact"/>
              <w:jc w:val="center"/>
              <w:rPr>
                <w:rFonts w:hint="eastAsia"/>
                <w:color w:val="000000"/>
                <w:sz w:val="18"/>
                <w:szCs w:val="18"/>
              </w:rPr>
            </w:pPr>
            <w:r>
              <w:rPr>
                <w:color w:val="000000"/>
                <w:sz w:val="18"/>
                <w:szCs w:val="18"/>
              </w:rPr>
              <w:t>0.30</w:t>
            </w:r>
          </w:p>
        </w:tc>
        <w:tc>
          <w:tcPr>
            <w:tcW w:w="889" w:type="pct"/>
            <w:noWrap w:val="0"/>
            <w:vAlign w:val="top"/>
          </w:tcPr>
          <w:p>
            <w:pPr>
              <w:spacing w:line="280" w:lineRule="exact"/>
              <w:jc w:val="center"/>
              <w:rPr>
                <w:rFonts w:hint="eastAsia"/>
                <w:color w:val="000000"/>
                <w:sz w:val="18"/>
                <w:szCs w:val="18"/>
              </w:rPr>
            </w:pPr>
            <w:r>
              <w:rPr>
                <w:color w:val="000000"/>
                <w:sz w:val="18"/>
                <w:szCs w:val="18"/>
              </w:rPr>
              <w:t>铅选矿金属实际回收率</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0.15</w:t>
            </w:r>
          </w:p>
        </w:tc>
        <w:tc>
          <w:tcPr>
            <w:tcW w:w="618" w:type="pct"/>
            <w:noWrap w:val="0"/>
            <w:vAlign w:val="top"/>
          </w:tcPr>
          <w:p>
            <w:pPr>
              <w:spacing w:line="280" w:lineRule="exact"/>
              <w:jc w:val="center"/>
              <w:rPr>
                <w:rFonts w:hint="eastAsia"/>
                <w:color w:val="000000"/>
                <w:sz w:val="18"/>
                <w:szCs w:val="18"/>
              </w:rPr>
            </w:pPr>
            <w:r>
              <w:rPr>
                <w:color w:val="000000"/>
                <w:sz w:val="18"/>
                <w:szCs w:val="18"/>
              </w:rPr>
              <w:t>≥91.0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≥88.0</w:t>
            </w:r>
          </w:p>
        </w:tc>
        <w:tc>
          <w:tcPr>
            <w:tcW w:w="671" w:type="pct"/>
            <w:noWrap w:val="0"/>
            <w:vAlign w:val="top"/>
          </w:tcPr>
          <w:p>
            <w:pPr>
              <w:spacing w:line="280" w:lineRule="exact"/>
              <w:jc w:val="center"/>
              <w:rPr>
                <w:rFonts w:hint="eastAsia"/>
                <w:color w:val="000000"/>
                <w:sz w:val="18"/>
                <w:szCs w:val="18"/>
              </w:rPr>
            </w:pPr>
            <w:r>
              <w:rPr>
                <w:color w:val="000000"/>
                <w:sz w:val="18"/>
                <w:szCs w:val="18"/>
              </w:rPr>
              <w:t>≥85.0</w:t>
            </w:r>
          </w:p>
        </w:tc>
        <w:tc>
          <w:tcPr>
            <w:tcW w:w="333" w:type="pct"/>
            <w:noWrap w:val="0"/>
            <w:vAlign w:val="top"/>
          </w:tcPr>
          <w:p>
            <w:pPr>
              <w:spacing w:line="280" w:lineRule="exact"/>
              <w:jc w:val="center"/>
              <w:rPr>
                <w:color w:val="000000"/>
                <w:sz w:val="18"/>
                <w:szCs w:val="18"/>
              </w:rPr>
            </w:pPr>
            <w:r>
              <w:rPr>
                <w:rFonts w:hint="eastAsia"/>
                <w:color w:val="000000"/>
                <w:sz w:val="18"/>
                <w:szCs w:val="18"/>
              </w:rPr>
              <w:t>87.71</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9</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color w:val="000000"/>
                <w:sz w:val="18"/>
                <w:szCs w:val="18"/>
              </w:rPr>
              <w:t>锌选矿金属实际回收率</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0.15</w:t>
            </w:r>
          </w:p>
        </w:tc>
        <w:tc>
          <w:tcPr>
            <w:tcW w:w="618" w:type="pct"/>
            <w:noWrap w:val="0"/>
            <w:vAlign w:val="top"/>
          </w:tcPr>
          <w:p>
            <w:pPr>
              <w:spacing w:line="280" w:lineRule="exact"/>
              <w:jc w:val="center"/>
              <w:rPr>
                <w:rFonts w:hint="eastAsia"/>
                <w:color w:val="000000"/>
                <w:sz w:val="18"/>
                <w:szCs w:val="18"/>
              </w:rPr>
            </w:pPr>
            <w:r>
              <w:rPr>
                <w:color w:val="000000"/>
                <w:sz w:val="18"/>
                <w:szCs w:val="18"/>
              </w:rPr>
              <w:t>≥92.0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≥89.0</w:t>
            </w:r>
          </w:p>
        </w:tc>
        <w:tc>
          <w:tcPr>
            <w:tcW w:w="671" w:type="pct"/>
            <w:noWrap w:val="0"/>
            <w:vAlign w:val="top"/>
          </w:tcPr>
          <w:p>
            <w:pPr>
              <w:spacing w:line="280" w:lineRule="exact"/>
              <w:jc w:val="center"/>
              <w:rPr>
                <w:rFonts w:hint="eastAsia"/>
                <w:color w:val="000000"/>
                <w:sz w:val="18"/>
                <w:szCs w:val="18"/>
              </w:rPr>
            </w:pPr>
            <w:r>
              <w:rPr>
                <w:color w:val="000000"/>
                <w:sz w:val="18"/>
                <w:szCs w:val="18"/>
              </w:rPr>
              <w:t>≥87.5</w:t>
            </w:r>
          </w:p>
        </w:tc>
        <w:tc>
          <w:tcPr>
            <w:tcW w:w="333" w:type="pct"/>
            <w:noWrap w:val="0"/>
            <w:vAlign w:val="top"/>
          </w:tcPr>
          <w:p>
            <w:pPr>
              <w:spacing w:line="280" w:lineRule="exact"/>
              <w:jc w:val="center"/>
              <w:rPr>
                <w:color w:val="000000"/>
                <w:sz w:val="18"/>
                <w:szCs w:val="18"/>
              </w:rPr>
            </w:pPr>
            <w:r>
              <w:rPr>
                <w:rFonts w:hint="eastAsia"/>
                <w:color w:val="000000"/>
                <w:sz w:val="18"/>
                <w:szCs w:val="18"/>
              </w:rPr>
              <w:t>87.35</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10</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w:t>
            </w:r>
            <w:r>
              <w:rPr>
                <w:color w:val="000000"/>
                <w:sz w:val="18"/>
                <w:szCs w:val="18"/>
              </w:rPr>
              <w:t>伴生元素回收程度</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0.35</w:t>
            </w:r>
          </w:p>
        </w:tc>
        <w:tc>
          <w:tcPr>
            <w:tcW w:w="618" w:type="pct"/>
            <w:noWrap w:val="0"/>
            <w:vAlign w:val="top"/>
          </w:tcPr>
          <w:p>
            <w:pPr>
              <w:spacing w:line="280" w:lineRule="exact"/>
              <w:jc w:val="center"/>
              <w:rPr>
                <w:rFonts w:hint="eastAsia"/>
                <w:color w:val="000000"/>
                <w:sz w:val="18"/>
                <w:szCs w:val="18"/>
              </w:rPr>
            </w:pPr>
            <w:r>
              <w:rPr>
                <w:color w:val="000000"/>
                <w:sz w:val="18"/>
                <w:szCs w:val="18"/>
              </w:rPr>
              <w:t>≥70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≥60</w:t>
            </w:r>
          </w:p>
        </w:tc>
        <w:tc>
          <w:tcPr>
            <w:tcW w:w="671" w:type="pct"/>
            <w:noWrap w:val="0"/>
            <w:vAlign w:val="top"/>
          </w:tcPr>
          <w:p>
            <w:pPr>
              <w:spacing w:line="280" w:lineRule="exact"/>
              <w:jc w:val="center"/>
              <w:rPr>
                <w:rFonts w:hint="eastAsia"/>
                <w:color w:val="000000"/>
                <w:sz w:val="18"/>
                <w:szCs w:val="18"/>
              </w:rPr>
            </w:pPr>
            <w:r>
              <w:rPr>
                <w:color w:val="000000"/>
                <w:sz w:val="18"/>
                <w:szCs w:val="18"/>
              </w:rPr>
              <w:t>≥50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11</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w:t>
            </w:r>
            <w:r>
              <w:rPr>
                <w:color w:val="000000"/>
                <w:sz w:val="18"/>
                <w:szCs w:val="18"/>
              </w:rPr>
              <w:t>工业用水重复利用率</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0.20</w:t>
            </w:r>
          </w:p>
        </w:tc>
        <w:tc>
          <w:tcPr>
            <w:tcW w:w="618" w:type="pct"/>
            <w:noWrap w:val="0"/>
            <w:vAlign w:val="top"/>
          </w:tcPr>
          <w:p>
            <w:pPr>
              <w:spacing w:line="280" w:lineRule="exact"/>
              <w:jc w:val="center"/>
              <w:rPr>
                <w:rFonts w:hint="eastAsia"/>
                <w:color w:val="000000"/>
                <w:sz w:val="18"/>
                <w:szCs w:val="18"/>
              </w:rPr>
            </w:pPr>
            <w:r>
              <w:rPr>
                <w:color w:val="000000"/>
                <w:sz w:val="18"/>
                <w:szCs w:val="18"/>
              </w:rPr>
              <w:t>≥85</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≥83</w:t>
            </w:r>
          </w:p>
        </w:tc>
        <w:tc>
          <w:tcPr>
            <w:tcW w:w="671" w:type="pct"/>
            <w:noWrap w:val="0"/>
            <w:vAlign w:val="top"/>
          </w:tcPr>
          <w:p>
            <w:pPr>
              <w:spacing w:line="280" w:lineRule="exact"/>
              <w:jc w:val="center"/>
              <w:rPr>
                <w:rFonts w:hint="eastAsia"/>
                <w:color w:val="000000"/>
                <w:sz w:val="18"/>
                <w:szCs w:val="18"/>
              </w:rPr>
            </w:pPr>
            <w:r>
              <w:rPr>
                <w:color w:val="000000"/>
                <w:sz w:val="18"/>
                <w:szCs w:val="18"/>
              </w:rPr>
              <w:t>≥80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82.85</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12</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rFonts w:hint="eastAsia"/>
                <w:color w:val="000000"/>
                <w:sz w:val="18"/>
                <w:szCs w:val="18"/>
              </w:rPr>
            </w:pPr>
            <w:r>
              <w:rPr>
                <w:color w:val="000000"/>
                <w:sz w:val="18"/>
                <w:szCs w:val="18"/>
              </w:rPr>
              <w:t>尾矿综合利用率（地下矿山）</w:t>
            </w:r>
          </w:p>
        </w:tc>
        <w:tc>
          <w:tcPr>
            <w:tcW w:w="381" w:type="pct"/>
            <w:noWrap w:val="0"/>
            <w:vAlign w:val="top"/>
          </w:tcPr>
          <w:p>
            <w:pPr>
              <w:spacing w:line="280" w:lineRule="exact"/>
              <w:jc w:val="center"/>
              <w:rPr>
                <w:rFonts w:hint="eastAsia"/>
                <w:color w:val="000000"/>
                <w:sz w:val="18"/>
                <w:szCs w:val="18"/>
              </w:rPr>
            </w:pPr>
            <w:r>
              <w:rPr>
                <w:color w:val="000000"/>
                <w:sz w:val="18"/>
                <w:szCs w:val="18"/>
              </w:rPr>
              <w:t>%</w:t>
            </w:r>
          </w:p>
        </w:tc>
        <w:tc>
          <w:tcPr>
            <w:tcW w:w="380" w:type="pct"/>
            <w:noWrap w:val="0"/>
            <w:vAlign w:val="top"/>
          </w:tcPr>
          <w:p>
            <w:pPr>
              <w:spacing w:line="280" w:lineRule="exact"/>
              <w:jc w:val="center"/>
              <w:rPr>
                <w:rFonts w:hint="eastAsia"/>
                <w:color w:val="000000"/>
                <w:sz w:val="18"/>
                <w:szCs w:val="18"/>
              </w:rPr>
            </w:pPr>
            <w:r>
              <w:rPr>
                <w:color w:val="000000"/>
                <w:sz w:val="18"/>
                <w:szCs w:val="18"/>
              </w:rPr>
              <w:t>0.15</w:t>
            </w:r>
          </w:p>
        </w:tc>
        <w:tc>
          <w:tcPr>
            <w:tcW w:w="618" w:type="pct"/>
            <w:noWrap w:val="0"/>
            <w:vAlign w:val="top"/>
          </w:tcPr>
          <w:p>
            <w:pPr>
              <w:spacing w:line="280" w:lineRule="exact"/>
              <w:jc w:val="center"/>
              <w:rPr>
                <w:rFonts w:hint="eastAsia"/>
                <w:color w:val="000000"/>
                <w:sz w:val="18"/>
                <w:szCs w:val="18"/>
              </w:rPr>
            </w:pPr>
            <w:r>
              <w:rPr>
                <w:color w:val="000000"/>
                <w:sz w:val="18"/>
                <w:szCs w:val="18"/>
              </w:rPr>
              <w:t>≥50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≥40</w:t>
            </w:r>
          </w:p>
        </w:tc>
        <w:tc>
          <w:tcPr>
            <w:tcW w:w="671" w:type="pct"/>
            <w:noWrap w:val="0"/>
            <w:vAlign w:val="top"/>
          </w:tcPr>
          <w:p>
            <w:pPr>
              <w:spacing w:line="280" w:lineRule="exact"/>
              <w:jc w:val="center"/>
              <w:rPr>
                <w:rFonts w:hint="eastAsia"/>
                <w:color w:val="000000"/>
                <w:sz w:val="18"/>
                <w:szCs w:val="18"/>
              </w:rPr>
            </w:pPr>
            <w:r>
              <w:rPr>
                <w:color w:val="000000"/>
                <w:sz w:val="18"/>
                <w:szCs w:val="18"/>
              </w:rPr>
              <w:t>≥30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70</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13</w:t>
            </w:r>
          </w:p>
        </w:tc>
        <w:tc>
          <w:tcPr>
            <w:tcW w:w="280" w:type="pct"/>
            <w:vMerge w:val="restart"/>
            <w:noWrap w:val="0"/>
            <w:vAlign w:val="top"/>
          </w:tcPr>
          <w:p>
            <w:pPr>
              <w:spacing w:line="280" w:lineRule="exact"/>
              <w:rPr>
                <w:rFonts w:hint="eastAsia"/>
                <w:color w:val="000000"/>
                <w:sz w:val="18"/>
                <w:szCs w:val="18"/>
              </w:rPr>
            </w:pPr>
            <w:r>
              <w:rPr>
                <w:color w:val="000000"/>
                <w:sz w:val="18"/>
                <w:szCs w:val="18"/>
              </w:rPr>
              <w:t>污染物产生指 标</w:t>
            </w:r>
          </w:p>
        </w:tc>
        <w:tc>
          <w:tcPr>
            <w:tcW w:w="361" w:type="pct"/>
            <w:vMerge w:val="restart"/>
            <w:noWrap w:val="0"/>
            <w:vAlign w:val="top"/>
          </w:tcPr>
          <w:p>
            <w:pPr>
              <w:spacing w:line="280" w:lineRule="exact"/>
              <w:jc w:val="center"/>
              <w:rPr>
                <w:rFonts w:hint="eastAsia"/>
                <w:color w:val="000000"/>
                <w:sz w:val="18"/>
                <w:szCs w:val="18"/>
              </w:rPr>
            </w:pPr>
            <w:r>
              <w:rPr>
                <w:color w:val="000000"/>
                <w:sz w:val="18"/>
                <w:szCs w:val="18"/>
              </w:rPr>
              <w:t>0.10</w:t>
            </w:r>
          </w:p>
        </w:tc>
        <w:tc>
          <w:tcPr>
            <w:tcW w:w="889" w:type="pct"/>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废水产生量</w:t>
            </w:r>
          </w:p>
        </w:tc>
        <w:tc>
          <w:tcPr>
            <w:tcW w:w="381" w:type="pct"/>
            <w:noWrap w:val="0"/>
            <w:vAlign w:val="top"/>
          </w:tcPr>
          <w:p>
            <w:pPr>
              <w:spacing w:line="280" w:lineRule="exact"/>
              <w:jc w:val="center"/>
              <w:rPr>
                <w:color w:val="000000"/>
                <w:sz w:val="18"/>
                <w:szCs w:val="18"/>
              </w:rPr>
            </w:pPr>
            <w:r>
              <w:rPr>
                <w:color w:val="000000"/>
                <w:sz w:val="18"/>
                <w:szCs w:val="18"/>
              </w:rPr>
              <w:t>m</w:t>
            </w:r>
            <w:r>
              <w:rPr>
                <w:color w:val="000000"/>
                <w:sz w:val="18"/>
                <w:szCs w:val="18"/>
                <w:vertAlign w:val="superscript"/>
              </w:rPr>
              <w:t>3</w:t>
            </w:r>
            <w:r>
              <w:rPr>
                <w:color w:val="000000"/>
                <w:sz w:val="18"/>
                <w:szCs w:val="18"/>
              </w:rPr>
              <w:t>/t</w:t>
            </w:r>
          </w:p>
        </w:tc>
        <w:tc>
          <w:tcPr>
            <w:tcW w:w="380" w:type="pct"/>
            <w:noWrap w:val="0"/>
            <w:vAlign w:val="top"/>
          </w:tcPr>
          <w:p>
            <w:pPr>
              <w:spacing w:line="280" w:lineRule="exact"/>
              <w:jc w:val="center"/>
              <w:rPr>
                <w:color w:val="000000"/>
                <w:sz w:val="18"/>
                <w:szCs w:val="18"/>
              </w:rPr>
            </w:pPr>
            <w:r>
              <w:rPr>
                <w:color w:val="000000"/>
                <w:sz w:val="18"/>
                <w:szCs w:val="18"/>
              </w:rPr>
              <w:t>0.25</w:t>
            </w:r>
          </w:p>
        </w:tc>
        <w:tc>
          <w:tcPr>
            <w:tcW w:w="618" w:type="pct"/>
            <w:noWrap w:val="0"/>
            <w:vAlign w:val="top"/>
          </w:tcPr>
          <w:p>
            <w:pPr>
              <w:spacing w:line="280" w:lineRule="exact"/>
              <w:jc w:val="center"/>
              <w:rPr>
                <w:color w:val="000000"/>
                <w:sz w:val="18"/>
                <w:szCs w:val="18"/>
              </w:rPr>
            </w:pPr>
            <w:r>
              <w:rPr>
                <w:color w:val="000000"/>
                <w:sz w:val="18"/>
                <w:szCs w:val="18"/>
              </w:rPr>
              <w:t>≤4.0</w:t>
            </w:r>
          </w:p>
        </w:tc>
        <w:tc>
          <w:tcPr>
            <w:tcW w:w="560" w:type="pct"/>
            <w:gridSpan w:val="2"/>
            <w:noWrap w:val="0"/>
            <w:vAlign w:val="top"/>
          </w:tcPr>
          <w:p>
            <w:pPr>
              <w:spacing w:line="280" w:lineRule="exact"/>
              <w:jc w:val="center"/>
              <w:rPr>
                <w:color w:val="000000"/>
                <w:sz w:val="18"/>
                <w:szCs w:val="18"/>
              </w:rPr>
            </w:pPr>
            <w:r>
              <w:rPr>
                <w:color w:val="000000"/>
                <w:sz w:val="18"/>
                <w:szCs w:val="18"/>
              </w:rPr>
              <w:t>≤4.2</w:t>
            </w:r>
          </w:p>
        </w:tc>
        <w:tc>
          <w:tcPr>
            <w:tcW w:w="671" w:type="pct"/>
            <w:noWrap w:val="0"/>
            <w:vAlign w:val="top"/>
          </w:tcPr>
          <w:p>
            <w:pPr>
              <w:spacing w:line="280" w:lineRule="exact"/>
              <w:jc w:val="center"/>
              <w:rPr>
                <w:color w:val="000000"/>
                <w:sz w:val="18"/>
                <w:szCs w:val="18"/>
              </w:rPr>
            </w:pPr>
            <w:r>
              <w:rPr>
                <w:color w:val="000000"/>
                <w:sz w:val="18"/>
                <w:szCs w:val="18"/>
              </w:rPr>
              <w:t>≤4.5</w:t>
            </w:r>
          </w:p>
        </w:tc>
        <w:tc>
          <w:tcPr>
            <w:tcW w:w="333" w:type="pct"/>
            <w:noWrap w:val="0"/>
            <w:vAlign w:val="top"/>
          </w:tcPr>
          <w:p>
            <w:pPr>
              <w:spacing w:line="280" w:lineRule="exact"/>
              <w:jc w:val="center"/>
              <w:rPr>
                <w:color w:val="000000"/>
                <w:sz w:val="18"/>
                <w:szCs w:val="18"/>
              </w:rPr>
            </w:pPr>
            <w:r>
              <w:rPr>
                <w:rFonts w:hint="eastAsia"/>
                <w:color w:val="000000"/>
                <w:sz w:val="18"/>
                <w:szCs w:val="18"/>
              </w:rPr>
              <w:t>1.46</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14</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废水中Pb的最高允许浓度</w:t>
            </w:r>
          </w:p>
        </w:tc>
        <w:tc>
          <w:tcPr>
            <w:tcW w:w="381" w:type="pct"/>
            <w:noWrap w:val="0"/>
            <w:vAlign w:val="top"/>
          </w:tcPr>
          <w:p>
            <w:pPr>
              <w:spacing w:line="280" w:lineRule="exact"/>
              <w:jc w:val="center"/>
              <w:rPr>
                <w:color w:val="000000"/>
                <w:sz w:val="18"/>
                <w:szCs w:val="18"/>
              </w:rPr>
            </w:pPr>
            <w:r>
              <w:rPr>
                <w:color w:val="000000"/>
                <w:sz w:val="18"/>
                <w:szCs w:val="18"/>
              </w:rPr>
              <w:t>mg/l</w:t>
            </w:r>
          </w:p>
        </w:tc>
        <w:tc>
          <w:tcPr>
            <w:tcW w:w="380" w:type="pct"/>
            <w:noWrap w:val="0"/>
            <w:vAlign w:val="top"/>
          </w:tcPr>
          <w:p>
            <w:pPr>
              <w:spacing w:line="280" w:lineRule="exact"/>
              <w:jc w:val="center"/>
              <w:rPr>
                <w:color w:val="000000"/>
                <w:sz w:val="18"/>
                <w:szCs w:val="18"/>
              </w:rPr>
            </w:pPr>
            <w:r>
              <w:rPr>
                <w:color w:val="000000"/>
                <w:sz w:val="18"/>
                <w:szCs w:val="18"/>
              </w:rPr>
              <w:t>0.15</w:t>
            </w:r>
          </w:p>
        </w:tc>
        <w:tc>
          <w:tcPr>
            <w:tcW w:w="618" w:type="pct"/>
            <w:noWrap w:val="0"/>
            <w:vAlign w:val="top"/>
          </w:tcPr>
          <w:p>
            <w:pPr>
              <w:spacing w:line="280" w:lineRule="exact"/>
              <w:jc w:val="center"/>
              <w:rPr>
                <w:color w:val="000000"/>
                <w:sz w:val="18"/>
                <w:szCs w:val="18"/>
              </w:rPr>
            </w:pPr>
            <w:r>
              <w:rPr>
                <w:color w:val="000000"/>
                <w:sz w:val="18"/>
                <w:szCs w:val="18"/>
              </w:rPr>
              <w:t>≤0.40</w:t>
            </w:r>
          </w:p>
        </w:tc>
        <w:tc>
          <w:tcPr>
            <w:tcW w:w="560" w:type="pct"/>
            <w:gridSpan w:val="2"/>
            <w:noWrap w:val="0"/>
            <w:vAlign w:val="top"/>
          </w:tcPr>
          <w:p>
            <w:pPr>
              <w:spacing w:line="280" w:lineRule="exact"/>
              <w:jc w:val="center"/>
              <w:rPr>
                <w:color w:val="000000"/>
                <w:sz w:val="18"/>
                <w:szCs w:val="18"/>
              </w:rPr>
            </w:pPr>
            <w:r>
              <w:rPr>
                <w:color w:val="000000"/>
                <w:sz w:val="18"/>
                <w:szCs w:val="18"/>
              </w:rPr>
              <w:t>≤0.45</w:t>
            </w:r>
          </w:p>
        </w:tc>
        <w:tc>
          <w:tcPr>
            <w:tcW w:w="671" w:type="pct"/>
            <w:noWrap w:val="0"/>
            <w:vAlign w:val="top"/>
          </w:tcPr>
          <w:p>
            <w:pPr>
              <w:spacing w:line="280" w:lineRule="exact"/>
              <w:jc w:val="center"/>
              <w:rPr>
                <w:color w:val="000000"/>
                <w:sz w:val="18"/>
                <w:szCs w:val="18"/>
              </w:rPr>
            </w:pPr>
            <w:r>
              <w:rPr>
                <w:color w:val="000000"/>
                <w:sz w:val="18"/>
                <w:szCs w:val="18"/>
              </w:rPr>
              <w:t>≤0.50</w:t>
            </w:r>
          </w:p>
        </w:tc>
        <w:tc>
          <w:tcPr>
            <w:tcW w:w="333" w:type="pct"/>
            <w:noWrap w:val="0"/>
            <w:vAlign w:val="top"/>
          </w:tcPr>
          <w:p>
            <w:pPr>
              <w:spacing w:line="280" w:lineRule="exact"/>
              <w:jc w:val="center"/>
              <w:rPr>
                <w:color w:val="000000"/>
                <w:sz w:val="18"/>
                <w:szCs w:val="18"/>
              </w:rPr>
            </w:pPr>
            <w:r>
              <w:rPr>
                <w:rFonts w:hint="eastAsia"/>
                <w:color w:val="000000"/>
                <w:sz w:val="18"/>
                <w:szCs w:val="18"/>
              </w:rPr>
              <w:t>0.46</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15</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废水中 Zn 的最高允许 浓度</w:t>
            </w:r>
          </w:p>
        </w:tc>
        <w:tc>
          <w:tcPr>
            <w:tcW w:w="381" w:type="pct"/>
            <w:noWrap w:val="0"/>
            <w:vAlign w:val="top"/>
          </w:tcPr>
          <w:p>
            <w:pPr>
              <w:spacing w:line="280" w:lineRule="exact"/>
              <w:jc w:val="center"/>
              <w:rPr>
                <w:color w:val="000000"/>
                <w:sz w:val="18"/>
                <w:szCs w:val="18"/>
              </w:rPr>
            </w:pPr>
            <w:r>
              <w:rPr>
                <w:color w:val="000000"/>
                <w:sz w:val="18"/>
                <w:szCs w:val="18"/>
              </w:rPr>
              <w:t>mg/l</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618" w:type="pct"/>
            <w:noWrap w:val="0"/>
            <w:vAlign w:val="top"/>
          </w:tcPr>
          <w:p>
            <w:pPr>
              <w:spacing w:line="280" w:lineRule="exact"/>
              <w:jc w:val="center"/>
              <w:rPr>
                <w:color w:val="000000"/>
                <w:sz w:val="18"/>
                <w:szCs w:val="18"/>
              </w:rPr>
            </w:pPr>
            <w:r>
              <w:rPr>
                <w:color w:val="000000"/>
                <w:sz w:val="18"/>
                <w:szCs w:val="18"/>
              </w:rPr>
              <w:t>≤1.30</w:t>
            </w:r>
          </w:p>
        </w:tc>
        <w:tc>
          <w:tcPr>
            <w:tcW w:w="560" w:type="pct"/>
            <w:gridSpan w:val="2"/>
            <w:noWrap w:val="0"/>
            <w:vAlign w:val="top"/>
          </w:tcPr>
          <w:p>
            <w:pPr>
              <w:spacing w:line="280" w:lineRule="exact"/>
              <w:jc w:val="center"/>
              <w:rPr>
                <w:color w:val="000000"/>
                <w:sz w:val="18"/>
                <w:szCs w:val="18"/>
              </w:rPr>
            </w:pPr>
            <w:r>
              <w:rPr>
                <w:color w:val="000000"/>
                <w:sz w:val="18"/>
                <w:szCs w:val="18"/>
              </w:rPr>
              <w:t>≤1.40</w:t>
            </w:r>
          </w:p>
        </w:tc>
        <w:tc>
          <w:tcPr>
            <w:tcW w:w="671" w:type="pct"/>
            <w:noWrap w:val="0"/>
            <w:vAlign w:val="top"/>
          </w:tcPr>
          <w:p>
            <w:pPr>
              <w:spacing w:line="280" w:lineRule="exact"/>
              <w:jc w:val="center"/>
              <w:rPr>
                <w:color w:val="000000"/>
                <w:sz w:val="18"/>
                <w:szCs w:val="18"/>
              </w:rPr>
            </w:pPr>
            <w:r>
              <w:rPr>
                <w:color w:val="000000"/>
                <w:sz w:val="18"/>
                <w:szCs w:val="18"/>
              </w:rPr>
              <w:t>≤1.50</w:t>
            </w:r>
          </w:p>
        </w:tc>
        <w:tc>
          <w:tcPr>
            <w:tcW w:w="333" w:type="pct"/>
            <w:noWrap w:val="0"/>
            <w:vAlign w:val="top"/>
          </w:tcPr>
          <w:p>
            <w:pPr>
              <w:spacing w:line="280" w:lineRule="exact"/>
              <w:jc w:val="center"/>
              <w:rPr>
                <w:color w:val="000000"/>
                <w:sz w:val="18"/>
                <w:szCs w:val="18"/>
              </w:rPr>
            </w:pPr>
            <w:r>
              <w:rPr>
                <w:rFonts w:hint="eastAsia"/>
                <w:color w:val="000000"/>
                <w:sz w:val="18"/>
                <w:szCs w:val="18"/>
              </w:rPr>
              <w:t>0.39</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16</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废水中 Cu 的最高允许浓度</w:t>
            </w:r>
          </w:p>
        </w:tc>
        <w:tc>
          <w:tcPr>
            <w:tcW w:w="381" w:type="pct"/>
            <w:noWrap w:val="0"/>
            <w:vAlign w:val="top"/>
          </w:tcPr>
          <w:p>
            <w:pPr>
              <w:spacing w:line="280" w:lineRule="exact"/>
              <w:jc w:val="center"/>
              <w:rPr>
                <w:color w:val="000000"/>
                <w:sz w:val="18"/>
                <w:szCs w:val="18"/>
              </w:rPr>
            </w:pPr>
            <w:r>
              <w:rPr>
                <w:color w:val="000000"/>
                <w:sz w:val="18"/>
                <w:szCs w:val="18"/>
              </w:rPr>
              <w:t>mg/l</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618" w:type="pct"/>
            <w:noWrap w:val="0"/>
            <w:vAlign w:val="top"/>
          </w:tcPr>
          <w:p>
            <w:pPr>
              <w:spacing w:line="280" w:lineRule="exact"/>
              <w:jc w:val="center"/>
              <w:rPr>
                <w:color w:val="000000"/>
                <w:sz w:val="18"/>
                <w:szCs w:val="18"/>
              </w:rPr>
            </w:pPr>
            <w:r>
              <w:rPr>
                <w:color w:val="000000"/>
                <w:sz w:val="18"/>
                <w:szCs w:val="18"/>
              </w:rPr>
              <w:t>≤0.40</w:t>
            </w:r>
          </w:p>
        </w:tc>
        <w:tc>
          <w:tcPr>
            <w:tcW w:w="560" w:type="pct"/>
            <w:gridSpan w:val="2"/>
            <w:noWrap w:val="0"/>
            <w:vAlign w:val="top"/>
          </w:tcPr>
          <w:p>
            <w:pPr>
              <w:spacing w:line="280" w:lineRule="exact"/>
              <w:jc w:val="center"/>
              <w:rPr>
                <w:color w:val="000000"/>
                <w:sz w:val="18"/>
                <w:szCs w:val="18"/>
              </w:rPr>
            </w:pPr>
            <w:r>
              <w:rPr>
                <w:color w:val="000000"/>
                <w:sz w:val="18"/>
                <w:szCs w:val="18"/>
              </w:rPr>
              <w:t>≤0.45</w:t>
            </w:r>
          </w:p>
        </w:tc>
        <w:tc>
          <w:tcPr>
            <w:tcW w:w="671" w:type="pct"/>
            <w:noWrap w:val="0"/>
            <w:vAlign w:val="top"/>
          </w:tcPr>
          <w:p>
            <w:pPr>
              <w:spacing w:line="280" w:lineRule="exact"/>
              <w:jc w:val="center"/>
              <w:rPr>
                <w:color w:val="000000"/>
                <w:sz w:val="18"/>
                <w:szCs w:val="18"/>
              </w:rPr>
            </w:pPr>
            <w:r>
              <w:rPr>
                <w:color w:val="000000"/>
                <w:sz w:val="18"/>
                <w:szCs w:val="18"/>
              </w:rPr>
              <w:t>≤0.50</w:t>
            </w:r>
          </w:p>
        </w:tc>
        <w:tc>
          <w:tcPr>
            <w:tcW w:w="333" w:type="pct"/>
            <w:noWrap w:val="0"/>
            <w:vAlign w:val="top"/>
          </w:tcPr>
          <w:p>
            <w:pPr>
              <w:spacing w:line="280" w:lineRule="exact"/>
              <w:jc w:val="center"/>
              <w:rPr>
                <w:color w:val="000000"/>
                <w:sz w:val="18"/>
                <w:szCs w:val="18"/>
              </w:rPr>
            </w:pPr>
            <w:r>
              <w:rPr>
                <w:rFonts w:hint="eastAsia"/>
                <w:color w:val="000000"/>
                <w:sz w:val="18"/>
                <w:szCs w:val="18"/>
              </w:rPr>
              <w:t>0.09</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17</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废水中 As 的最高允许浓度</w:t>
            </w:r>
          </w:p>
        </w:tc>
        <w:tc>
          <w:tcPr>
            <w:tcW w:w="381" w:type="pct"/>
            <w:noWrap w:val="0"/>
            <w:vAlign w:val="top"/>
          </w:tcPr>
          <w:p>
            <w:pPr>
              <w:spacing w:line="280" w:lineRule="exact"/>
              <w:jc w:val="center"/>
              <w:rPr>
                <w:color w:val="000000"/>
                <w:sz w:val="18"/>
                <w:szCs w:val="18"/>
              </w:rPr>
            </w:pPr>
            <w:r>
              <w:rPr>
                <w:color w:val="000000"/>
                <w:sz w:val="18"/>
                <w:szCs w:val="18"/>
              </w:rPr>
              <w:t>mg/l</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618" w:type="pct"/>
            <w:noWrap w:val="0"/>
            <w:vAlign w:val="top"/>
          </w:tcPr>
          <w:p>
            <w:pPr>
              <w:spacing w:line="280" w:lineRule="exact"/>
              <w:jc w:val="center"/>
              <w:rPr>
                <w:color w:val="000000"/>
                <w:sz w:val="18"/>
                <w:szCs w:val="18"/>
              </w:rPr>
            </w:pPr>
            <w:r>
              <w:rPr>
                <w:color w:val="000000"/>
                <w:sz w:val="18"/>
                <w:szCs w:val="18"/>
              </w:rPr>
              <w:t>≤0.20</w:t>
            </w:r>
          </w:p>
        </w:tc>
        <w:tc>
          <w:tcPr>
            <w:tcW w:w="560" w:type="pct"/>
            <w:gridSpan w:val="2"/>
            <w:noWrap w:val="0"/>
            <w:vAlign w:val="top"/>
          </w:tcPr>
          <w:p>
            <w:pPr>
              <w:spacing w:line="280" w:lineRule="exact"/>
              <w:jc w:val="center"/>
              <w:rPr>
                <w:color w:val="000000"/>
                <w:sz w:val="18"/>
                <w:szCs w:val="18"/>
              </w:rPr>
            </w:pPr>
            <w:r>
              <w:rPr>
                <w:color w:val="000000"/>
                <w:sz w:val="18"/>
                <w:szCs w:val="18"/>
              </w:rPr>
              <w:t>≤0.25</w:t>
            </w:r>
          </w:p>
        </w:tc>
        <w:tc>
          <w:tcPr>
            <w:tcW w:w="671" w:type="pct"/>
            <w:noWrap w:val="0"/>
            <w:vAlign w:val="top"/>
          </w:tcPr>
          <w:p>
            <w:pPr>
              <w:spacing w:line="280" w:lineRule="exact"/>
              <w:jc w:val="center"/>
              <w:rPr>
                <w:color w:val="000000"/>
                <w:sz w:val="18"/>
                <w:szCs w:val="18"/>
              </w:rPr>
            </w:pPr>
            <w:r>
              <w:rPr>
                <w:color w:val="000000"/>
                <w:sz w:val="18"/>
                <w:szCs w:val="18"/>
              </w:rPr>
              <w:t>≤0.30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0.12</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18</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废水中 Cd 的最高允许 浓度</w:t>
            </w:r>
          </w:p>
        </w:tc>
        <w:tc>
          <w:tcPr>
            <w:tcW w:w="381" w:type="pct"/>
            <w:noWrap w:val="0"/>
            <w:vAlign w:val="top"/>
          </w:tcPr>
          <w:p>
            <w:pPr>
              <w:spacing w:line="280" w:lineRule="exact"/>
              <w:jc w:val="center"/>
              <w:rPr>
                <w:color w:val="000000"/>
                <w:sz w:val="18"/>
                <w:szCs w:val="18"/>
              </w:rPr>
            </w:pPr>
            <w:r>
              <w:rPr>
                <w:color w:val="000000"/>
                <w:sz w:val="18"/>
                <w:szCs w:val="18"/>
              </w:rPr>
              <w:t>mg/l</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618" w:type="pct"/>
            <w:noWrap w:val="0"/>
            <w:vAlign w:val="top"/>
          </w:tcPr>
          <w:p>
            <w:pPr>
              <w:spacing w:line="280" w:lineRule="exact"/>
              <w:jc w:val="center"/>
              <w:rPr>
                <w:color w:val="000000"/>
                <w:sz w:val="18"/>
                <w:szCs w:val="18"/>
              </w:rPr>
            </w:pPr>
            <w:r>
              <w:rPr>
                <w:color w:val="000000"/>
                <w:sz w:val="18"/>
                <w:szCs w:val="18"/>
              </w:rPr>
              <w:t>≤0.04</w:t>
            </w:r>
          </w:p>
        </w:tc>
        <w:tc>
          <w:tcPr>
            <w:tcW w:w="560" w:type="pct"/>
            <w:gridSpan w:val="2"/>
            <w:noWrap w:val="0"/>
            <w:vAlign w:val="top"/>
          </w:tcPr>
          <w:p>
            <w:pPr>
              <w:spacing w:line="280" w:lineRule="exact"/>
              <w:jc w:val="center"/>
              <w:rPr>
                <w:color w:val="000000"/>
                <w:sz w:val="18"/>
                <w:szCs w:val="18"/>
              </w:rPr>
            </w:pPr>
            <w:r>
              <w:rPr>
                <w:color w:val="000000"/>
                <w:sz w:val="18"/>
                <w:szCs w:val="18"/>
              </w:rPr>
              <w:t>≤0.05</w:t>
            </w:r>
          </w:p>
        </w:tc>
        <w:tc>
          <w:tcPr>
            <w:tcW w:w="671" w:type="pct"/>
            <w:noWrap w:val="0"/>
            <w:vAlign w:val="top"/>
          </w:tcPr>
          <w:p>
            <w:pPr>
              <w:spacing w:line="280" w:lineRule="exact"/>
              <w:jc w:val="center"/>
              <w:rPr>
                <w:color w:val="000000"/>
                <w:sz w:val="18"/>
                <w:szCs w:val="18"/>
              </w:rPr>
            </w:pPr>
            <w:r>
              <w:rPr>
                <w:color w:val="000000"/>
                <w:sz w:val="18"/>
                <w:szCs w:val="18"/>
              </w:rPr>
              <w:t>≤0.05</w:t>
            </w:r>
          </w:p>
        </w:tc>
        <w:tc>
          <w:tcPr>
            <w:tcW w:w="333" w:type="pct"/>
            <w:noWrap w:val="0"/>
            <w:vAlign w:val="top"/>
          </w:tcPr>
          <w:p>
            <w:pPr>
              <w:spacing w:line="280" w:lineRule="exact"/>
              <w:jc w:val="center"/>
              <w:rPr>
                <w:color w:val="000000"/>
                <w:sz w:val="18"/>
                <w:szCs w:val="18"/>
              </w:rPr>
            </w:pPr>
            <w:r>
              <w:rPr>
                <w:rFonts w:hint="eastAsia"/>
                <w:color w:val="000000"/>
                <w:sz w:val="18"/>
                <w:szCs w:val="18"/>
              </w:rPr>
              <w:t>0.05</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19</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化学需氧量 (COD)</w:t>
            </w:r>
          </w:p>
        </w:tc>
        <w:tc>
          <w:tcPr>
            <w:tcW w:w="381" w:type="pct"/>
            <w:noWrap w:val="0"/>
            <w:vAlign w:val="top"/>
          </w:tcPr>
          <w:p>
            <w:pPr>
              <w:spacing w:line="280" w:lineRule="exact"/>
              <w:jc w:val="center"/>
              <w:rPr>
                <w:color w:val="000000"/>
                <w:sz w:val="18"/>
                <w:szCs w:val="18"/>
              </w:rPr>
            </w:pPr>
            <w:r>
              <w:rPr>
                <w:color w:val="000000"/>
                <w:sz w:val="18"/>
                <w:szCs w:val="18"/>
              </w:rPr>
              <w:t>mg/l</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618" w:type="pct"/>
            <w:noWrap w:val="0"/>
            <w:vAlign w:val="top"/>
          </w:tcPr>
          <w:p>
            <w:pPr>
              <w:spacing w:line="280" w:lineRule="exact"/>
              <w:jc w:val="center"/>
              <w:rPr>
                <w:color w:val="000000"/>
                <w:sz w:val="18"/>
                <w:szCs w:val="18"/>
              </w:rPr>
            </w:pPr>
            <w:r>
              <w:rPr>
                <w:color w:val="000000"/>
                <w:sz w:val="18"/>
                <w:szCs w:val="18"/>
              </w:rPr>
              <w:t>≤50</w:t>
            </w:r>
          </w:p>
        </w:tc>
        <w:tc>
          <w:tcPr>
            <w:tcW w:w="560" w:type="pct"/>
            <w:gridSpan w:val="2"/>
            <w:noWrap w:val="0"/>
            <w:vAlign w:val="top"/>
          </w:tcPr>
          <w:p>
            <w:pPr>
              <w:spacing w:line="280" w:lineRule="exact"/>
              <w:jc w:val="center"/>
              <w:rPr>
                <w:color w:val="000000"/>
                <w:sz w:val="18"/>
                <w:szCs w:val="18"/>
              </w:rPr>
            </w:pPr>
            <w:r>
              <w:rPr>
                <w:color w:val="000000"/>
                <w:sz w:val="18"/>
                <w:szCs w:val="18"/>
              </w:rPr>
              <w:t>≤55</w:t>
            </w:r>
          </w:p>
        </w:tc>
        <w:tc>
          <w:tcPr>
            <w:tcW w:w="671" w:type="pct"/>
            <w:noWrap w:val="0"/>
            <w:vAlign w:val="top"/>
          </w:tcPr>
          <w:p>
            <w:pPr>
              <w:spacing w:line="280" w:lineRule="exact"/>
              <w:jc w:val="center"/>
              <w:rPr>
                <w:color w:val="000000"/>
                <w:sz w:val="18"/>
                <w:szCs w:val="18"/>
              </w:rPr>
            </w:pPr>
            <w:r>
              <w:rPr>
                <w:color w:val="000000"/>
                <w:sz w:val="18"/>
                <w:szCs w:val="18"/>
              </w:rPr>
              <w:t>≤60</w:t>
            </w:r>
          </w:p>
        </w:tc>
        <w:tc>
          <w:tcPr>
            <w:tcW w:w="333" w:type="pct"/>
            <w:noWrap w:val="0"/>
            <w:vAlign w:val="top"/>
          </w:tcPr>
          <w:p>
            <w:pPr>
              <w:spacing w:line="280" w:lineRule="exact"/>
              <w:jc w:val="center"/>
              <w:rPr>
                <w:color w:val="000000"/>
                <w:sz w:val="18"/>
                <w:szCs w:val="18"/>
              </w:rPr>
            </w:pPr>
            <w:r>
              <w:rPr>
                <w:rFonts w:hint="eastAsia"/>
                <w:color w:val="000000"/>
                <w:sz w:val="18"/>
                <w:szCs w:val="18"/>
              </w:rPr>
              <w:t>56</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20</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作业环境空气中粉尘最高允许浓度</w:t>
            </w:r>
          </w:p>
        </w:tc>
        <w:tc>
          <w:tcPr>
            <w:tcW w:w="381" w:type="pct"/>
            <w:noWrap w:val="0"/>
            <w:vAlign w:val="top"/>
          </w:tcPr>
          <w:p>
            <w:pPr>
              <w:spacing w:line="280" w:lineRule="exact"/>
              <w:jc w:val="center"/>
              <w:rPr>
                <w:color w:val="000000"/>
                <w:sz w:val="18"/>
                <w:szCs w:val="18"/>
              </w:rPr>
            </w:pPr>
            <w:r>
              <w:rPr>
                <w:color w:val="000000"/>
                <w:sz w:val="18"/>
                <w:szCs w:val="18"/>
              </w:rPr>
              <w:t>mg/m3</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618" w:type="pct"/>
            <w:noWrap w:val="0"/>
            <w:vAlign w:val="top"/>
          </w:tcPr>
          <w:p>
            <w:pPr>
              <w:spacing w:line="280" w:lineRule="exact"/>
              <w:jc w:val="center"/>
              <w:rPr>
                <w:color w:val="000000"/>
                <w:sz w:val="18"/>
                <w:szCs w:val="18"/>
              </w:rPr>
            </w:pPr>
            <w:r>
              <w:rPr>
                <w:color w:val="000000"/>
                <w:sz w:val="18"/>
                <w:szCs w:val="18"/>
              </w:rPr>
              <w:t>≤6.0</w:t>
            </w:r>
          </w:p>
        </w:tc>
        <w:tc>
          <w:tcPr>
            <w:tcW w:w="560" w:type="pct"/>
            <w:gridSpan w:val="2"/>
            <w:noWrap w:val="0"/>
            <w:vAlign w:val="top"/>
          </w:tcPr>
          <w:p>
            <w:pPr>
              <w:spacing w:line="280" w:lineRule="exact"/>
              <w:jc w:val="center"/>
              <w:rPr>
                <w:color w:val="000000"/>
                <w:sz w:val="18"/>
                <w:szCs w:val="18"/>
              </w:rPr>
            </w:pPr>
            <w:r>
              <w:rPr>
                <w:color w:val="000000"/>
                <w:sz w:val="18"/>
                <w:szCs w:val="18"/>
              </w:rPr>
              <w:t>≤8.0</w:t>
            </w:r>
          </w:p>
        </w:tc>
        <w:tc>
          <w:tcPr>
            <w:tcW w:w="671" w:type="pct"/>
            <w:noWrap w:val="0"/>
            <w:vAlign w:val="top"/>
          </w:tcPr>
          <w:p>
            <w:pPr>
              <w:spacing w:line="280" w:lineRule="exact"/>
              <w:jc w:val="center"/>
              <w:rPr>
                <w:rFonts w:hint="eastAsia"/>
                <w:color w:val="000000"/>
                <w:sz w:val="18"/>
                <w:szCs w:val="18"/>
              </w:rPr>
            </w:pPr>
            <w:r>
              <w:rPr>
                <w:color w:val="000000"/>
                <w:sz w:val="18"/>
                <w:szCs w:val="18"/>
              </w:rPr>
              <w:t>≤10.0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5</w:t>
            </w: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21</w:t>
            </w:r>
          </w:p>
        </w:tc>
        <w:tc>
          <w:tcPr>
            <w:tcW w:w="280" w:type="pct"/>
            <w:vMerge w:val="restart"/>
            <w:noWrap w:val="0"/>
            <w:vAlign w:val="top"/>
          </w:tcPr>
          <w:p>
            <w:pPr>
              <w:spacing w:line="280" w:lineRule="exact"/>
              <w:jc w:val="center"/>
              <w:rPr>
                <w:rFonts w:hint="eastAsia"/>
                <w:color w:val="000000"/>
                <w:sz w:val="18"/>
                <w:szCs w:val="18"/>
              </w:rPr>
            </w:pPr>
            <w:r>
              <w:rPr>
                <w:color w:val="000000"/>
                <w:sz w:val="18"/>
                <w:szCs w:val="18"/>
              </w:rPr>
              <w:t>产品特征指标</w:t>
            </w:r>
          </w:p>
        </w:tc>
        <w:tc>
          <w:tcPr>
            <w:tcW w:w="361" w:type="pct"/>
            <w:vMerge w:val="restart"/>
            <w:noWrap w:val="0"/>
            <w:vAlign w:val="top"/>
          </w:tcPr>
          <w:p>
            <w:pPr>
              <w:spacing w:line="280" w:lineRule="exact"/>
              <w:jc w:val="center"/>
              <w:rPr>
                <w:rFonts w:hint="eastAsia"/>
                <w:color w:val="000000"/>
                <w:sz w:val="18"/>
                <w:szCs w:val="18"/>
              </w:rPr>
            </w:pPr>
            <w:r>
              <w:rPr>
                <w:color w:val="000000"/>
                <w:sz w:val="18"/>
                <w:szCs w:val="18"/>
              </w:rPr>
              <w:t>0.05</w:t>
            </w:r>
          </w:p>
        </w:tc>
        <w:tc>
          <w:tcPr>
            <w:tcW w:w="889" w:type="pct"/>
            <w:noWrap w:val="0"/>
            <w:vAlign w:val="top"/>
          </w:tcPr>
          <w:p>
            <w:pPr>
              <w:spacing w:line="280" w:lineRule="exact"/>
              <w:jc w:val="center"/>
              <w:rPr>
                <w:color w:val="000000"/>
                <w:sz w:val="18"/>
                <w:szCs w:val="18"/>
              </w:rPr>
            </w:pPr>
            <w:r>
              <w:rPr>
                <w:color w:val="000000"/>
                <w:sz w:val="18"/>
                <w:szCs w:val="18"/>
              </w:rPr>
              <w:t>铅精矿</w:t>
            </w:r>
          </w:p>
        </w:tc>
        <w:tc>
          <w:tcPr>
            <w:tcW w:w="381" w:type="pct"/>
            <w:noWrap w:val="0"/>
            <w:vAlign w:val="top"/>
          </w:tcPr>
          <w:p>
            <w:pPr>
              <w:spacing w:line="280" w:lineRule="exact"/>
              <w:jc w:val="center"/>
              <w:rPr>
                <w:color w:val="000000"/>
                <w:sz w:val="18"/>
                <w:szCs w:val="18"/>
              </w:rPr>
            </w:pPr>
            <w:r>
              <w:rPr>
                <w:color w:val="000000"/>
                <w:sz w:val="18"/>
                <w:szCs w:val="18"/>
              </w:rPr>
              <w:t>等级</w:t>
            </w:r>
          </w:p>
        </w:tc>
        <w:tc>
          <w:tcPr>
            <w:tcW w:w="380" w:type="pct"/>
            <w:noWrap w:val="0"/>
            <w:vAlign w:val="top"/>
          </w:tcPr>
          <w:p>
            <w:pPr>
              <w:spacing w:line="280" w:lineRule="exact"/>
              <w:jc w:val="center"/>
              <w:rPr>
                <w:color w:val="000000"/>
                <w:sz w:val="18"/>
                <w:szCs w:val="18"/>
              </w:rPr>
            </w:pPr>
            <w:r>
              <w:rPr>
                <w:color w:val="000000"/>
                <w:sz w:val="18"/>
                <w:szCs w:val="18"/>
              </w:rPr>
              <w:t>0.50</w:t>
            </w:r>
          </w:p>
        </w:tc>
        <w:tc>
          <w:tcPr>
            <w:tcW w:w="1848" w:type="pct"/>
            <w:gridSpan w:val="4"/>
            <w:noWrap w:val="0"/>
            <w:vAlign w:val="top"/>
          </w:tcPr>
          <w:p>
            <w:pPr>
              <w:spacing w:line="280" w:lineRule="exact"/>
              <w:jc w:val="center"/>
              <w:rPr>
                <w:color w:val="000000"/>
                <w:sz w:val="18"/>
                <w:szCs w:val="18"/>
              </w:rPr>
            </w:pPr>
            <w:r>
              <w:rPr>
                <w:color w:val="000000"/>
                <w:sz w:val="18"/>
                <w:szCs w:val="18"/>
              </w:rPr>
              <w:t>符合铅精矿质量标准（YS/T 319-2007）</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22</w:t>
            </w:r>
          </w:p>
        </w:tc>
        <w:tc>
          <w:tcPr>
            <w:tcW w:w="280" w:type="pct"/>
            <w:vMerge w:val="continue"/>
            <w:noWrap w:val="0"/>
            <w:vAlign w:val="top"/>
          </w:tcPr>
          <w:p>
            <w:pPr>
              <w:spacing w:line="280" w:lineRule="exact"/>
              <w:jc w:val="center"/>
              <w:rPr>
                <w:rFonts w:hint="eastAsia"/>
                <w:color w:val="000000"/>
                <w:sz w:val="18"/>
                <w:szCs w:val="18"/>
              </w:rPr>
            </w:pPr>
          </w:p>
        </w:tc>
        <w:tc>
          <w:tcPr>
            <w:tcW w:w="361" w:type="pct"/>
            <w:vMerge w:val="continue"/>
            <w:noWrap w:val="0"/>
            <w:vAlign w:val="top"/>
          </w:tcPr>
          <w:p>
            <w:pPr>
              <w:spacing w:line="280" w:lineRule="exact"/>
              <w:jc w:val="center"/>
              <w:rPr>
                <w:rFonts w:hint="eastAsia"/>
                <w:color w:val="000000"/>
                <w:sz w:val="18"/>
                <w:szCs w:val="18"/>
              </w:rPr>
            </w:pPr>
          </w:p>
        </w:tc>
        <w:tc>
          <w:tcPr>
            <w:tcW w:w="889" w:type="pct"/>
            <w:noWrap w:val="0"/>
            <w:vAlign w:val="top"/>
          </w:tcPr>
          <w:p>
            <w:pPr>
              <w:spacing w:line="280" w:lineRule="exact"/>
              <w:jc w:val="center"/>
              <w:rPr>
                <w:color w:val="000000"/>
                <w:sz w:val="18"/>
                <w:szCs w:val="18"/>
              </w:rPr>
            </w:pPr>
            <w:r>
              <w:rPr>
                <w:color w:val="000000"/>
                <w:sz w:val="18"/>
                <w:szCs w:val="18"/>
              </w:rPr>
              <w:t>锌精矿</w:t>
            </w:r>
          </w:p>
        </w:tc>
        <w:tc>
          <w:tcPr>
            <w:tcW w:w="381" w:type="pct"/>
            <w:noWrap w:val="0"/>
            <w:vAlign w:val="top"/>
          </w:tcPr>
          <w:p>
            <w:pPr>
              <w:spacing w:line="280" w:lineRule="exact"/>
              <w:jc w:val="center"/>
              <w:rPr>
                <w:color w:val="000000"/>
                <w:sz w:val="18"/>
                <w:szCs w:val="18"/>
              </w:rPr>
            </w:pPr>
            <w:r>
              <w:rPr>
                <w:color w:val="000000"/>
                <w:sz w:val="18"/>
                <w:szCs w:val="18"/>
              </w:rPr>
              <w:t>等级</w:t>
            </w:r>
          </w:p>
        </w:tc>
        <w:tc>
          <w:tcPr>
            <w:tcW w:w="380" w:type="pct"/>
            <w:noWrap w:val="0"/>
            <w:vAlign w:val="top"/>
          </w:tcPr>
          <w:p>
            <w:pPr>
              <w:spacing w:line="280" w:lineRule="exact"/>
              <w:jc w:val="center"/>
              <w:rPr>
                <w:color w:val="000000"/>
                <w:sz w:val="18"/>
                <w:szCs w:val="18"/>
              </w:rPr>
            </w:pPr>
            <w:r>
              <w:rPr>
                <w:color w:val="000000"/>
                <w:sz w:val="18"/>
                <w:szCs w:val="18"/>
              </w:rPr>
              <w:t>0.50</w:t>
            </w:r>
          </w:p>
        </w:tc>
        <w:tc>
          <w:tcPr>
            <w:tcW w:w="1848" w:type="pct"/>
            <w:gridSpan w:val="4"/>
            <w:noWrap w:val="0"/>
            <w:vAlign w:val="top"/>
          </w:tcPr>
          <w:p>
            <w:pPr>
              <w:spacing w:line="280" w:lineRule="exact"/>
              <w:jc w:val="center"/>
              <w:rPr>
                <w:rFonts w:hint="eastAsia"/>
                <w:color w:val="000000"/>
                <w:sz w:val="18"/>
                <w:szCs w:val="18"/>
              </w:rPr>
            </w:pPr>
            <w:r>
              <w:rPr>
                <w:color w:val="000000"/>
                <w:sz w:val="18"/>
                <w:szCs w:val="18"/>
              </w:rPr>
              <w:t>符合锌精矿质量标准（YS/T320-2007）</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23</w:t>
            </w:r>
          </w:p>
        </w:tc>
        <w:tc>
          <w:tcPr>
            <w:tcW w:w="280" w:type="pct"/>
            <w:vMerge w:val="restart"/>
            <w:noWrap w:val="0"/>
            <w:vAlign w:val="top"/>
          </w:tcPr>
          <w:p>
            <w:pPr>
              <w:spacing w:line="280" w:lineRule="exact"/>
              <w:rPr>
                <w:rFonts w:hint="eastAsia"/>
                <w:color w:val="000000"/>
                <w:sz w:val="18"/>
                <w:szCs w:val="18"/>
              </w:rPr>
            </w:pPr>
            <w:r>
              <w:rPr>
                <w:color w:val="000000"/>
                <w:sz w:val="18"/>
                <w:szCs w:val="18"/>
              </w:rPr>
              <w:t>清洁生产管理指标</w:t>
            </w:r>
          </w:p>
        </w:tc>
        <w:tc>
          <w:tcPr>
            <w:tcW w:w="361" w:type="pct"/>
            <w:vMerge w:val="restart"/>
            <w:noWrap w:val="0"/>
            <w:vAlign w:val="top"/>
          </w:tcPr>
          <w:p>
            <w:pPr>
              <w:spacing w:line="280" w:lineRule="exact"/>
              <w:jc w:val="center"/>
              <w:rPr>
                <w:rFonts w:hint="eastAsia"/>
                <w:color w:val="000000"/>
                <w:sz w:val="18"/>
                <w:szCs w:val="18"/>
              </w:rPr>
            </w:pPr>
            <w:r>
              <w:rPr>
                <w:color w:val="000000"/>
                <w:sz w:val="18"/>
                <w:szCs w:val="18"/>
              </w:rPr>
              <w:t>0.15</w:t>
            </w:r>
          </w:p>
        </w:tc>
        <w:tc>
          <w:tcPr>
            <w:tcW w:w="1270"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环境法律法规标准执行情况</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848" w:type="pct"/>
            <w:gridSpan w:val="4"/>
            <w:noWrap w:val="0"/>
            <w:vAlign w:val="top"/>
          </w:tcPr>
          <w:p>
            <w:pPr>
              <w:spacing w:line="280" w:lineRule="exact"/>
              <w:rPr>
                <w:color w:val="000000"/>
                <w:sz w:val="18"/>
                <w:szCs w:val="18"/>
              </w:rPr>
            </w:pPr>
            <w:r>
              <w:rPr>
                <w:color w:val="000000"/>
                <w:sz w:val="18"/>
                <w:szCs w:val="18"/>
              </w:rPr>
              <w:t>符合国家和地方有关环境法律、法规，污染物排放达到国家排放标准、总量控制和排污 许可证管理要求</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24</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产业政策执行情况</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848" w:type="pct"/>
            <w:gridSpan w:val="4"/>
            <w:noWrap w:val="0"/>
            <w:vAlign w:val="top"/>
          </w:tcPr>
          <w:p>
            <w:pPr>
              <w:spacing w:line="280" w:lineRule="exact"/>
              <w:rPr>
                <w:color w:val="000000"/>
                <w:sz w:val="18"/>
                <w:szCs w:val="18"/>
              </w:rPr>
            </w:pPr>
            <w:r>
              <w:rPr>
                <w:color w:val="000000"/>
                <w:sz w:val="18"/>
                <w:szCs w:val="18"/>
              </w:rPr>
              <w:t>生产规模符合国家和地方产业政策要求，不使用国家和地方明令淘汰的落后工艺和装备</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25</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color w:val="000000"/>
                <w:sz w:val="18"/>
                <w:szCs w:val="18"/>
              </w:rPr>
              <w:t>开展清洁生产审核</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848" w:type="pct"/>
            <w:gridSpan w:val="4"/>
            <w:noWrap w:val="0"/>
            <w:vAlign w:val="top"/>
          </w:tcPr>
          <w:p>
            <w:pPr>
              <w:spacing w:line="280" w:lineRule="exact"/>
              <w:rPr>
                <w:color w:val="000000"/>
                <w:sz w:val="18"/>
                <w:szCs w:val="18"/>
              </w:rPr>
            </w:pPr>
            <w:r>
              <w:rPr>
                <w:color w:val="000000"/>
                <w:sz w:val="18"/>
                <w:szCs w:val="18"/>
              </w:rPr>
              <w:t>按照国家和地方要求，开展清洁生产审核</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9" w:hRule="atLeast"/>
        </w:trPr>
        <w:tc>
          <w:tcPr>
            <w:tcW w:w="223" w:type="pct"/>
            <w:noWrap w:val="0"/>
            <w:vAlign w:val="top"/>
          </w:tcPr>
          <w:p>
            <w:pPr>
              <w:spacing w:line="280" w:lineRule="exact"/>
              <w:jc w:val="center"/>
              <w:rPr>
                <w:color w:val="000000"/>
                <w:sz w:val="18"/>
                <w:szCs w:val="18"/>
              </w:rPr>
            </w:pPr>
            <w:r>
              <w:rPr>
                <w:color w:val="000000"/>
                <w:sz w:val="18"/>
                <w:szCs w:val="18"/>
              </w:rPr>
              <w:t>26</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color w:val="000000"/>
                <w:sz w:val="18"/>
                <w:szCs w:val="18"/>
              </w:rPr>
              <w:t>环境管理体系制度</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124" w:type="pct"/>
            <w:gridSpan w:val="2"/>
            <w:noWrap w:val="0"/>
            <w:vAlign w:val="top"/>
          </w:tcPr>
          <w:p>
            <w:pPr>
              <w:spacing w:line="280" w:lineRule="exact"/>
              <w:rPr>
                <w:color w:val="000000"/>
                <w:sz w:val="18"/>
                <w:szCs w:val="18"/>
              </w:rPr>
            </w:pPr>
            <w:r>
              <w:rPr>
                <w:color w:val="000000"/>
                <w:sz w:val="18"/>
                <w:szCs w:val="18"/>
              </w:rPr>
              <w:t xml:space="preserve">按照 GB/T24001 建立并运行环境管理体系，环境管理程序文件及作业文件齐备 </w:t>
            </w:r>
          </w:p>
        </w:tc>
        <w:tc>
          <w:tcPr>
            <w:tcW w:w="725" w:type="pct"/>
            <w:gridSpan w:val="2"/>
            <w:noWrap w:val="0"/>
            <w:vAlign w:val="top"/>
          </w:tcPr>
          <w:p>
            <w:pPr>
              <w:spacing w:line="280" w:lineRule="exact"/>
              <w:rPr>
                <w:color w:val="000000"/>
                <w:sz w:val="18"/>
                <w:szCs w:val="18"/>
              </w:rPr>
            </w:pPr>
            <w:r>
              <w:rPr>
                <w:color w:val="000000"/>
                <w:sz w:val="18"/>
                <w:szCs w:val="18"/>
              </w:rPr>
              <w:t>拥有健全的环境管理体系和完备的管理文件</w:t>
            </w:r>
          </w:p>
        </w:tc>
        <w:tc>
          <w:tcPr>
            <w:tcW w:w="333" w:type="pct"/>
            <w:noWrap w:val="0"/>
            <w:vAlign w:val="top"/>
          </w:tcPr>
          <w:p>
            <w:pPr>
              <w:spacing w:line="280" w:lineRule="exact"/>
              <w:jc w:val="center"/>
              <w:rPr>
                <w:rFonts w:hint="eastAsia"/>
                <w:color w:val="000000"/>
                <w:sz w:val="18"/>
                <w:szCs w:val="18"/>
              </w:rPr>
            </w:pP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3" w:hRule="atLeast"/>
        </w:trPr>
        <w:tc>
          <w:tcPr>
            <w:tcW w:w="223" w:type="pct"/>
            <w:noWrap w:val="0"/>
            <w:vAlign w:val="top"/>
          </w:tcPr>
          <w:p>
            <w:pPr>
              <w:spacing w:line="280" w:lineRule="exact"/>
              <w:jc w:val="center"/>
              <w:rPr>
                <w:color w:val="000000"/>
                <w:sz w:val="18"/>
                <w:szCs w:val="18"/>
              </w:rPr>
            </w:pPr>
            <w:r>
              <w:rPr>
                <w:color w:val="000000"/>
                <w:sz w:val="18"/>
                <w:szCs w:val="18"/>
              </w:rPr>
              <w:t>27</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建设项目环保“三同时”执行情况</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848" w:type="pct"/>
            <w:gridSpan w:val="4"/>
            <w:noWrap w:val="0"/>
            <w:vAlign w:val="top"/>
          </w:tcPr>
          <w:p>
            <w:pPr>
              <w:spacing w:line="280" w:lineRule="exact"/>
              <w:rPr>
                <w:color w:val="000000"/>
                <w:sz w:val="18"/>
                <w:szCs w:val="18"/>
              </w:rPr>
            </w:pPr>
            <w:r>
              <w:rPr>
                <w:color w:val="000000"/>
                <w:sz w:val="18"/>
                <w:szCs w:val="18"/>
              </w:rPr>
              <w:t>严格执行建设项目环境影响评价制度和建设项目环保“三同时”制度</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3" w:hRule="atLeast"/>
        </w:trPr>
        <w:tc>
          <w:tcPr>
            <w:tcW w:w="223" w:type="pct"/>
            <w:noWrap w:val="0"/>
            <w:vAlign w:val="top"/>
          </w:tcPr>
          <w:p>
            <w:pPr>
              <w:spacing w:line="280" w:lineRule="exact"/>
              <w:jc w:val="center"/>
              <w:rPr>
                <w:color w:val="000000"/>
                <w:sz w:val="18"/>
                <w:szCs w:val="18"/>
              </w:rPr>
            </w:pPr>
            <w:r>
              <w:rPr>
                <w:color w:val="000000"/>
                <w:sz w:val="18"/>
                <w:szCs w:val="18"/>
              </w:rPr>
              <w:t>28</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color w:val="000000"/>
                <w:sz w:val="18"/>
                <w:szCs w:val="18"/>
              </w:rPr>
              <w:t>废水处理设施运行管理</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178" w:type="pct"/>
            <w:gridSpan w:val="3"/>
            <w:noWrap w:val="0"/>
            <w:vAlign w:val="top"/>
          </w:tcPr>
          <w:p>
            <w:pPr>
              <w:spacing w:line="280" w:lineRule="exact"/>
              <w:rPr>
                <w:color w:val="000000"/>
                <w:sz w:val="18"/>
                <w:szCs w:val="18"/>
              </w:rPr>
            </w:pPr>
            <w:r>
              <w:rPr>
                <w:color w:val="000000"/>
                <w:sz w:val="18"/>
                <w:szCs w:val="18"/>
              </w:rPr>
              <w:t xml:space="preserve">建有废水处理设施运行中控系统并建立废水处理设施运行台帐 </w:t>
            </w:r>
          </w:p>
        </w:tc>
        <w:tc>
          <w:tcPr>
            <w:tcW w:w="671" w:type="pct"/>
            <w:noWrap w:val="0"/>
            <w:vAlign w:val="top"/>
          </w:tcPr>
          <w:p>
            <w:pPr>
              <w:spacing w:line="280" w:lineRule="exact"/>
              <w:rPr>
                <w:color w:val="000000"/>
                <w:sz w:val="18"/>
                <w:szCs w:val="18"/>
              </w:rPr>
            </w:pPr>
            <w:r>
              <w:rPr>
                <w:color w:val="000000"/>
                <w:sz w:val="18"/>
                <w:szCs w:val="18"/>
              </w:rPr>
              <w:t>建立废水处理设施运行台帐</w:t>
            </w:r>
          </w:p>
        </w:tc>
        <w:tc>
          <w:tcPr>
            <w:tcW w:w="333" w:type="pct"/>
            <w:noWrap w:val="0"/>
            <w:vAlign w:val="top"/>
          </w:tcPr>
          <w:p>
            <w:pPr>
              <w:spacing w:line="280" w:lineRule="exact"/>
              <w:jc w:val="center"/>
              <w:rPr>
                <w:rFonts w:hint="eastAsia"/>
                <w:color w:val="000000"/>
                <w:sz w:val="18"/>
                <w:szCs w:val="18"/>
              </w:rPr>
            </w:pP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5" w:hRule="atLeast"/>
        </w:trPr>
        <w:tc>
          <w:tcPr>
            <w:tcW w:w="223" w:type="pct"/>
            <w:noWrap w:val="0"/>
            <w:vAlign w:val="top"/>
          </w:tcPr>
          <w:p>
            <w:pPr>
              <w:spacing w:line="280" w:lineRule="exact"/>
              <w:jc w:val="center"/>
              <w:rPr>
                <w:color w:val="000000"/>
                <w:sz w:val="18"/>
                <w:szCs w:val="18"/>
              </w:rPr>
            </w:pPr>
            <w:r>
              <w:rPr>
                <w:color w:val="000000"/>
                <w:sz w:val="18"/>
                <w:szCs w:val="18"/>
              </w:rPr>
              <w:t>29</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污染物排放监测</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848" w:type="pct"/>
            <w:gridSpan w:val="4"/>
            <w:noWrap w:val="0"/>
            <w:vAlign w:val="top"/>
          </w:tcPr>
          <w:p>
            <w:pPr>
              <w:spacing w:line="280" w:lineRule="exact"/>
              <w:rPr>
                <w:color w:val="000000"/>
                <w:sz w:val="18"/>
                <w:szCs w:val="18"/>
              </w:rPr>
            </w:pPr>
            <w:r>
              <w:rPr>
                <w:color w:val="000000"/>
                <w:sz w:val="18"/>
                <w:szCs w:val="18"/>
              </w:rPr>
              <w:t>对污染物排放实施定期监测</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trPr>
        <w:tc>
          <w:tcPr>
            <w:tcW w:w="223" w:type="pct"/>
            <w:noWrap w:val="0"/>
            <w:vAlign w:val="top"/>
          </w:tcPr>
          <w:p>
            <w:pPr>
              <w:spacing w:line="280" w:lineRule="exact"/>
              <w:jc w:val="center"/>
              <w:rPr>
                <w:color w:val="000000"/>
                <w:sz w:val="18"/>
                <w:szCs w:val="18"/>
              </w:rPr>
            </w:pPr>
            <w:r>
              <w:rPr>
                <w:color w:val="000000"/>
                <w:sz w:val="18"/>
                <w:szCs w:val="18"/>
              </w:rPr>
              <w:t>30</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color w:val="000000"/>
                <w:sz w:val="18"/>
                <w:szCs w:val="18"/>
              </w:rPr>
              <w:t>尾矿处理与处置</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848" w:type="pct"/>
            <w:gridSpan w:val="4"/>
            <w:noWrap w:val="0"/>
            <w:vAlign w:val="top"/>
          </w:tcPr>
          <w:p>
            <w:pPr>
              <w:spacing w:line="280" w:lineRule="exact"/>
              <w:rPr>
                <w:color w:val="000000"/>
                <w:sz w:val="18"/>
                <w:szCs w:val="18"/>
              </w:rPr>
            </w:pPr>
            <w:r>
              <w:rPr>
                <w:color w:val="000000"/>
                <w:sz w:val="18"/>
                <w:szCs w:val="18"/>
              </w:rPr>
              <w:t>采取专用尾矿库，具有防渗、集排水措施、尾矿库坝面、坝坡采取覆盖等措施并有专人 维护管理，符合危险废物鉴别标准要求的固体废物严格按 GB 18598 等相关规定执行</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62" w:hRule="atLeast"/>
        </w:trPr>
        <w:tc>
          <w:tcPr>
            <w:tcW w:w="223" w:type="pct"/>
            <w:noWrap w:val="0"/>
            <w:vAlign w:val="top"/>
          </w:tcPr>
          <w:p>
            <w:pPr>
              <w:spacing w:line="280" w:lineRule="exact"/>
              <w:jc w:val="center"/>
              <w:rPr>
                <w:color w:val="000000"/>
                <w:sz w:val="18"/>
                <w:szCs w:val="18"/>
              </w:rPr>
            </w:pPr>
            <w:r>
              <w:rPr>
                <w:color w:val="000000"/>
                <w:sz w:val="18"/>
                <w:szCs w:val="18"/>
              </w:rPr>
              <w:t>31</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color w:val="000000"/>
                <w:sz w:val="18"/>
                <w:szCs w:val="18"/>
              </w:rPr>
              <w:t>环境信息</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178" w:type="pct"/>
            <w:gridSpan w:val="3"/>
            <w:noWrap w:val="0"/>
            <w:vAlign w:val="top"/>
          </w:tcPr>
          <w:p>
            <w:pPr>
              <w:spacing w:line="280" w:lineRule="exact"/>
              <w:rPr>
                <w:color w:val="000000"/>
                <w:sz w:val="18"/>
                <w:szCs w:val="18"/>
              </w:rPr>
            </w:pPr>
            <w:r>
              <w:rPr>
                <w:color w:val="000000"/>
                <w:sz w:val="18"/>
                <w:szCs w:val="18"/>
              </w:rPr>
              <w:t xml:space="preserve">按照《环境信息公开（试行）》第十九条要求公开环境信息 </w:t>
            </w:r>
          </w:p>
        </w:tc>
        <w:tc>
          <w:tcPr>
            <w:tcW w:w="671" w:type="pct"/>
            <w:noWrap w:val="0"/>
            <w:vAlign w:val="top"/>
          </w:tcPr>
          <w:p>
            <w:pPr>
              <w:spacing w:line="280" w:lineRule="exact"/>
              <w:rPr>
                <w:color w:val="000000"/>
                <w:sz w:val="18"/>
                <w:szCs w:val="18"/>
              </w:rPr>
            </w:pPr>
            <w:r>
              <w:rPr>
                <w:color w:val="000000"/>
                <w:sz w:val="18"/>
                <w:szCs w:val="18"/>
              </w:rPr>
              <w:t>按照《环境信息公开（试 行）》第二十条要求公开环 境信息</w:t>
            </w:r>
          </w:p>
        </w:tc>
        <w:tc>
          <w:tcPr>
            <w:tcW w:w="333" w:type="pct"/>
            <w:noWrap w:val="0"/>
            <w:vAlign w:val="top"/>
          </w:tcPr>
          <w:p>
            <w:pPr>
              <w:spacing w:line="280" w:lineRule="exact"/>
              <w:jc w:val="center"/>
              <w:rPr>
                <w:rFonts w:hint="eastAsia"/>
                <w:color w:val="000000"/>
                <w:sz w:val="18"/>
                <w:szCs w:val="18"/>
              </w:rPr>
            </w:pPr>
          </w:p>
        </w:tc>
        <w:tc>
          <w:tcPr>
            <w:tcW w:w="304"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1" w:hRule="atLeast"/>
        </w:trPr>
        <w:tc>
          <w:tcPr>
            <w:tcW w:w="223" w:type="pct"/>
            <w:noWrap w:val="0"/>
            <w:vAlign w:val="top"/>
          </w:tcPr>
          <w:p>
            <w:pPr>
              <w:spacing w:line="280" w:lineRule="exact"/>
              <w:jc w:val="center"/>
              <w:rPr>
                <w:color w:val="000000"/>
                <w:sz w:val="18"/>
                <w:szCs w:val="18"/>
              </w:rPr>
            </w:pPr>
            <w:r>
              <w:rPr>
                <w:color w:val="000000"/>
                <w:sz w:val="18"/>
                <w:szCs w:val="18"/>
              </w:rPr>
              <w:t>32</w:t>
            </w:r>
          </w:p>
        </w:tc>
        <w:tc>
          <w:tcPr>
            <w:tcW w:w="280" w:type="pct"/>
            <w:vMerge w:val="continue"/>
            <w:noWrap w:val="0"/>
            <w:vAlign w:val="top"/>
          </w:tcPr>
          <w:p>
            <w:pPr>
              <w:spacing w:line="280" w:lineRule="exact"/>
              <w:rPr>
                <w:rFonts w:hint="eastAsia"/>
                <w:color w:val="000000"/>
                <w:sz w:val="18"/>
                <w:szCs w:val="18"/>
              </w:rPr>
            </w:pPr>
          </w:p>
        </w:tc>
        <w:tc>
          <w:tcPr>
            <w:tcW w:w="361" w:type="pct"/>
            <w:vMerge w:val="continue"/>
            <w:noWrap w:val="0"/>
            <w:vAlign w:val="top"/>
          </w:tcPr>
          <w:p>
            <w:pPr>
              <w:spacing w:line="280" w:lineRule="exact"/>
              <w:rPr>
                <w:rFonts w:hint="eastAsia"/>
                <w:color w:val="000000"/>
                <w:sz w:val="18"/>
                <w:szCs w:val="18"/>
              </w:rPr>
            </w:pPr>
          </w:p>
        </w:tc>
        <w:tc>
          <w:tcPr>
            <w:tcW w:w="1270" w:type="pct"/>
            <w:gridSpan w:val="2"/>
            <w:noWrap w:val="0"/>
            <w:vAlign w:val="top"/>
          </w:tcPr>
          <w:p>
            <w:pPr>
              <w:spacing w:line="280" w:lineRule="exact"/>
              <w:jc w:val="center"/>
              <w:rPr>
                <w:color w:val="000000"/>
                <w:sz w:val="18"/>
                <w:szCs w:val="18"/>
              </w:rPr>
            </w:pPr>
            <w:r>
              <w:rPr>
                <w:color w:val="000000"/>
                <w:sz w:val="18"/>
                <w:szCs w:val="18"/>
              </w:rPr>
              <w:t>环境应急预案</w:t>
            </w:r>
          </w:p>
        </w:tc>
        <w:tc>
          <w:tcPr>
            <w:tcW w:w="380" w:type="pct"/>
            <w:noWrap w:val="0"/>
            <w:vAlign w:val="top"/>
          </w:tcPr>
          <w:p>
            <w:pPr>
              <w:spacing w:line="280" w:lineRule="exact"/>
              <w:jc w:val="center"/>
              <w:rPr>
                <w:color w:val="000000"/>
                <w:sz w:val="18"/>
                <w:szCs w:val="18"/>
              </w:rPr>
            </w:pPr>
            <w:r>
              <w:rPr>
                <w:color w:val="000000"/>
                <w:sz w:val="18"/>
                <w:szCs w:val="18"/>
              </w:rPr>
              <w:t>0.10</w:t>
            </w:r>
          </w:p>
        </w:tc>
        <w:tc>
          <w:tcPr>
            <w:tcW w:w="1848" w:type="pct"/>
            <w:gridSpan w:val="4"/>
            <w:noWrap w:val="0"/>
            <w:vAlign w:val="top"/>
          </w:tcPr>
          <w:p>
            <w:pPr>
              <w:spacing w:line="280" w:lineRule="exact"/>
              <w:rPr>
                <w:rFonts w:hint="eastAsia"/>
                <w:color w:val="000000"/>
                <w:sz w:val="18"/>
                <w:szCs w:val="18"/>
              </w:rPr>
            </w:pPr>
            <w:r>
              <w:rPr>
                <w:color w:val="000000"/>
                <w:sz w:val="18"/>
                <w:szCs w:val="18"/>
              </w:rPr>
              <w:t>根据《突发环境事件应急预案管理办法》（环发[2010]113 号）及环境保护法要求，制 定企业突发环境事件应急预案</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4"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4363" w:type="pct"/>
            <w:gridSpan w:val="10"/>
            <w:noWrap w:val="0"/>
            <w:vAlign w:val="top"/>
          </w:tcPr>
          <w:p>
            <w:pPr>
              <w:spacing w:line="280" w:lineRule="exact"/>
              <w:rPr>
                <w:color w:val="000000"/>
                <w:sz w:val="18"/>
                <w:szCs w:val="18"/>
              </w:rPr>
            </w:pPr>
            <w:r>
              <w:rPr>
                <w:color w:val="000000"/>
                <w:sz w:val="18"/>
                <w:szCs w:val="18"/>
              </w:rPr>
              <w:t>注：带</w:t>
            </w:r>
            <w:r>
              <w:rPr>
                <w:rFonts w:hint="eastAsia" w:ascii="宋体" w:hAnsi="宋体" w:cs="宋体"/>
                <w:color w:val="000000"/>
                <w:sz w:val="18"/>
                <w:szCs w:val="18"/>
              </w:rPr>
              <w:t>※</w:t>
            </w:r>
            <w:r>
              <w:rPr>
                <w:color w:val="000000"/>
                <w:sz w:val="18"/>
                <w:szCs w:val="18"/>
              </w:rPr>
              <w:t>的指标为限定性指标。</w:t>
            </w:r>
          </w:p>
        </w:tc>
        <w:tc>
          <w:tcPr>
            <w:tcW w:w="333" w:type="pct"/>
            <w:noWrap w:val="0"/>
            <w:vAlign w:val="top"/>
          </w:tcPr>
          <w:p>
            <w:pPr>
              <w:spacing w:line="280" w:lineRule="exact"/>
              <w:jc w:val="center"/>
              <w:rPr>
                <w:rFonts w:hint="eastAsia"/>
                <w:color w:val="000000"/>
                <w:sz w:val="18"/>
                <w:szCs w:val="18"/>
              </w:rPr>
            </w:pPr>
          </w:p>
        </w:tc>
        <w:tc>
          <w:tcPr>
            <w:tcW w:w="304" w:type="pct"/>
            <w:noWrap w:val="0"/>
            <w:vAlign w:val="top"/>
          </w:tcPr>
          <w:p>
            <w:pPr>
              <w:spacing w:line="280" w:lineRule="exact"/>
              <w:jc w:val="center"/>
              <w:rPr>
                <w:rFonts w:hint="eastAsia"/>
                <w:color w:val="000000"/>
                <w:sz w:val="18"/>
                <w:szCs w:val="18"/>
              </w:rPr>
            </w:pPr>
          </w:p>
        </w:tc>
      </w:tr>
    </w:tbl>
    <w:p>
      <w:pPr>
        <w:spacing w:line="280" w:lineRule="exact"/>
        <w:rPr>
          <w:rFonts w:hint="eastAsia"/>
          <w:color w:val="000000"/>
        </w:rPr>
      </w:pPr>
    </w:p>
    <w:p>
      <w:pPr>
        <w:rPr>
          <w:color w:val="000000"/>
        </w:rPr>
        <w:sectPr>
          <w:pgSz w:w="16838" w:h="11906" w:orient="landscape"/>
          <w:pgMar w:top="1418" w:right="1247" w:bottom="1418" w:left="1247" w:header="720" w:footer="720" w:gutter="0"/>
          <w:cols w:space="720" w:num="1"/>
          <w:titlePg/>
        </w:sectPr>
      </w:pPr>
    </w:p>
    <w:bookmarkEnd w:id="319"/>
    <w:bookmarkEnd w:id="320"/>
    <w:p>
      <w:pPr>
        <w:spacing w:line="360" w:lineRule="auto"/>
        <w:ind w:firstLine="480" w:firstLineChars="200"/>
        <w:rPr>
          <w:rFonts w:hint="eastAsia" w:ascii="宋体" w:hAnsi="宋体"/>
          <w:color w:val="000000"/>
          <w:sz w:val="24"/>
        </w:rPr>
      </w:pPr>
      <w:bookmarkStart w:id="322" w:name="_Toc530815709"/>
      <w:bookmarkStart w:id="323" w:name="_Toc474018716"/>
      <w:bookmarkStart w:id="324" w:name="_Toc415316050"/>
      <w:bookmarkStart w:id="325" w:name="_Toc422252499"/>
      <w:bookmarkStart w:id="326" w:name="_Toc288303488"/>
      <w:r>
        <w:rPr>
          <w:rFonts w:hint="eastAsia" w:ascii="宋体" w:hAnsi="宋体"/>
          <w:color w:val="000000"/>
          <w:sz w:val="24"/>
        </w:rPr>
        <w:t>铅锌采选行业清洁生产企业的评定</w:t>
      </w:r>
    </w:p>
    <w:p>
      <w:pPr>
        <w:spacing w:line="360" w:lineRule="auto"/>
        <w:ind w:firstLine="480" w:firstLineChars="200"/>
        <w:rPr>
          <w:rFonts w:hint="eastAsia" w:ascii="宋体" w:hAnsi="宋体"/>
          <w:color w:val="000000"/>
          <w:sz w:val="24"/>
        </w:rPr>
      </w:pPr>
      <w:r>
        <w:rPr>
          <w:rFonts w:hint="eastAsia" w:ascii="宋体" w:hAnsi="宋体"/>
          <w:color w:val="000000"/>
          <w:sz w:val="24"/>
        </w:rPr>
        <w:t>本标准采用限定性指标评价和指标分级加权评价相结合的方法。在限定性指标达到Ⅲ级水平的基础是，采用指标分级加权评价方法，计算行业清洁生产综合评价指数。根据综合评价指数，确定清洁生产水平等级。</w:t>
      </w:r>
    </w:p>
    <w:p>
      <w:pPr>
        <w:spacing w:line="360" w:lineRule="auto"/>
        <w:ind w:firstLine="480" w:firstLineChars="200"/>
        <w:rPr>
          <w:rFonts w:hint="eastAsia" w:ascii="宋体" w:hAnsi="宋体"/>
          <w:color w:val="000000"/>
          <w:sz w:val="24"/>
        </w:rPr>
      </w:pPr>
      <w:r>
        <w:rPr>
          <w:rFonts w:hint="eastAsia" w:ascii="宋体" w:hAnsi="宋体"/>
          <w:color w:val="000000"/>
          <w:sz w:val="24"/>
        </w:rPr>
        <w:t>对铅锌采选企业清洁生产水平的评价，是以其清洁生产综合评价指数为依据的，对达到一定综合评价指数的企业，分别评定为清洁生产领先企业、清洁生产先进企业或清洁生产一般企业。</w:t>
      </w:r>
    </w:p>
    <w:p>
      <w:pPr>
        <w:spacing w:line="360" w:lineRule="auto"/>
        <w:ind w:firstLine="480" w:firstLineChars="200"/>
        <w:rPr>
          <w:rFonts w:hint="eastAsia" w:ascii="宋体" w:hAnsi="宋体"/>
          <w:color w:val="000000"/>
          <w:sz w:val="24"/>
        </w:rPr>
      </w:pPr>
      <w:r>
        <w:rPr>
          <w:rFonts w:hint="eastAsia" w:ascii="宋体" w:hAnsi="宋体"/>
          <w:color w:val="000000"/>
          <w:sz w:val="24"/>
        </w:rPr>
        <w:t>根据目前我国铅锌采选行业的实际情况，不同等级的清洁生产企业的综合评价指数列于表2-42 。</w:t>
      </w:r>
    </w:p>
    <w:p>
      <w:pPr>
        <w:spacing w:line="280" w:lineRule="exact"/>
        <w:ind w:firstLine="480" w:firstLineChars="200"/>
        <w:jc w:val="center"/>
        <w:rPr>
          <w:rFonts w:hint="eastAsia" w:ascii="宋体" w:hAnsi="宋体"/>
          <w:color w:val="000000"/>
          <w:sz w:val="24"/>
        </w:rPr>
      </w:pPr>
      <w:r>
        <w:rPr>
          <w:rFonts w:hint="eastAsia" w:ascii="宋体" w:hAnsi="宋体"/>
          <w:color w:val="000000"/>
          <w:sz w:val="24"/>
        </w:rPr>
        <w:t>表 2-42  铅锌采选行业不同等级清洁生产企业综合评价指数</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5659"/>
        <w:gridCol w:w="13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79" w:hRule="atLeast"/>
        </w:trPr>
        <w:tc>
          <w:tcPr>
            <w:tcW w:w="1980" w:type="dxa"/>
            <w:noWrap w:val="0"/>
            <w:vAlign w:val="top"/>
          </w:tcPr>
          <w:p>
            <w:pPr>
              <w:spacing w:line="280" w:lineRule="exact"/>
              <w:rPr>
                <w:rFonts w:hint="eastAsia"/>
                <w:color w:val="000000"/>
                <w:szCs w:val="21"/>
              </w:rPr>
            </w:pPr>
            <w:r>
              <w:rPr>
                <w:rFonts w:hint="eastAsia"/>
                <w:color w:val="000000"/>
                <w:szCs w:val="21"/>
              </w:rPr>
              <w:t>企业清洁生产水平</w:t>
            </w:r>
          </w:p>
        </w:tc>
        <w:tc>
          <w:tcPr>
            <w:tcW w:w="5659" w:type="dxa"/>
            <w:noWrap w:val="0"/>
            <w:vAlign w:val="top"/>
          </w:tcPr>
          <w:p>
            <w:pPr>
              <w:spacing w:line="280" w:lineRule="exact"/>
              <w:jc w:val="center"/>
              <w:rPr>
                <w:rFonts w:hint="eastAsia"/>
                <w:color w:val="000000"/>
                <w:szCs w:val="28"/>
              </w:rPr>
            </w:pPr>
            <w:r>
              <w:rPr>
                <w:rFonts w:hint="eastAsia"/>
                <w:color w:val="000000"/>
                <w:szCs w:val="28"/>
              </w:rPr>
              <w:t>评定条件</w:t>
            </w:r>
          </w:p>
        </w:tc>
        <w:tc>
          <w:tcPr>
            <w:tcW w:w="1361" w:type="dxa"/>
            <w:noWrap w:val="0"/>
            <w:vAlign w:val="top"/>
          </w:tcPr>
          <w:p>
            <w:pPr>
              <w:spacing w:line="280" w:lineRule="exact"/>
              <w:jc w:val="center"/>
              <w:rPr>
                <w:rFonts w:hint="eastAsia"/>
                <w:color w:val="000000"/>
                <w:szCs w:val="28"/>
              </w:rPr>
            </w:pPr>
            <w:r>
              <w:rPr>
                <w:rFonts w:hint="eastAsia"/>
                <w:color w:val="000000"/>
                <w:szCs w:val="28"/>
              </w:rPr>
              <w:t>公司自评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6" w:hRule="atLeast"/>
        </w:trPr>
        <w:tc>
          <w:tcPr>
            <w:tcW w:w="1980" w:type="dxa"/>
            <w:noWrap w:val="0"/>
            <w:vAlign w:val="top"/>
          </w:tcPr>
          <w:p>
            <w:pPr>
              <w:spacing w:line="280" w:lineRule="exact"/>
              <w:jc w:val="center"/>
              <w:rPr>
                <w:rFonts w:hint="eastAsia"/>
                <w:color w:val="000000"/>
                <w:szCs w:val="21"/>
              </w:rPr>
            </w:pPr>
            <w:r>
              <w:rPr>
                <w:rFonts w:hint="eastAsia"/>
                <w:color w:val="000000"/>
                <w:szCs w:val="21"/>
              </w:rPr>
              <w:t>Ⅰ级</w:t>
            </w:r>
          </w:p>
        </w:tc>
        <w:tc>
          <w:tcPr>
            <w:tcW w:w="5659" w:type="dxa"/>
            <w:noWrap w:val="0"/>
            <w:vAlign w:val="top"/>
          </w:tcPr>
          <w:p>
            <w:pPr>
              <w:spacing w:line="280" w:lineRule="exact"/>
              <w:rPr>
                <w:rFonts w:hint="eastAsia"/>
                <w:color w:val="000000"/>
                <w:szCs w:val="28"/>
              </w:rPr>
            </w:pPr>
            <w:r>
              <w:rPr>
                <w:color w:val="000000"/>
                <w:sz w:val="28"/>
                <w:szCs w:val="28"/>
              </w:rPr>
              <w:t>Y</w:t>
            </w:r>
            <w:r>
              <w:rPr>
                <w:rFonts w:hint="eastAsia"/>
                <w:color w:val="000000"/>
                <w:sz w:val="15"/>
                <w:szCs w:val="15"/>
              </w:rPr>
              <w:t>g</w:t>
            </w:r>
            <w:r>
              <w:rPr>
                <w:color w:val="000000"/>
                <w:sz w:val="18"/>
                <w:szCs w:val="18"/>
              </w:rPr>
              <w:t xml:space="preserve"> </w:t>
            </w:r>
            <w:r>
              <w:rPr>
                <w:rFonts w:hint="eastAsia"/>
                <w:color w:val="000000"/>
                <w:sz w:val="18"/>
                <w:szCs w:val="18"/>
                <w:vertAlign w:val="superscript"/>
              </w:rPr>
              <w:t>1</w:t>
            </w:r>
            <w:r>
              <w:rPr>
                <w:rFonts w:hint="eastAsia" w:ascii="宋体" w:hAnsi="宋体"/>
                <w:color w:val="000000"/>
                <w:sz w:val="24"/>
              </w:rPr>
              <w:t xml:space="preserve"> ≥</w:t>
            </w:r>
            <w:r>
              <w:rPr>
                <w:color w:val="000000"/>
                <w:sz w:val="24"/>
              </w:rPr>
              <w:t>85</w:t>
            </w:r>
            <w:r>
              <w:rPr>
                <w:rFonts w:hint="eastAsia"/>
                <w:color w:val="000000"/>
                <w:sz w:val="24"/>
              </w:rPr>
              <w:t>,</w:t>
            </w:r>
            <w:r>
              <w:rPr>
                <w:rFonts w:hint="eastAsia"/>
                <w:color w:val="000000"/>
                <w:szCs w:val="21"/>
              </w:rPr>
              <w:t>限定性指标全部满足Ⅰ级基准值要求</w:t>
            </w:r>
          </w:p>
        </w:tc>
        <w:tc>
          <w:tcPr>
            <w:tcW w:w="1361" w:type="dxa"/>
            <w:noWrap w:val="0"/>
            <w:vAlign w:val="top"/>
          </w:tcPr>
          <w:p>
            <w:pPr>
              <w:spacing w:line="280" w:lineRule="exact"/>
              <w:rPr>
                <w:rFonts w:hint="eastAsia"/>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2" w:hRule="atLeast"/>
        </w:trPr>
        <w:tc>
          <w:tcPr>
            <w:tcW w:w="1980" w:type="dxa"/>
            <w:noWrap w:val="0"/>
            <w:vAlign w:val="top"/>
          </w:tcPr>
          <w:p>
            <w:pPr>
              <w:spacing w:line="280" w:lineRule="exact"/>
              <w:jc w:val="center"/>
              <w:rPr>
                <w:rFonts w:hint="eastAsia"/>
                <w:color w:val="000000"/>
                <w:szCs w:val="21"/>
              </w:rPr>
            </w:pPr>
            <w:r>
              <w:rPr>
                <w:rFonts w:hint="eastAsia"/>
                <w:color w:val="000000"/>
                <w:szCs w:val="21"/>
              </w:rPr>
              <w:t>Ⅱ级</w:t>
            </w:r>
          </w:p>
        </w:tc>
        <w:tc>
          <w:tcPr>
            <w:tcW w:w="5659" w:type="dxa"/>
            <w:noWrap w:val="0"/>
            <w:vAlign w:val="top"/>
          </w:tcPr>
          <w:p>
            <w:pPr>
              <w:spacing w:line="280" w:lineRule="exact"/>
              <w:rPr>
                <w:rFonts w:hint="eastAsia"/>
                <w:color w:val="000000"/>
                <w:szCs w:val="28"/>
              </w:rPr>
            </w:pPr>
            <w:r>
              <w:rPr>
                <w:color w:val="000000"/>
                <w:sz w:val="28"/>
                <w:szCs w:val="28"/>
              </w:rPr>
              <w:t>Y</w:t>
            </w:r>
            <w:r>
              <w:rPr>
                <w:rFonts w:hint="eastAsia"/>
                <w:color w:val="000000"/>
                <w:sz w:val="15"/>
                <w:szCs w:val="15"/>
              </w:rPr>
              <w:t>g</w:t>
            </w:r>
            <w:r>
              <w:rPr>
                <w:color w:val="000000"/>
                <w:sz w:val="24"/>
              </w:rPr>
              <w:t xml:space="preserve"> </w:t>
            </w:r>
            <w:r>
              <w:rPr>
                <w:rFonts w:hint="eastAsia"/>
                <w:color w:val="000000"/>
                <w:sz w:val="18"/>
                <w:szCs w:val="18"/>
                <w:vertAlign w:val="superscript"/>
              </w:rPr>
              <w:t>2</w:t>
            </w:r>
            <w:r>
              <w:rPr>
                <w:rFonts w:hint="eastAsia"/>
                <w:color w:val="000000"/>
                <w:sz w:val="18"/>
                <w:szCs w:val="18"/>
              </w:rPr>
              <w:t xml:space="preserve"> </w:t>
            </w:r>
            <w:r>
              <w:rPr>
                <w:rFonts w:hint="eastAsia" w:ascii="宋体" w:hAnsi="宋体"/>
                <w:color w:val="000000"/>
                <w:sz w:val="24"/>
              </w:rPr>
              <w:t xml:space="preserve"> ≥</w:t>
            </w:r>
            <w:r>
              <w:rPr>
                <w:color w:val="000000"/>
                <w:sz w:val="24"/>
              </w:rPr>
              <w:t xml:space="preserve">85 </w:t>
            </w:r>
            <w:r>
              <w:rPr>
                <w:rFonts w:hint="eastAsia"/>
                <w:color w:val="000000"/>
                <w:sz w:val="24"/>
              </w:rPr>
              <w:t>,</w:t>
            </w:r>
            <w:r>
              <w:rPr>
                <w:rFonts w:hint="eastAsia"/>
                <w:color w:val="000000"/>
                <w:szCs w:val="28"/>
              </w:rPr>
              <w:t>限定性指标全部满足Ⅱ级基准值要求及以上</w:t>
            </w:r>
          </w:p>
        </w:tc>
        <w:tc>
          <w:tcPr>
            <w:tcW w:w="1361" w:type="dxa"/>
            <w:noWrap w:val="0"/>
            <w:vAlign w:val="top"/>
          </w:tcPr>
          <w:p>
            <w:pPr>
              <w:spacing w:line="280" w:lineRule="exact"/>
              <w:rPr>
                <w:rFonts w:hint="eastAsia"/>
                <w:color w:val="000000"/>
                <w:szCs w:val="28"/>
              </w:rPr>
            </w:pPr>
            <w:r>
              <w:rPr>
                <w:rFonts w:hint="eastAsia"/>
                <w:color w:val="000000"/>
                <w:szCs w:val="28"/>
              </w:rPr>
              <w:t>45.5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55" w:hRule="atLeast"/>
        </w:trPr>
        <w:tc>
          <w:tcPr>
            <w:tcW w:w="1980" w:type="dxa"/>
            <w:noWrap w:val="0"/>
            <w:vAlign w:val="top"/>
          </w:tcPr>
          <w:p>
            <w:pPr>
              <w:spacing w:line="280" w:lineRule="exact"/>
              <w:jc w:val="center"/>
              <w:rPr>
                <w:rFonts w:hint="eastAsia"/>
                <w:color w:val="000000"/>
                <w:szCs w:val="21"/>
              </w:rPr>
            </w:pPr>
            <w:r>
              <w:rPr>
                <w:rFonts w:hint="eastAsia"/>
                <w:color w:val="000000"/>
                <w:szCs w:val="21"/>
              </w:rPr>
              <w:t>Ⅲ级</w:t>
            </w:r>
          </w:p>
        </w:tc>
        <w:tc>
          <w:tcPr>
            <w:tcW w:w="5659" w:type="dxa"/>
            <w:noWrap w:val="0"/>
            <w:vAlign w:val="top"/>
          </w:tcPr>
          <w:p>
            <w:pPr>
              <w:spacing w:line="280" w:lineRule="exact"/>
              <w:rPr>
                <w:rFonts w:hint="eastAsia"/>
                <w:color w:val="000000"/>
                <w:szCs w:val="28"/>
              </w:rPr>
            </w:pPr>
            <w:r>
              <w:rPr>
                <w:color w:val="000000"/>
                <w:sz w:val="28"/>
                <w:szCs w:val="28"/>
              </w:rPr>
              <w:t>Y</w:t>
            </w:r>
            <w:r>
              <w:rPr>
                <w:rFonts w:hint="eastAsia"/>
                <w:color w:val="000000"/>
                <w:sz w:val="15"/>
                <w:szCs w:val="15"/>
              </w:rPr>
              <w:t>g</w:t>
            </w:r>
            <w:r>
              <w:rPr>
                <w:color w:val="000000"/>
                <w:sz w:val="24"/>
              </w:rPr>
              <w:t xml:space="preserve"> </w:t>
            </w:r>
            <w:r>
              <w:rPr>
                <w:color w:val="000000"/>
                <w:sz w:val="18"/>
                <w:szCs w:val="18"/>
                <w:vertAlign w:val="superscript"/>
              </w:rPr>
              <w:t>3</w:t>
            </w:r>
            <w:r>
              <w:rPr>
                <w:rFonts w:hint="eastAsia"/>
                <w:color w:val="000000"/>
                <w:sz w:val="24"/>
              </w:rPr>
              <w:t xml:space="preserve"> </w:t>
            </w:r>
            <w:r>
              <w:rPr>
                <w:rFonts w:hint="eastAsia" w:ascii="宋体" w:hAnsi="宋体"/>
                <w:color w:val="000000"/>
                <w:sz w:val="24"/>
              </w:rPr>
              <w:t xml:space="preserve"> =100</w:t>
            </w:r>
          </w:p>
        </w:tc>
        <w:tc>
          <w:tcPr>
            <w:tcW w:w="1361" w:type="dxa"/>
            <w:noWrap w:val="0"/>
            <w:vAlign w:val="top"/>
          </w:tcPr>
          <w:p>
            <w:pPr>
              <w:spacing w:line="280" w:lineRule="exact"/>
              <w:rPr>
                <w:rFonts w:hint="eastAsia"/>
                <w:color w:val="000000"/>
                <w:szCs w:val="28"/>
              </w:rPr>
            </w:pPr>
            <w:r>
              <w:rPr>
                <w:rFonts w:hint="eastAsia"/>
                <w:color w:val="000000"/>
                <w:szCs w:val="28"/>
              </w:rPr>
              <w:t>100</w:t>
            </w:r>
          </w:p>
        </w:tc>
      </w:tr>
    </w:tbl>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审核前清洁生产水平评价</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三级清洁生产水平评定：</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公司生产工艺及装备指标，资源能源消耗指标，资源综合利用指标，产品特征指标，污染物产生指标，清洁生产管理指标均达到清洁生产三级水平。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二级清洁生产水平评定：</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根据评定要求，带*的指标为限定性指标。公司</w:t>
      </w:r>
      <w:r>
        <w:rPr>
          <w:color w:val="000000"/>
          <w:sz w:val="24"/>
          <w:szCs w:val="24"/>
        </w:rPr>
        <w:t>资源能源消耗指标</w:t>
      </w:r>
      <w:r>
        <w:rPr>
          <w:rFonts w:hint="eastAsia" w:ascii="宋体" w:hAnsi="宋体"/>
          <w:color w:val="000000"/>
          <w:sz w:val="24"/>
          <w:szCs w:val="24"/>
        </w:rPr>
        <w:t>—</w:t>
      </w:r>
      <w:r>
        <w:rPr>
          <w:rFonts w:hint="eastAsia" w:ascii="宋体" w:hAnsi="宋体" w:cs="宋体"/>
          <w:color w:val="000000"/>
          <w:sz w:val="24"/>
          <w:szCs w:val="24"/>
        </w:rPr>
        <w:t>※</w:t>
      </w:r>
      <w:r>
        <w:rPr>
          <w:color w:val="000000"/>
          <w:sz w:val="24"/>
          <w:szCs w:val="24"/>
        </w:rPr>
        <w:t>新水用量</w:t>
      </w:r>
      <w:r>
        <w:rPr>
          <w:rFonts w:hint="eastAsia"/>
          <w:color w:val="000000"/>
          <w:sz w:val="24"/>
          <w:szCs w:val="24"/>
        </w:rPr>
        <w:t>、</w:t>
      </w:r>
      <w:r>
        <w:rPr>
          <w:color w:val="000000"/>
          <w:sz w:val="24"/>
          <w:szCs w:val="24"/>
        </w:rPr>
        <w:t>资源利用指标</w:t>
      </w:r>
      <w:r>
        <w:rPr>
          <w:rFonts w:hint="eastAsia"/>
          <w:color w:val="000000"/>
          <w:sz w:val="24"/>
          <w:szCs w:val="24"/>
        </w:rPr>
        <w:t>—</w:t>
      </w:r>
      <w:r>
        <w:rPr>
          <w:rFonts w:hint="eastAsia" w:ascii="宋体" w:hAnsi="宋体" w:cs="宋体"/>
          <w:color w:val="000000"/>
          <w:sz w:val="24"/>
          <w:szCs w:val="24"/>
        </w:rPr>
        <w:t>※</w:t>
      </w:r>
      <w:r>
        <w:rPr>
          <w:color w:val="000000"/>
          <w:sz w:val="24"/>
          <w:szCs w:val="24"/>
        </w:rPr>
        <w:t>工业用水重复利用率</w:t>
      </w:r>
      <w:r>
        <w:rPr>
          <w:rFonts w:hint="eastAsia" w:ascii="宋体" w:hAnsi="宋体"/>
          <w:color w:val="000000"/>
          <w:sz w:val="24"/>
          <w:szCs w:val="24"/>
        </w:rPr>
        <w:t>为三级指标，不符合二级清洁生产水平评定。二级清洁生产指标评分为45.5分,评分指标也达不到二级基准值。</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审核前清洁生产评价结论：</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审核前，公司各项指标</w:t>
      </w:r>
      <w:r>
        <w:rPr>
          <w:rFonts w:ascii="宋体" w:hAnsi="宋体"/>
          <w:color w:val="000000"/>
          <w:sz w:val="24"/>
        </w:rPr>
        <w:t>与国家发展和改革委员会、环境保护部、工业和信息化部颁布的《</w:t>
      </w:r>
      <w:r>
        <w:rPr>
          <w:rFonts w:hint="eastAsia"/>
          <w:color w:val="000000"/>
          <w:sz w:val="24"/>
        </w:rPr>
        <w:t>铅锌采选行业清洁生产评价指标体系</w:t>
      </w:r>
      <w:r>
        <w:rPr>
          <w:rFonts w:ascii="宋体" w:hAnsi="宋体"/>
          <w:color w:val="000000"/>
          <w:sz w:val="24"/>
        </w:rPr>
        <w:t>》进行对比，</w:t>
      </w:r>
      <w:r>
        <w:rPr>
          <w:rFonts w:hint="eastAsia" w:ascii="宋体" w:hAnsi="宋体" w:cs="宋体"/>
          <w:color w:val="000000"/>
          <w:sz w:val="24"/>
        </w:rPr>
        <w:t>公司达到清洁生产三级水平。</w:t>
      </w:r>
    </w:p>
    <w:p>
      <w:pPr>
        <w:spacing w:line="360" w:lineRule="auto"/>
        <w:ind w:firstLine="480" w:firstLineChars="200"/>
        <w:rPr>
          <w:rFonts w:hint="eastAsia" w:ascii="宋体" w:hAnsi="宋体"/>
          <w:color w:val="000000"/>
          <w:sz w:val="24"/>
        </w:rPr>
      </w:pPr>
      <w:r>
        <w:rPr>
          <w:rFonts w:hint="eastAsia" w:ascii="宋体" w:hAnsi="宋体"/>
          <w:color w:val="000000"/>
          <w:sz w:val="24"/>
        </w:rPr>
        <w:t>2.5.1.1</w:t>
      </w:r>
      <w:r>
        <w:rPr>
          <w:rFonts w:ascii="宋体" w:hAnsi="宋体"/>
          <w:color w:val="000000"/>
          <w:sz w:val="24"/>
        </w:rPr>
        <w:t>资源能源消耗指标</w:t>
      </w:r>
      <w:r>
        <w:rPr>
          <w:rFonts w:hint="eastAsia" w:ascii="宋体" w:hAnsi="宋体"/>
          <w:color w:val="000000"/>
          <w:sz w:val="24"/>
        </w:rPr>
        <w:t>数据：</w:t>
      </w:r>
    </w:p>
    <w:p>
      <w:pPr>
        <w:spacing w:line="360" w:lineRule="auto"/>
        <w:ind w:firstLine="480" w:firstLineChars="200"/>
        <w:rPr>
          <w:rFonts w:hint="eastAsia" w:ascii="宋体" w:hAnsi="宋体"/>
          <w:color w:val="000000"/>
          <w:sz w:val="24"/>
        </w:rPr>
      </w:pPr>
      <w:r>
        <w:rPr>
          <w:rFonts w:hint="eastAsia" w:ascii="宋体" w:hAnsi="宋体"/>
          <w:color w:val="000000"/>
          <w:sz w:val="24"/>
        </w:rPr>
        <w:t>（1）公司2018年铅锌矿总产量(精矿)10575.77吨。</w:t>
      </w:r>
    </w:p>
    <w:p>
      <w:pPr>
        <w:spacing w:line="360" w:lineRule="auto"/>
        <w:ind w:firstLine="480" w:firstLineChars="200"/>
        <w:rPr>
          <w:rFonts w:hint="eastAsia" w:ascii="宋体" w:hAnsi="宋体"/>
          <w:color w:val="000000"/>
          <w:sz w:val="24"/>
        </w:rPr>
      </w:pPr>
      <w:r>
        <w:rPr>
          <w:rFonts w:hint="eastAsia" w:ascii="宋体" w:hAnsi="宋体"/>
          <w:color w:val="000000"/>
          <w:sz w:val="24"/>
        </w:rPr>
        <w:t>（2）公司2018年用水量79312.7吨。</w:t>
      </w:r>
    </w:p>
    <w:p>
      <w:pPr>
        <w:spacing w:line="360" w:lineRule="auto"/>
        <w:ind w:firstLine="480" w:firstLineChars="200"/>
        <w:rPr>
          <w:rFonts w:hint="eastAsia" w:ascii="宋体" w:hAnsi="宋体"/>
          <w:color w:val="000000"/>
          <w:sz w:val="24"/>
        </w:rPr>
      </w:pPr>
      <w:r>
        <w:rPr>
          <w:rFonts w:hint="eastAsia" w:ascii="宋体" w:hAnsi="宋体"/>
          <w:color w:val="000000"/>
          <w:sz w:val="24"/>
        </w:rPr>
        <w:t>（3）公司2018年用电量1756590千瓦时，</w:t>
      </w:r>
    </w:p>
    <w:p>
      <w:pPr>
        <w:spacing w:line="360" w:lineRule="auto"/>
        <w:ind w:firstLine="480" w:firstLineChars="200"/>
        <w:rPr>
          <w:rFonts w:hint="eastAsia" w:ascii="宋体" w:hAnsi="宋体"/>
          <w:color w:val="000000"/>
          <w:sz w:val="24"/>
        </w:rPr>
      </w:pPr>
      <w:r>
        <w:rPr>
          <w:rFonts w:hint="eastAsia" w:ascii="宋体" w:hAnsi="宋体"/>
          <w:color w:val="000000"/>
          <w:sz w:val="24"/>
        </w:rPr>
        <w:t>（4）原矿产量53230吨</w:t>
      </w:r>
    </w:p>
    <w:p>
      <w:pPr>
        <w:spacing w:line="360" w:lineRule="auto"/>
        <w:ind w:firstLine="480" w:firstLineChars="200"/>
        <w:rPr>
          <w:rFonts w:hint="eastAsia" w:ascii="宋体" w:hAnsi="宋体"/>
          <w:color w:val="000000"/>
          <w:sz w:val="24"/>
        </w:rPr>
      </w:pPr>
      <w:r>
        <w:rPr>
          <w:rFonts w:hint="eastAsia" w:ascii="宋体" w:hAnsi="宋体"/>
          <w:color w:val="000000"/>
          <w:sz w:val="24"/>
        </w:rPr>
        <w:t>资源能源计算见表2-43.</w:t>
      </w:r>
    </w:p>
    <w:p>
      <w:pPr>
        <w:spacing w:line="360" w:lineRule="auto"/>
        <w:ind w:firstLine="480" w:firstLineChars="200"/>
        <w:rPr>
          <w:rFonts w:hint="eastAsia" w:ascii="宋体" w:hAnsi="宋体"/>
          <w:color w:val="000000"/>
          <w:sz w:val="24"/>
        </w:rPr>
      </w:pPr>
    </w:p>
    <w:p>
      <w:pPr>
        <w:spacing w:line="320" w:lineRule="exact"/>
        <w:jc w:val="center"/>
        <w:rPr>
          <w:rFonts w:hint="eastAsia"/>
          <w:b/>
          <w:color w:val="000000"/>
          <w:sz w:val="24"/>
          <w:szCs w:val="24"/>
        </w:rPr>
      </w:pPr>
      <w:r>
        <w:rPr>
          <w:rFonts w:hint="eastAsia"/>
          <w:b/>
          <w:color w:val="000000"/>
          <w:sz w:val="24"/>
          <w:szCs w:val="24"/>
        </w:rPr>
        <w:t>表2-43资源能源消耗情况表</w:t>
      </w:r>
    </w:p>
    <w:tbl>
      <w:tblPr>
        <w:tblStyle w:val="35"/>
        <w:tblW w:w="8841" w:type="dxa"/>
        <w:tblInd w:w="28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Layout w:type="fixed"/>
        <w:tblCellMar>
          <w:top w:w="0" w:type="dxa"/>
          <w:left w:w="0" w:type="dxa"/>
          <w:bottom w:w="0" w:type="dxa"/>
          <w:right w:w="0" w:type="dxa"/>
        </w:tblCellMar>
      </w:tblPr>
      <w:tblGrid>
        <w:gridCol w:w="4956"/>
        <w:gridCol w:w="1896"/>
        <w:gridCol w:w="1989"/>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ascii="宋体" w:hAnsi="宋体" w:cs="宋体"/>
                <w:color w:val="000000"/>
                <w:kern w:val="0"/>
                <w:szCs w:val="21"/>
              </w:rPr>
              <w:t>能源</w:t>
            </w:r>
          </w:p>
        </w:tc>
        <w:tc>
          <w:tcPr>
            <w:tcW w:w="3885" w:type="dxa"/>
            <w:gridSpan w:val="2"/>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ascii="宋体" w:hAnsi="宋体" w:cs="宋体"/>
                <w:color w:val="000000"/>
                <w:kern w:val="0"/>
                <w:szCs w:val="21"/>
              </w:rPr>
              <w:t>2018年</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种类</w:t>
            </w:r>
          </w:p>
        </w:tc>
        <w:tc>
          <w:tcPr>
            <w:tcW w:w="1896"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用量</w:t>
            </w:r>
          </w:p>
        </w:tc>
        <w:tc>
          <w:tcPr>
            <w:tcW w:w="1989"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折标煤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s="宋体"/>
                <w:color w:val="000000"/>
                <w:kern w:val="0"/>
                <w:szCs w:val="21"/>
              </w:rPr>
              <w:t>电（kwh）</w:t>
            </w:r>
          </w:p>
        </w:tc>
        <w:tc>
          <w:tcPr>
            <w:tcW w:w="1896"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1756590</w:t>
            </w:r>
          </w:p>
        </w:tc>
        <w:tc>
          <w:tcPr>
            <w:tcW w:w="1989"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olor w:val="000000"/>
                <w:szCs w:val="21"/>
              </w:rPr>
              <w:t>215.88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ascii="宋体" w:hAnsi="宋体" w:cs="宋体"/>
                <w:color w:val="000000"/>
                <w:kern w:val="0"/>
                <w:szCs w:val="21"/>
              </w:rPr>
              <w:t>柴油（吨）</w:t>
            </w:r>
          </w:p>
        </w:tc>
        <w:tc>
          <w:tcPr>
            <w:tcW w:w="1896"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ascii="宋体" w:hAnsi="宋体" w:cs="宋体"/>
                <w:color w:val="000000"/>
                <w:kern w:val="0"/>
                <w:szCs w:val="21"/>
              </w:rPr>
              <w:t>15.475</w:t>
            </w:r>
          </w:p>
        </w:tc>
        <w:tc>
          <w:tcPr>
            <w:tcW w:w="1989" w:type="dxa"/>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ascii="宋体" w:hAnsi="宋体"/>
                <w:color w:val="000000"/>
                <w:szCs w:val="21"/>
              </w:rPr>
              <w:t>22.55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s="宋体"/>
                <w:color w:val="000000"/>
                <w:kern w:val="0"/>
                <w:szCs w:val="21"/>
              </w:rPr>
              <w:t>总能耗（tce)</w:t>
            </w:r>
          </w:p>
        </w:tc>
        <w:tc>
          <w:tcPr>
            <w:tcW w:w="1896"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p>
        </w:tc>
        <w:tc>
          <w:tcPr>
            <w:tcW w:w="1989"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238.43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s="宋体"/>
                <w:color w:val="000000"/>
                <w:kern w:val="0"/>
                <w:szCs w:val="21"/>
              </w:rPr>
              <w:t>产品产量(</w:t>
            </w:r>
            <w:r>
              <w:rPr>
                <w:rFonts w:hint="eastAsia" w:ascii="宋体" w:hAnsi="宋体" w:cs="宋体"/>
                <w:color w:val="000000"/>
                <w:kern w:val="0"/>
                <w:szCs w:val="21"/>
              </w:rPr>
              <w:t>精矿，</w:t>
            </w:r>
            <w:r>
              <w:rPr>
                <w:rFonts w:ascii="宋体" w:hAnsi="宋体" w:cs="宋体"/>
                <w:color w:val="000000"/>
                <w:kern w:val="0"/>
                <w:szCs w:val="21"/>
              </w:rPr>
              <w:t>t)</w:t>
            </w:r>
          </w:p>
        </w:tc>
        <w:tc>
          <w:tcPr>
            <w:tcW w:w="3885" w:type="dxa"/>
            <w:gridSpan w:val="2"/>
            <w:shd w:val="clear" w:color="auto" w:fill="FFFFFF"/>
            <w:noWrap w:val="0"/>
            <w:tcMar>
              <w:left w:w="108" w:type="dxa"/>
              <w:right w:w="108" w:type="dxa"/>
            </w:tcMar>
            <w:vAlign w:val="center"/>
          </w:tcPr>
          <w:p>
            <w:pPr>
              <w:widowControl/>
              <w:spacing w:line="320" w:lineRule="exact"/>
              <w:jc w:val="center"/>
              <w:rPr>
                <w:rFonts w:hint="eastAsia" w:ascii="宋体" w:hAnsi="宋体"/>
                <w:color w:val="000000"/>
                <w:szCs w:val="21"/>
              </w:rPr>
            </w:pPr>
            <w:r>
              <w:rPr>
                <w:rFonts w:hint="eastAsia"/>
                <w:color w:val="000000"/>
                <w:szCs w:val="21"/>
              </w:rPr>
              <w:t>10575.77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综合能</w:t>
            </w:r>
            <w:r>
              <w:rPr>
                <w:rFonts w:ascii="宋体" w:hAnsi="宋体" w:cs="宋体"/>
                <w:color w:val="000000"/>
                <w:kern w:val="0"/>
                <w:szCs w:val="21"/>
              </w:rPr>
              <w:t>耗(</w:t>
            </w:r>
            <w:r>
              <w:rPr>
                <w:rFonts w:hint="eastAsia" w:ascii="宋体" w:hAnsi="宋体" w:cs="宋体"/>
                <w:color w:val="000000"/>
                <w:kern w:val="0"/>
                <w:szCs w:val="21"/>
              </w:rPr>
              <w:t>kg</w:t>
            </w:r>
            <w:r>
              <w:rPr>
                <w:rFonts w:ascii="宋体" w:hAnsi="宋体" w:cs="宋体"/>
                <w:color w:val="000000"/>
                <w:kern w:val="0"/>
                <w:szCs w:val="21"/>
              </w:rPr>
              <w:t>ce</w:t>
            </w:r>
            <w:r>
              <w:rPr>
                <w:rFonts w:hint="eastAsia" w:ascii="宋体" w:hAnsi="宋体" w:cs="宋体"/>
                <w:color w:val="000000"/>
                <w:kern w:val="0"/>
                <w:szCs w:val="21"/>
              </w:rPr>
              <w:t>/t</w:t>
            </w:r>
            <w:r>
              <w:rPr>
                <w:rFonts w:ascii="宋体" w:hAnsi="宋体" w:cs="宋体"/>
                <w:color w:val="000000"/>
                <w:kern w:val="0"/>
                <w:szCs w:val="21"/>
              </w:rPr>
              <w:t>)</w:t>
            </w:r>
          </w:p>
        </w:tc>
        <w:tc>
          <w:tcPr>
            <w:tcW w:w="3885" w:type="dxa"/>
            <w:gridSpan w:val="2"/>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22.54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ascii="Verdana" w:hAnsi="宋体" w:cs="宋体"/>
                <w:color w:val="000000"/>
                <w:kern w:val="0"/>
                <w:szCs w:val="21"/>
              </w:rPr>
              <w:t>产品产量</w:t>
            </w:r>
            <w:r>
              <w:rPr>
                <w:rFonts w:hint="eastAsia" w:ascii="Verdana" w:hAnsi="宋体" w:cs="宋体"/>
                <w:color w:val="000000"/>
                <w:kern w:val="0"/>
                <w:szCs w:val="21"/>
              </w:rPr>
              <w:t>（</w:t>
            </w:r>
            <w:r>
              <w:rPr>
                <w:rFonts w:hint="eastAsia" w:ascii="Verdana" w:hAnsi="Verdana" w:cs="宋体"/>
                <w:color w:val="000000"/>
                <w:kern w:val="0"/>
                <w:szCs w:val="21"/>
              </w:rPr>
              <w:t>原矿</w:t>
            </w:r>
            <w:r>
              <w:rPr>
                <w:rFonts w:ascii="Verdana" w:hAnsi="Verdana" w:cs="宋体"/>
                <w:color w:val="000000"/>
                <w:kern w:val="0"/>
                <w:szCs w:val="21"/>
              </w:rPr>
              <w:t>t)</w:t>
            </w:r>
          </w:p>
        </w:tc>
        <w:tc>
          <w:tcPr>
            <w:tcW w:w="3885" w:type="dxa"/>
            <w:gridSpan w:val="2"/>
            <w:shd w:val="clear" w:color="auto" w:fill="FFFFFF"/>
            <w:noWrap w:val="0"/>
            <w:tcMar>
              <w:left w:w="108" w:type="dxa"/>
              <w:right w:w="108" w:type="dxa"/>
            </w:tcMar>
            <w:vAlign w:val="center"/>
          </w:tcPr>
          <w:p>
            <w:pPr>
              <w:widowControl/>
              <w:spacing w:line="320" w:lineRule="exact"/>
              <w:jc w:val="center"/>
              <w:rPr>
                <w:color w:val="000000"/>
                <w:szCs w:val="21"/>
              </w:rPr>
            </w:pPr>
            <w:r>
              <w:rPr>
                <w:color w:val="000000"/>
                <w:szCs w:val="21"/>
              </w:rPr>
              <w:t>53230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综合能</w:t>
            </w:r>
            <w:r>
              <w:rPr>
                <w:rFonts w:ascii="宋体" w:hAnsi="宋体" w:cs="宋体"/>
                <w:color w:val="000000"/>
                <w:kern w:val="0"/>
                <w:szCs w:val="21"/>
              </w:rPr>
              <w:t>耗(</w:t>
            </w:r>
            <w:r>
              <w:rPr>
                <w:rFonts w:hint="eastAsia" w:ascii="宋体" w:hAnsi="宋体" w:cs="宋体"/>
                <w:color w:val="000000"/>
                <w:kern w:val="0"/>
                <w:szCs w:val="21"/>
              </w:rPr>
              <w:t>kg</w:t>
            </w:r>
            <w:r>
              <w:rPr>
                <w:rFonts w:ascii="宋体" w:hAnsi="宋体" w:cs="宋体"/>
                <w:color w:val="000000"/>
                <w:kern w:val="0"/>
                <w:szCs w:val="21"/>
              </w:rPr>
              <w:t>ce</w:t>
            </w:r>
            <w:r>
              <w:rPr>
                <w:rFonts w:hint="eastAsia" w:ascii="宋体" w:hAnsi="宋体" w:cs="宋体"/>
                <w:color w:val="000000"/>
                <w:kern w:val="0"/>
                <w:szCs w:val="21"/>
              </w:rPr>
              <w:t>/t原矿</w:t>
            </w:r>
            <w:r>
              <w:rPr>
                <w:rFonts w:ascii="宋体" w:hAnsi="宋体" w:cs="宋体"/>
                <w:color w:val="000000"/>
                <w:kern w:val="0"/>
                <w:szCs w:val="21"/>
              </w:rPr>
              <w:t>)</w:t>
            </w:r>
          </w:p>
        </w:tc>
        <w:tc>
          <w:tcPr>
            <w:tcW w:w="3885" w:type="dxa"/>
            <w:gridSpan w:val="2"/>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4.48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highlight w:val="yellow"/>
              </w:rPr>
            </w:pPr>
            <w:r>
              <w:rPr>
                <w:color w:val="000000"/>
                <w:szCs w:val="21"/>
              </w:rPr>
              <w:t>电耗</w:t>
            </w:r>
            <w:r>
              <w:rPr>
                <w:rFonts w:hint="eastAsia" w:ascii="宋体" w:hAnsi="宋体"/>
                <w:color w:val="000000"/>
                <w:szCs w:val="21"/>
              </w:rPr>
              <w:t>（</w:t>
            </w:r>
            <w:r>
              <w:rPr>
                <w:rFonts w:ascii="宋体" w:hAnsi="宋体"/>
                <w:color w:val="000000"/>
                <w:szCs w:val="21"/>
              </w:rPr>
              <w:t>k·Wh/t原矿</w:t>
            </w:r>
            <w:r>
              <w:rPr>
                <w:rFonts w:hint="eastAsia" w:ascii="宋体" w:hAnsi="宋体"/>
                <w:color w:val="000000"/>
                <w:szCs w:val="21"/>
              </w:rPr>
              <w:t>）</w:t>
            </w:r>
          </w:p>
        </w:tc>
        <w:tc>
          <w:tcPr>
            <w:tcW w:w="3885" w:type="dxa"/>
            <w:gridSpan w:val="2"/>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33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hint="eastAsia"/>
                <w:color w:val="000000"/>
                <w:szCs w:val="21"/>
              </w:rPr>
            </w:pPr>
            <w:r>
              <w:rPr>
                <w:rFonts w:ascii="Verdana" w:hAnsi="宋体" w:cs="宋体"/>
                <w:color w:val="000000"/>
                <w:kern w:val="0"/>
                <w:szCs w:val="21"/>
              </w:rPr>
              <w:t>选矿生产用水</w:t>
            </w:r>
            <w:r>
              <w:rPr>
                <w:rFonts w:ascii="Verdana" w:hAnsi="Verdana" w:cs="宋体"/>
                <w:color w:val="000000"/>
                <w:kern w:val="0"/>
                <w:szCs w:val="21"/>
              </w:rPr>
              <w:t>(</w:t>
            </w:r>
            <w:r>
              <w:rPr>
                <w:rFonts w:ascii="Verdana" w:hAnsi="Verdana"/>
                <w:color w:val="000000"/>
                <w:szCs w:val="21"/>
              </w:rPr>
              <w:t>m</w:t>
            </w:r>
            <w:r>
              <w:rPr>
                <w:rFonts w:ascii="Verdana" w:hAnsi="Verdana"/>
                <w:color w:val="000000"/>
                <w:szCs w:val="21"/>
                <w:vertAlign w:val="superscript"/>
              </w:rPr>
              <w:t>3</w:t>
            </w:r>
            <w:r>
              <w:rPr>
                <w:rFonts w:ascii="Verdana" w:hAnsi="Verdana"/>
                <w:color w:val="000000"/>
                <w:szCs w:val="21"/>
              </w:rPr>
              <w:t>)</w:t>
            </w:r>
          </w:p>
        </w:tc>
        <w:tc>
          <w:tcPr>
            <w:tcW w:w="3885" w:type="dxa"/>
            <w:gridSpan w:val="2"/>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r>
              <w:rPr>
                <w:rFonts w:hint="eastAsia"/>
                <w:color w:val="000000"/>
                <w:szCs w:val="21"/>
              </w:rPr>
              <w:t>79312.7</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ascii="Verdana" w:hAnsi="宋体" w:cs="宋体"/>
                <w:color w:val="000000"/>
                <w:kern w:val="0"/>
                <w:szCs w:val="21"/>
              </w:rPr>
              <w:t>产品产量</w:t>
            </w:r>
            <w:r>
              <w:rPr>
                <w:rFonts w:hint="eastAsia" w:ascii="Verdana" w:hAnsi="宋体" w:cs="宋体"/>
                <w:color w:val="000000"/>
                <w:kern w:val="0"/>
                <w:szCs w:val="21"/>
              </w:rPr>
              <w:t>（</w:t>
            </w:r>
            <w:r>
              <w:rPr>
                <w:rFonts w:hint="eastAsia" w:ascii="Verdana" w:hAnsi="Verdana" w:cs="宋体"/>
                <w:color w:val="000000"/>
                <w:kern w:val="0"/>
                <w:szCs w:val="21"/>
              </w:rPr>
              <w:t>原矿</w:t>
            </w:r>
            <w:r>
              <w:rPr>
                <w:rFonts w:ascii="Verdana" w:hAnsi="Verdana" w:cs="宋体"/>
                <w:color w:val="000000"/>
                <w:kern w:val="0"/>
                <w:szCs w:val="21"/>
              </w:rPr>
              <w:t>t</w:t>
            </w:r>
            <w:r>
              <w:rPr>
                <w:rFonts w:hint="eastAsia" w:ascii="Verdana" w:hAnsi="Verdana" w:cs="宋体"/>
                <w:color w:val="000000"/>
                <w:kern w:val="0"/>
                <w:szCs w:val="21"/>
              </w:rPr>
              <w:t>）</w:t>
            </w:r>
          </w:p>
        </w:tc>
        <w:tc>
          <w:tcPr>
            <w:tcW w:w="3885" w:type="dxa"/>
            <w:gridSpan w:val="2"/>
            <w:shd w:val="clear" w:color="auto" w:fill="FFFFFF"/>
            <w:noWrap w:val="0"/>
            <w:tcMar>
              <w:left w:w="108" w:type="dxa"/>
              <w:right w:w="108" w:type="dxa"/>
            </w:tcMar>
            <w:vAlign w:val="center"/>
          </w:tcPr>
          <w:p>
            <w:pPr>
              <w:widowControl/>
              <w:spacing w:line="320" w:lineRule="exact"/>
              <w:jc w:val="center"/>
              <w:rPr>
                <w:color w:val="000000"/>
                <w:szCs w:val="21"/>
              </w:rPr>
            </w:pPr>
            <w:r>
              <w:rPr>
                <w:color w:val="000000"/>
                <w:szCs w:val="21"/>
              </w:rPr>
              <w:t>53230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7" w:hRule="atLeast"/>
        </w:trPr>
        <w:tc>
          <w:tcPr>
            <w:tcW w:w="4956" w:type="dxa"/>
            <w:shd w:val="clear" w:color="auto" w:fill="FFFFFF"/>
            <w:noWrap w:val="0"/>
            <w:tcMar>
              <w:left w:w="108" w:type="dxa"/>
              <w:right w:w="108" w:type="dxa"/>
            </w:tcMar>
            <w:vAlign w:val="top"/>
          </w:tcPr>
          <w:p>
            <w:pPr>
              <w:spacing w:line="320" w:lineRule="exact"/>
              <w:jc w:val="center"/>
              <w:rPr>
                <w:rFonts w:hint="eastAsia"/>
                <w:color w:val="000000"/>
                <w:szCs w:val="21"/>
              </w:rPr>
            </w:pPr>
            <w:r>
              <w:rPr>
                <w:rFonts w:hint="eastAsia" w:ascii="宋体" w:hAnsi="宋体" w:cs="宋体"/>
                <w:color w:val="000000"/>
                <w:szCs w:val="21"/>
              </w:rPr>
              <w:t>※</w:t>
            </w:r>
            <w:r>
              <w:rPr>
                <w:color w:val="000000"/>
                <w:szCs w:val="21"/>
              </w:rPr>
              <w:t>新水用量</w:t>
            </w:r>
          </w:p>
        </w:tc>
        <w:tc>
          <w:tcPr>
            <w:tcW w:w="3885" w:type="dxa"/>
            <w:gridSpan w:val="2"/>
            <w:shd w:val="clear" w:color="auto" w:fill="FFFFFF"/>
            <w:noWrap w:val="0"/>
            <w:tcMar>
              <w:left w:w="108" w:type="dxa"/>
              <w:right w:w="108" w:type="dxa"/>
            </w:tcMar>
            <w:vAlign w:val="top"/>
          </w:tcPr>
          <w:p>
            <w:pPr>
              <w:spacing w:line="320" w:lineRule="exact"/>
              <w:jc w:val="center"/>
              <w:rPr>
                <w:rFonts w:hint="eastAsia"/>
                <w:color w:val="000000"/>
                <w:szCs w:val="21"/>
              </w:rPr>
            </w:pPr>
            <w:r>
              <w:rPr>
                <w:rFonts w:hint="eastAsia"/>
                <w:color w:val="000000"/>
                <w:szCs w:val="21"/>
              </w:rPr>
              <w:t>1.49</w:t>
            </w:r>
            <w:r>
              <w:rPr>
                <w:color w:val="000000"/>
                <w:szCs w:val="21"/>
              </w:rPr>
              <w:t>m</w:t>
            </w:r>
            <w:r>
              <w:rPr>
                <w:color w:val="000000"/>
                <w:szCs w:val="21"/>
                <w:vertAlign w:val="superscript"/>
              </w:rPr>
              <w:t>3</w:t>
            </w:r>
            <w:r>
              <w:rPr>
                <w:color w:val="000000"/>
                <w:szCs w:val="21"/>
              </w:rPr>
              <w:t>/t</w:t>
            </w:r>
          </w:p>
        </w:tc>
      </w:tr>
    </w:tbl>
    <w:p>
      <w:pPr>
        <w:spacing w:line="360" w:lineRule="auto"/>
        <w:ind w:firstLine="482" w:firstLineChars="200"/>
        <w:rPr>
          <w:rFonts w:hint="eastAsia"/>
          <w:b/>
          <w:color w:val="000000"/>
          <w:sz w:val="24"/>
        </w:rPr>
      </w:pPr>
      <w:r>
        <w:rPr>
          <w:rFonts w:hint="eastAsia"/>
          <w:b/>
          <w:color w:val="000000"/>
          <w:sz w:val="24"/>
        </w:rPr>
        <w:t>2.5.1.2</w:t>
      </w:r>
      <w:r>
        <w:rPr>
          <w:b/>
          <w:color w:val="000000"/>
          <w:sz w:val="24"/>
        </w:rPr>
        <w:t>资源利用指标</w:t>
      </w:r>
      <w:r>
        <w:rPr>
          <w:rFonts w:hint="eastAsia"/>
          <w:b/>
          <w:color w:val="000000"/>
          <w:sz w:val="24"/>
        </w:rPr>
        <w:t>：</w:t>
      </w:r>
    </w:p>
    <w:p>
      <w:pPr>
        <w:spacing w:line="360" w:lineRule="auto"/>
        <w:ind w:firstLine="480" w:firstLineChars="200"/>
        <w:rPr>
          <w:rFonts w:hint="eastAsia"/>
          <w:color w:val="000000"/>
          <w:sz w:val="24"/>
        </w:rPr>
      </w:pPr>
      <w:r>
        <w:rPr>
          <w:rFonts w:hint="eastAsia"/>
          <w:color w:val="000000"/>
          <w:sz w:val="24"/>
        </w:rPr>
        <w:t>（1）</w:t>
      </w:r>
      <w:r>
        <w:rPr>
          <w:color w:val="000000"/>
          <w:sz w:val="24"/>
        </w:rPr>
        <w:t>铅选矿金属实际回收率</w:t>
      </w:r>
      <w:r>
        <w:rPr>
          <w:rFonts w:hint="eastAsia"/>
          <w:color w:val="000000"/>
          <w:sz w:val="24"/>
        </w:rPr>
        <w:t>87.71</w:t>
      </w:r>
    </w:p>
    <w:p>
      <w:pPr>
        <w:spacing w:line="360" w:lineRule="auto"/>
        <w:ind w:firstLine="480" w:firstLineChars="200"/>
        <w:rPr>
          <w:rFonts w:hint="eastAsia"/>
          <w:color w:val="000000"/>
          <w:sz w:val="24"/>
        </w:rPr>
      </w:pPr>
      <w:r>
        <w:rPr>
          <w:rFonts w:hint="eastAsia"/>
          <w:color w:val="000000"/>
          <w:sz w:val="24"/>
        </w:rPr>
        <w:t>2018年产品原矿产量53230吨,含铅5.5%,铅金属2972.65吨，铅精矿4347.94吨,品位60%,含铅量为2607.31吨.铅金属回收率为87.71%</w:t>
      </w:r>
    </w:p>
    <w:p>
      <w:pPr>
        <w:spacing w:line="360" w:lineRule="auto"/>
        <w:ind w:firstLine="480" w:firstLineChars="200"/>
        <w:outlineLvl w:val="0"/>
        <w:rPr>
          <w:color w:val="000000"/>
          <w:sz w:val="24"/>
        </w:rPr>
      </w:pPr>
      <w:r>
        <w:rPr>
          <w:rFonts w:hint="eastAsia"/>
          <w:color w:val="000000"/>
          <w:sz w:val="24"/>
        </w:rPr>
        <w:t>（2）</w:t>
      </w:r>
      <w:r>
        <w:rPr>
          <w:color w:val="000000"/>
          <w:sz w:val="24"/>
        </w:rPr>
        <w:t>锌选矿金属实际回收率</w:t>
      </w:r>
      <w:r>
        <w:rPr>
          <w:rFonts w:hint="eastAsia"/>
          <w:color w:val="000000"/>
          <w:sz w:val="24"/>
        </w:rPr>
        <w:t>87.35</w:t>
      </w:r>
    </w:p>
    <w:p>
      <w:pPr>
        <w:spacing w:line="360" w:lineRule="auto"/>
        <w:ind w:firstLine="480" w:firstLineChars="200"/>
        <w:rPr>
          <w:rFonts w:hint="eastAsia"/>
          <w:color w:val="000000"/>
          <w:sz w:val="24"/>
        </w:rPr>
      </w:pPr>
      <w:r>
        <w:rPr>
          <w:rFonts w:hint="eastAsia"/>
          <w:color w:val="000000"/>
          <w:sz w:val="24"/>
        </w:rPr>
        <w:t>2018年产品原矿产量53230吨,含锌8.05%%,锌金属4278吨，锌精矿6227.83吨,品位60%,含锌量为3736.7.锌金属回收率为87.35%</w:t>
      </w:r>
    </w:p>
    <w:p>
      <w:pPr>
        <w:spacing w:line="360" w:lineRule="auto"/>
        <w:ind w:firstLine="480" w:firstLineChars="200"/>
        <w:rPr>
          <w:rFonts w:hint="eastAsia"/>
          <w:color w:val="000000"/>
          <w:sz w:val="24"/>
        </w:rPr>
      </w:pPr>
      <w:r>
        <w:rPr>
          <w:rFonts w:hint="eastAsia"/>
          <w:color w:val="000000"/>
          <w:sz w:val="24"/>
        </w:rPr>
        <w:t>（3）※</w:t>
      </w:r>
      <w:r>
        <w:rPr>
          <w:color w:val="000000"/>
          <w:sz w:val="24"/>
        </w:rPr>
        <w:t>伴生元素回收程度</w:t>
      </w:r>
    </w:p>
    <w:p>
      <w:pPr>
        <w:spacing w:line="360" w:lineRule="auto"/>
        <w:ind w:firstLine="480" w:firstLineChars="200"/>
        <w:rPr>
          <w:rFonts w:hint="eastAsia"/>
          <w:color w:val="000000"/>
          <w:sz w:val="24"/>
        </w:rPr>
      </w:pPr>
      <w:r>
        <w:rPr>
          <w:rFonts w:hint="eastAsia"/>
          <w:color w:val="000000"/>
          <w:sz w:val="24"/>
        </w:rPr>
        <w:t>（4）※</w:t>
      </w:r>
      <w:r>
        <w:rPr>
          <w:color w:val="000000"/>
          <w:sz w:val="24"/>
        </w:rPr>
        <w:t>工业用水重复利用率</w:t>
      </w:r>
      <w:r>
        <w:rPr>
          <w:rFonts w:hint="eastAsia"/>
          <w:color w:val="000000"/>
          <w:sz w:val="24"/>
        </w:rPr>
        <w:t>：90%</w:t>
      </w:r>
    </w:p>
    <w:p>
      <w:pPr>
        <w:spacing w:line="360" w:lineRule="auto"/>
        <w:ind w:firstLine="480" w:firstLineChars="200"/>
        <w:rPr>
          <w:rFonts w:hint="eastAsia"/>
          <w:color w:val="000000"/>
          <w:sz w:val="24"/>
        </w:rPr>
      </w:pPr>
      <w:r>
        <w:rPr>
          <w:rFonts w:hint="eastAsia"/>
          <w:color w:val="000000"/>
          <w:sz w:val="24"/>
        </w:rPr>
        <w:t>水重复利用率=总重复利用水量÷鲜水用量﹢总重复利用水量=38320</w:t>
      </w:r>
      <w:r>
        <w:rPr>
          <w:rFonts w:hint="eastAsia" w:ascii="宋体" w:hAnsi="宋体"/>
          <w:color w:val="000000"/>
          <w:sz w:val="24"/>
        </w:rPr>
        <w:t>0÷(</w:t>
      </w:r>
      <w:r>
        <w:rPr>
          <w:rFonts w:hint="eastAsia"/>
          <w:color w:val="000000"/>
          <w:sz w:val="24"/>
        </w:rPr>
        <w:t>79312.</w:t>
      </w:r>
      <w:r>
        <w:rPr>
          <w:rFonts w:hint="eastAsia" w:ascii="宋体" w:hAnsi="宋体"/>
          <w:color w:val="000000"/>
          <w:sz w:val="24"/>
        </w:rPr>
        <w:t>7＋383200)=0.8285×100%=82.85%</w:t>
      </w:r>
    </w:p>
    <w:p>
      <w:pPr>
        <w:spacing w:line="360" w:lineRule="auto"/>
        <w:ind w:firstLine="480" w:firstLineChars="200"/>
        <w:rPr>
          <w:rFonts w:hint="eastAsia"/>
          <w:color w:val="000000"/>
          <w:sz w:val="24"/>
        </w:rPr>
      </w:pPr>
      <w:r>
        <w:rPr>
          <w:rFonts w:hint="eastAsia"/>
          <w:color w:val="000000"/>
          <w:sz w:val="24"/>
        </w:rPr>
        <w:t>（5）</w:t>
      </w:r>
      <w:r>
        <w:rPr>
          <w:color w:val="000000"/>
          <w:sz w:val="24"/>
        </w:rPr>
        <w:t>尾矿综合利用率（地下矿山）</w:t>
      </w:r>
      <w:r>
        <w:rPr>
          <w:rFonts w:hint="eastAsia"/>
          <w:color w:val="000000"/>
          <w:sz w:val="24"/>
        </w:rPr>
        <w:t>：地下矿山尾矿综合利用率为80%，主要用于回填采空区。</w:t>
      </w:r>
    </w:p>
    <w:p>
      <w:pPr>
        <w:spacing w:line="360" w:lineRule="auto"/>
        <w:ind w:firstLine="482" w:firstLineChars="200"/>
        <w:outlineLvl w:val="0"/>
        <w:rPr>
          <w:rFonts w:hint="eastAsia"/>
          <w:b/>
          <w:color w:val="000000"/>
          <w:sz w:val="24"/>
        </w:rPr>
      </w:pPr>
      <w:r>
        <w:rPr>
          <w:rFonts w:hint="eastAsia"/>
          <w:b/>
          <w:color w:val="000000"/>
          <w:sz w:val="24"/>
        </w:rPr>
        <w:t>2.6.1.3</w:t>
      </w:r>
      <w:r>
        <w:rPr>
          <w:b/>
          <w:color w:val="000000"/>
          <w:sz w:val="24"/>
        </w:rPr>
        <w:t>污染物产生指标</w:t>
      </w:r>
    </w:p>
    <w:p>
      <w:pPr>
        <w:spacing w:line="360" w:lineRule="auto"/>
        <w:ind w:firstLine="480" w:firstLineChars="200"/>
        <w:rPr>
          <w:rFonts w:hint="eastAsia"/>
          <w:color w:val="000000"/>
          <w:sz w:val="24"/>
          <w:szCs w:val="24"/>
        </w:rPr>
      </w:pPr>
      <w:r>
        <w:rPr>
          <w:rFonts w:hint="eastAsia"/>
          <w:color w:val="000000"/>
          <w:sz w:val="24"/>
          <w:szCs w:val="24"/>
        </w:rPr>
        <w:t>（1）※</w:t>
      </w:r>
      <w:r>
        <w:rPr>
          <w:color w:val="000000"/>
          <w:sz w:val="24"/>
          <w:szCs w:val="24"/>
        </w:rPr>
        <w:t>废水产生量</w:t>
      </w:r>
    </w:p>
    <w:p>
      <w:pPr>
        <w:spacing w:line="360" w:lineRule="auto"/>
        <w:ind w:firstLine="480" w:firstLineChars="200"/>
        <w:rPr>
          <w:rFonts w:hint="eastAsia"/>
          <w:color w:val="000000"/>
          <w:sz w:val="24"/>
          <w:szCs w:val="24"/>
        </w:rPr>
      </w:pPr>
      <w:r>
        <w:rPr>
          <w:rFonts w:hint="eastAsia"/>
          <w:color w:val="000000"/>
          <w:sz w:val="24"/>
          <w:szCs w:val="24"/>
        </w:rPr>
        <w:t>全年总废水量为=77726.45÷</w:t>
      </w:r>
      <w:r>
        <w:rPr>
          <w:color w:val="000000"/>
          <w:sz w:val="24"/>
          <w:szCs w:val="24"/>
        </w:rPr>
        <w:t>53230</w:t>
      </w:r>
      <w:r>
        <w:rPr>
          <w:rFonts w:hint="eastAsia"/>
          <w:color w:val="000000"/>
          <w:sz w:val="24"/>
          <w:szCs w:val="24"/>
        </w:rPr>
        <w:t>=1.46</w:t>
      </w:r>
      <w:r>
        <w:rPr>
          <w:color w:val="000000"/>
          <w:sz w:val="24"/>
          <w:szCs w:val="24"/>
        </w:rPr>
        <w:t xml:space="preserve"> m</w:t>
      </w:r>
      <w:r>
        <w:rPr>
          <w:color w:val="000000"/>
          <w:sz w:val="24"/>
          <w:szCs w:val="24"/>
          <w:vertAlign w:val="superscript"/>
        </w:rPr>
        <w:t>3</w:t>
      </w:r>
      <w:r>
        <w:rPr>
          <w:color w:val="000000"/>
          <w:sz w:val="24"/>
          <w:szCs w:val="24"/>
        </w:rPr>
        <w:t>/t</w:t>
      </w:r>
    </w:p>
    <w:p>
      <w:pPr>
        <w:spacing w:line="360" w:lineRule="auto"/>
        <w:ind w:firstLine="480" w:firstLineChars="200"/>
        <w:rPr>
          <w:rFonts w:hint="eastAsia"/>
          <w:color w:val="000000"/>
          <w:sz w:val="24"/>
          <w:szCs w:val="24"/>
        </w:rPr>
      </w:pPr>
      <w:r>
        <w:rPr>
          <w:rFonts w:hint="eastAsia"/>
          <w:color w:val="000000"/>
          <w:sz w:val="24"/>
          <w:szCs w:val="24"/>
        </w:rPr>
        <w:t>（2）</w:t>
      </w:r>
      <w:r>
        <w:rPr>
          <w:color w:val="000000"/>
          <w:sz w:val="24"/>
          <w:szCs w:val="24"/>
        </w:rPr>
        <w:t>废水中Pb的最高允许浓度</w:t>
      </w:r>
      <w:r>
        <w:rPr>
          <w:rFonts w:hint="eastAsia"/>
          <w:color w:val="000000"/>
          <w:sz w:val="24"/>
          <w:szCs w:val="24"/>
        </w:rPr>
        <w:t>0.46</w:t>
      </w:r>
    </w:p>
    <w:p>
      <w:pPr>
        <w:spacing w:line="360" w:lineRule="auto"/>
        <w:ind w:firstLine="480" w:firstLineChars="200"/>
        <w:rPr>
          <w:rFonts w:hint="eastAsia"/>
          <w:color w:val="000000"/>
          <w:sz w:val="24"/>
          <w:szCs w:val="24"/>
        </w:rPr>
      </w:pPr>
      <w:r>
        <w:rPr>
          <w:rFonts w:hint="eastAsia"/>
          <w:color w:val="000000"/>
          <w:sz w:val="24"/>
          <w:szCs w:val="24"/>
        </w:rPr>
        <w:t>（3）</w:t>
      </w:r>
      <w:r>
        <w:rPr>
          <w:color w:val="000000"/>
          <w:sz w:val="24"/>
          <w:szCs w:val="24"/>
        </w:rPr>
        <w:t>废水中 Zn 的最高允许 浓度</w:t>
      </w:r>
      <w:r>
        <w:rPr>
          <w:rFonts w:hint="eastAsia"/>
          <w:color w:val="000000"/>
          <w:sz w:val="24"/>
          <w:szCs w:val="24"/>
        </w:rPr>
        <w:t>0.39</w:t>
      </w:r>
    </w:p>
    <w:p>
      <w:pPr>
        <w:spacing w:line="360" w:lineRule="auto"/>
        <w:ind w:firstLine="480" w:firstLineChars="200"/>
        <w:rPr>
          <w:rFonts w:hint="eastAsia"/>
          <w:color w:val="000000"/>
          <w:sz w:val="24"/>
          <w:szCs w:val="24"/>
        </w:rPr>
      </w:pPr>
      <w:r>
        <w:rPr>
          <w:rFonts w:hint="eastAsia"/>
          <w:color w:val="000000"/>
          <w:sz w:val="24"/>
          <w:szCs w:val="24"/>
        </w:rPr>
        <w:t>（4）</w:t>
      </w:r>
      <w:r>
        <w:rPr>
          <w:color w:val="000000"/>
          <w:sz w:val="24"/>
          <w:szCs w:val="24"/>
        </w:rPr>
        <w:t>废水中 Cu 的最高允许浓度</w:t>
      </w:r>
      <w:r>
        <w:rPr>
          <w:rFonts w:hint="eastAsia"/>
          <w:color w:val="000000"/>
          <w:sz w:val="24"/>
          <w:szCs w:val="24"/>
        </w:rPr>
        <w:t>0.09</w:t>
      </w:r>
    </w:p>
    <w:p>
      <w:pPr>
        <w:spacing w:line="360" w:lineRule="auto"/>
        <w:ind w:firstLine="480" w:firstLineChars="200"/>
        <w:rPr>
          <w:rFonts w:hint="eastAsia"/>
          <w:color w:val="000000"/>
          <w:sz w:val="24"/>
          <w:szCs w:val="24"/>
        </w:rPr>
      </w:pPr>
      <w:r>
        <w:rPr>
          <w:rFonts w:hint="eastAsia"/>
          <w:color w:val="000000"/>
          <w:sz w:val="24"/>
          <w:szCs w:val="24"/>
        </w:rPr>
        <w:t>（5）</w:t>
      </w:r>
      <w:r>
        <w:rPr>
          <w:color w:val="000000"/>
          <w:sz w:val="24"/>
          <w:szCs w:val="24"/>
        </w:rPr>
        <w:t>废水中 As 的最高允许浓度</w:t>
      </w:r>
      <w:r>
        <w:rPr>
          <w:rFonts w:hint="eastAsia"/>
          <w:color w:val="000000"/>
          <w:sz w:val="24"/>
          <w:szCs w:val="24"/>
        </w:rPr>
        <w:t>0.12</w:t>
      </w:r>
    </w:p>
    <w:p>
      <w:pPr>
        <w:spacing w:line="360" w:lineRule="auto"/>
        <w:ind w:firstLine="480" w:firstLineChars="200"/>
        <w:rPr>
          <w:rFonts w:hint="eastAsia"/>
          <w:color w:val="000000"/>
          <w:sz w:val="24"/>
          <w:szCs w:val="24"/>
        </w:rPr>
      </w:pPr>
      <w:r>
        <w:rPr>
          <w:rFonts w:hint="eastAsia"/>
          <w:color w:val="000000"/>
          <w:sz w:val="24"/>
          <w:szCs w:val="24"/>
        </w:rPr>
        <w:t>（6）</w:t>
      </w:r>
      <w:r>
        <w:rPr>
          <w:color w:val="000000"/>
          <w:sz w:val="24"/>
          <w:szCs w:val="24"/>
        </w:rPr>
        <w:t>废水中 Cd 的最高允许 浓度</w:t>
      </w:r>
      <w:r>
        <w:rPr>
          <w:rFonts w:hint="eastAsia"/>
          <w:color w:val="000000"/>
          <w:sz w:val="24"/>
          <w:szCs w:val="24"/>
        </w:rPr>
        <w:t>0.05</w:t>
      </w:r>
    </w:p>
    <w:p>
      <w:pPr>
        <w:spacing w:line="360" w:lineRule="auto"/>
        <w:ind w:firstLine="480" w:firstLineChars="200"/>
        <w:rPr>
          <w:rFonts w:hint="eastAsia"/>
          <w:color w:val="000000"/>
          <w:sz w:val="24"/>
          <w:szCs w:val="24"/>
        </w:rPr>
      </w:pPr>
      <w:r>
        <w:rPr>
          <w:rFonts w:hint="eastAsia"/>
          <w:color w:val="000000"/>
          <w:sz w:val="24"/>
          <w:szCs w:val="24"/>
        </w:rPr>
        <w:t>（7）</w:t>
      </w:r>
      <w:r>
        <w:rPr>
          <w:color w:val="000000"/>
          <w:sz w:val="24"/>
          <w:szCs w:val="24"/>
        </w:rPr>
        <w:t xml:space="preserve">化学需氧量 (COD) </w:t>
      </w:r>
      <w:r>
        <w:rPr>
          <w:rFonts w:hint="eastAsia"/>
          <w:color w:val="000000"/>
          <w:sz w:val="24"/>
          <w:szCs w:val="24"/>
        </w:rPr>
        <w:t>56</w:t>
      </w:r>
    </w:p>
    <w:p>
      <w:pPr>
        <w:spacing w:line="360" w:lineRule="auto"/>
        <w:ind w:firstLine="480" w:firstLineChars="200"/>
        <w:rPr>
          <w:rFonts w:hint="eastAsia"/>
          <w:color w:val="000000"/>
          <w:sz w:val="24"/>
          <w:szCs w:val="24"/>
        </w:rPr>
      </w:pPr>
      <w:r>
        <w:rPr>
          <w:rFonts w:hint="eastAsia"/>
          <w:color w:val="000000"/>
          <w:sz w:val="24"/>
          <w:szCs w:val="24"/>
        </w:rPr>
        <w:t>（8）</w:t>
      </w:r>
      <w:r>
        <w:rPr>
          <w:color w:val="000000"/>
          <w:sz w:val="24"/>
          <w:szCs w:val="24"/>
        </w:rPr>
        <w:t>作业环境空气中粉尘最高允许浓度</w:t>
      </w:r>
      <w:r>
        <w:rPr>
          <w:rFonts w:hint="eastAsia"/>
          <w:color w:val="000000"/>
          <w:sz w:val="24"/>
          <w:szCs w:val="24"/>
        </w:rPr>
        <w:t>5</w:t>
      </w:r>
    </w:p>
    <w:p>
      <w:pPr>
        <w:spacing w:line="360" w:lineRule="auto"/>
        <w:ind w:firstLine="480" w:firstLineChars="200"/>
        <w:rPr>
          <w:rFonts w:hint="eastAsia"/>
          <w:color w:val="000000"/>
          <w:sz w:val="24"/>
          <w:szCs w:val="24"/>
        </w:rPr>
      </w:pPr>
      <w:r>
        <w:rPr>
          <w:rFonts w:hint="eastAsia"/>
          <w:color w:val="000000"/>
          <w:sz w:val="24"/>
          <w:szCs w:val="24"/>
        </w:rPr>
        <w:t>污染物产生指标根据2019年3月竣工验收监测报告。</w:t>
      </w:r>
    </w:p>
    <w:p>
      <w:pPr>
        <w:pStyle w:val="4"/>
        <w:rPr>
          <w:color w:val="000000"/>
        </w:rPr>
      </w:pPr>
      <w:bookmarkStart w:id="327" w:name="_Toc23000890"/>
      <w:r>
        <w:rPr>
          <w:color w:val="000000"/>
        </w:rPr>
        <w:t>2.6确定审核重点</w:t>
      </w:r>
      <w:bookmarkEnd w:id="322"/>
      <w:bookmarkEnd w:id="327"/>
    </w:p>
    <w:p>
      <w:pPr>
        <w:pStyle w:val="5"/>
        <w:rPr>
          <w:color w:val="000000"/>
        </w:rPr>
      </w:pPr>
      <w:bookmarkStart w:id="328" w:name="_Toc530815710"/>
      <w:bookmarkStart w:id="329" w:name="_Toc23000891"/>
      <w:bookmarkStart w:id="330" w:name="_Toc474018714"/>
      <w:bookmarkStart w:id="331" w:name="_Toc415316047"/>
      <w:bookmarkStart w:id="332" w:name="_Toc433361545"/>
      <w:r>
        <w:rPr>
          <w:color w:val="000000"/>
        </w:rPr>
        <w:t>2.6.1  确定备选重点</w:t>
      </w:r>
      <w:bookmarkEnd w:id="328"/>
      <w:bookmarkEnd w:id="329"/>
      <w:bookmarkEnd w:id="330"/>
      <w:bookmarkEnd w:id="331"/>
      <w:bookmarkEnd w:id="332"/>
    </w:p>
    <w:p>
      <w:pPr>
        <w:spacing w:line="360" w:lineRule="auto"/>
        <w:ind w:firstLine="480" w:firstLineChars="200"/>
        <w:rPr>
          <w:rFonts w:hint="eastAsia" w:ascii="宋体" w:hAnsi="宋体"/>
          <w:color w:val="000000"/>
          <w:sz w:val="24"/>
          <w:szCs w:val="24"/>
        </w:rPr>
      </w:pPr>
      <w:bookmarkStart w:id="333" w:name="_Toc452900983"/>
      <w:bookmarkStart w:id="334" w:name="_Toc453763955"/>
      <w:r>
        <w:rPr>
          <w:rFonts w:ascii="宋体" w:hAnsi="宋体"/>
          <w:color w:val="000000"/>
          <w:sz w:val="24"/>
          <w:szCs w:val="24"/>
        </w:rPr>
        <w:t>根据原辅材料消耗量大、能源、资源消耗量大、污染物产生的主要环节及治理难度大的环节，</w:t>
      </w:r>
      <w:r>
        <w:rPr>
          <w:rFonts w:hint="eastAsia" w:ascii="宋体" w:hAnsi="宋体"/>
          <w:color w:val="000000"/>
          <w:sz w:val="24"/>
          <w:szCs w:val="24"/>
        </w:rPr>
        <w:t>选为清洁生产审核备选重点。公司铅铅锌选矿生产分为采矿、洗矿（包括洗选各工段）、及尾矿库。因此确定这三个部门</w:t>
      </w:r>
      <w:r>
        <w:rPr>
          <w:rFonts w:ascii="宋体" w:hAnsi="宋体"/>
          <w:color w:val="000000"/>
          <w:sz w:val="24"/>
          <w:szCs w:val="24"/>
        </w:rPr>
        <w:t>作为本轮清洁生产审核的备选审核重点</w:t>
      </w:r>
      <w:r>
        <w:rPr>
          <w:rFonts w:hint="eastAsia" w:ascii="宋体" w:hAnsi="宋体"/>
          <w:color w:val="000000"/>
          <w:sz w:val="24"/>
          <w:szCs w:val="24"/>
        </w:rPr>
        <w:t>。</w:t>
      </w:r>
    </w:p>
    <w:bookmarkEnd w:id="333"/>
    <w:bookmarkEnd w:id="334"/>
    <w:p>
      <w:pPr>
        <w:pStyle w:val="5"/>
        <w:rPr>
          <w:color w:val="000000"/>
        </w:rPr>
      </w:pPr>
      <w:bookmarkStart w:id="335" w:name="_Toc470870208"/>
      <w:bookmarkStart w:id="336" w:name="_Toc474018715"/>
      <w:bookmarkStart w:id="337" w:name="_Toc530815711"/>
      <w:bookmarkStart w:id="338" w:name="_Toc23000892"/>
      <w:r>
        <w:rPr>
          <w:color w:val="000000"/>
        </w:rPr>
        <w:t>2.6.2确定审核重点</w:t>
      </w:r>
      <w:bookmarkEnd w:id="335"/>
      <w:bookmarkEnd w:id="336"/>
      <w:bookmarkEnd w:id="337"/>
      <w:bookmarkEnd w:id="338"/>
    </w:p>
    <w:p>
      <w:pPr>
        <w:spacing w:line="360" w:lineRule="auto"/>
        <w:ind w:firstLine="480" w:firstLineChars="200"/>
        <w:rPr>
          <w:rFonts w:hint="eastAsia" w:ascii="宋体" w:hAnsi="宋体"/>
          <w:color w:val="000000"/>
          <w:sz w:val="24"/>
          <w:szCs w:val="24"/>
        </w:rPr>
      </w:pPr>
      <w:r>
        <w:rPr>
          <w:rFonts w:hint="eastAsia" w:ascii="宋体" w:hAnsi="宋体"/>
          <w:color w:val="000000"/>
          <w:sz w:val="24"/>
        </w:rPr>
        <w:t>公司在2010年第五批强制性清洁生产审核中，</w:t>
      </w:r>
      <w:r>
        <w:rPr>
          <w:rFonts w:hint="eastAsia" w:ascii="宋体" w:hAnsi="宋体"/>
          <w:color w:val="000000"/>
          <w:sz w:val="24"/>
          <w:szCs w:val="24"/>
        </w:rPr>
        <w:t>采用采矿厂（尾矿填充采空区）、选矿厂浓密脱水工段（溢流废水）和破碎工段作为审核重点。审核小组认为由于多次技改和环保设施的完善，采矿和选矿生产已发生了很大变化，同时污染源产生较大的部门是选矿厂，由于选矿属一套完整的选矿工艺，因此确定选矿厂</w:t>
      </w:r>
      <w:r>
        <w:rPr>
          <w:rFonts w:ascii="宋体" w:hAnsi="宋体"/>
          <w:color w:val="000000"/>
          <w:sz w:val="24"/>
          <w:szCs w:val="24"/>
        </w:rPr>
        <w:t>作为本轮清洁生产审核的审核重点</w:t>
      </w:r>
      <w:r>
        <w:rPr>
          <w:rFonts w:hint="eastAsia" w:ascii="宋体" w:hAnsi="宋体"/>
          <w:color w:val="000000"/>
          <w:sz w:val="24"/>
          <w:szCs w:val="24"/>
        </w:rPr>
        <w:t>。</w:t>
      </w:r>
    </w:p>
    <w:p>
      <w:pPr>
        <w:pStyle w:val="4"/>
        <w:rPr>
          <w:rFonts w:hint="eastAsia"/>
          <w:color w:val="000000"/>
        </w:rPr>
      </w:pPr>
      <w:bookmarkStart w:id="339" w:name="_Toc23000893"/>
      <w:r>
        <w:rPr>
          <w:rFonts w:hint="eastAsia"/>
          <w:color w:val="000000"/>
        </w:rPr>
        <w:t>2.7设置清洁生产审核目标</w:t>
      </w:r>
      <w:bookmarkEnd w:id="323"/>
      <w:bookmarkEnd w:id="339"/>
    </w:p>
    <w:p>
      <w:pPr>
        <w:spacing w:line="360" w:lineRule="auto"/>
        <w:ind w:firstLine="460" w:firstLineChars="200"/>
        <w:rPr>
          <w:rFonts w:ascii="宋体" w:hAnsi="宋体"/>
          <w:color w:val="000000"/>
          <w:spacing w:val="-5"/>
          <w:sz w:val="24"/>
        </w:rPr>
      </w:pPr>
      <w:r>
        <w:rPr>
          <w:rFonts w:hint="eastAsia" w:ascii="宋体" w:hAnsi="宋体"/>
          <w:color w:val="000000"/>
          <w:spacing w:val="-5"/>
          <w:sz w:val="24"/>
        </w:rPr>
        <w:t>设置清洁生产目标是通过设置定量化指标，使清洁生产审核真正得以落实，以达到通过清洁生产达到节能降耗减污增效，减少污染物的产生和排放的目的。</w:t>
      </w:r>
    </w:p>
    <w:p>
      <w:pPr>
        <w:spacing w:line="360" w:lineRule="auto"/>
        <w:ind w:firstLine="480" w:firstLineChars="200"/>
        <w:rPr>
          <w:rFonts w:hint="eastAsia" w:ascii="宋体" w:hAnsi="宋体"/>
          <w:color w:val="000000"/>
          <w:spacing w:val="-5"/>
          <w:sz w:val="24"/>
        </w:rPr>
      </w:pPr>
      <w:r>
        <w:rPr>
          <w:rFonts w:hint="eastAsia" w:ascii="宋体" w:hAnsi="宋体"/>
          <w:color w:val="000000"/>
          <w:sz w:val="24"/>
          <w:szCs w:val="24"/>
        </w:rPr>
        <w:t>根据公司采用的生产工艺，污染物处理及排放水平，结合清洁生产审核的潜力，在清洁生产审核指标的对标中，公司</w:t>
      </w:r>
      <w:r>
        <w:rPr>
          <w:color w:val="000000"/>
          <w:sz w:val="24"/>
          <w:szCs w:val="24"/>
        </w:rPr>
        <w:t>资源能源消耗指标</w:t>
      </w:r>
      <w:r>
        <w:rPr>
          <w:rFonts w:hint="eastAsia" w:ascii="宋体" w:hAnsi="宋体"/>
          <w:color w:val="000000"/>
          <w:sz w:val="24"/>
          <w:szCs w:val="24"/>
        </w:rPr>
        <w:t>—</w:t>
      </w:r>
      <w:r>
        <w:rPr>
          <w:rFonts w:hint="eastAsia" w:ascii="宋体" w:hAnsi="宋体" w:cs="宋体"/>
          <w:color w:val="000000"/>
          <w:sz w:val="24"/>
          <w:szCs w:val="24"/>
        </w:rPr>
        <w:t>※</w:t>
      </w:r>
      <w:r>
        <w:rPr>
          <w:color w:val="000000"/>
          <w:sz w:val="24"/>
          <w:szCs w:val="24"/>
        </w:rPr>
        <w:t>新水用量</w:t>
      </w:r>
      <w:r>
        <w:rPr>
          <w:rFonts w:hint="eastAsia"/>
          <w:color w:val="000000"/>
          <w:sz w:val="24"/>
          <w:szCs w:val="24"/>
        </w:rPr>
        <w:t>、</w:t>
      </w:r>
      <w:r>
        <w:rPr>
          <w:color w:val="000000"/>
          <w:sz w:val="24"/>
          <w:szCs w:val="24"/>
        </w:rPr>
        <w:t>资源利用指标</w:t>
      </w:r>
      <w:r>
        <w:rPr>
          <w:rFonts w:hint="eastAsia"/>
          <w:color w:val="000000"/>
          <w:sz w:val="24"/>
          <w:szCs w:val="24"/>
        </w:rPr>
        <w:t>—</w:t>
      </w:r>
      <w:r>
        <w:rPr>
          <w:rFonts w:hint="eastAsia" w:ascii="宋体" w:hAnsi="宋体" w:cs="宋体"/>
          <w:color w:val="000000"/>
          <w:sz w:val="24"/>
          <w:szCs w:val="24"/>
        </w:rPr>
        <w:t>※</w:t>
      </w:r>
      <w:r>
        <w:rPr>
          <w:color w:val="000000"/>
          <w:sz w:val="24"/>
          <w:szCs w:val="24"/>
        </w:rPr>
        <w:t>工业用水重复利用率</w:t>
      </w:r>
      <w:r>
        <w:rPr>
          <w:rFonts w:hint="eastAsia" w:ascii="宋体" w:hAnsi="宋体"/>
          <w:color w:val="000000"/>
          <w:sz w:val="24"/>
          <w:szCs w:val="24"/>
        </w:rPr>
        <w:t>为三级指标，结合审核过程中存在的问题，审核小组认为，公司公司需加强对水资源的综合利用，减少取水量，提高水循环利用率。因此确定提高工业用水重复利用率为清洁生产审核目标。</w:t>
      </w:r>
      <w:r>
        <w:rPr>
          <w:rFonts w:ascii="宋体" w:hAnsi="宋体"/>
          <w:color w:val="000000"/>
          <w:sz w:val="24"/>
          <w:szCs w:val="24"/>
        </w:rPr>
        <w:t>设</w:t>
      </w:r>
      <w:r>
        <w:rPr>
          <w:rFonts w:hint="eastAsia" w:ascii="宋体" w:hAnsi="宋体"/>
          <w:color w:val="000000"/>
          <w:sz w:val="24"/>
          <w:szCs w:val="24"/>
        </w:rPr>
        <w:t>置</w:t>
      </w:r>
      <w:r>
        <w:rPr>
          <w:rFonts w:ascii="宋体" w:hAnsi="宋体"/>
          <w:color w:val="000000"/>
          <w:sz w:val="24"/>
          <w:szCs w:val="24"/>
        </w:rPr>
        <w:t>清洁生产目标见表</w:t>
      </w:r>
      <w:r>
        <w:rPr>
          <w:rFonts w:hint="eastAsia" w:ascii="宋体" w:hAnsi="宋体"/>
          <w:color w:val="000000"/>
          <w:spacing w:val="-5"/>
          <w:sz w:val="24"/>
        </w:rPr>
        <w:t>2－44.</w:t>
      </w:r>
    </w:p>
    <w:p>
      <w:pPr>
        <w:ind w:firstLine="460" w:firstLineChars="200"/>
        <w:rPr>
          <w:rFonts w:hint="eastAsia" w:ascii="宋体" w:hAnsi="宋体"/>
          <w:color w:val="000000"/>
          <w:spacing w:val="-5"/>
          <w:sz w:val="24"/>
        </w:rPr>
      </w:pPr>
    </w:p>
    <w:p>
      <w:pPr>
        <w:ind w:firstLine="460" w:firstLineChars="200"/>
        <w:rPr>
          <w:rFonts w:hint="eastAsia" w:ascii="宋体" w:hAnsi="宋体"/>
          <w:color w:val="000000"/>
          <w:spacing w:val="-5"/>
          <w:sz w:val="24"/>
        </w:rPr>
      </w:pPr>
    </w:p>
    <w:p>
      <w:pPr>
        <w:autoSpaceDE w:val="0"/>
        <w:autoSpaceDN w:val="0"/>
        <w:adjustRightInd w:val="0"/>
        <w:ind w:firstLine="482" w:firstLineChars="200"/>
        <w:jc w:val="center"/>
        <w:rPr>
          <w:rFonts w:hint="eastAsia" w:ascii="宋体" w:hAnsi="宋体" w:cs="宋体"/>
          <w:b/>
          <w:color w:val="000000"/>
          <w:sz w:val="24"/>
          <w:szCs w:val="24"/>
          <w:lang w:val="zh-CN"/>
        </w:rPr>
      </w:pPr>
      <w:r>
        <w:rPr>
          <w:rFonts w:hint="eastAsia" w:ascii="宋体" w:hAnsi="宋体"/>
          <w:b/>
          <w:color w:val="000000"/>
          <w:sz w:val="24"/>
          <w:szCs w:val="24"/>
        </w:rPr>
        <w:t xml:space="preserve">表2—44   </w:t>
      </w:r>
      <w:r>
        <w:rPr>
          <w:rFonts w:hint="eastAsia" w:ascii="宋体" w:hAnsi="宋体" w:cs="宋体"/>
          <w:b/>
          <w:color w:val="000000"/>
          <w:sz w:val="24"/>
          <w:szCs w:val="24"/>
          <w:lang w:val="zh-CN"/>
        </w:rPr>
        <w:t>清洁生产审核目标表</w:t>
      </w:r>
    </w:p>
    <w:tbl>
      <w:tblPr>
        <w:tblStyle w:val="35"/>
        <w:tblW w:w="950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13"/>
        <w:gridCol w:w="2842"/>
        <w:gridCol w:w="1041"/>
        <w:gridCol w:w="1092"/>
        <w:gridCol w:w="1455"/>
        <w:gridCol w:w="1092"/>
        <w:gridCol w:w="136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79" w:hRule="atLeast"/>
          <w:tblHeader/>
          <w:jc w:val="center"/>
        </w:trPr>
        <w:tc>
          <w:tcPr>
            <w:tcW w:w="613" w:type="dxa"/>
            <w:vMerge w:val="restart"/>
            <w:noWrap w:val="0"/>
            <w:vAlign w:val="center"/>
          </w:tcPr>
          <w:p>
            <w:pPr>
              <w:jc w:val="center"/>
              <w:rPr>
                <w:rFonts w:ascii="宋体" w:hAnsi="宋体"/>
                <w:color w:val="000000"/>
                <w:szCs w:val="21"/>
              </w:rPr>
            </w:pPr>
            <w:r>
              <w:rPr>
                <w:rFonts w:hint="eastAsia" w:ascii="宋体" w:hAnsi="宋体"/>
                <w:color w:val="000000"/>
                <w:szCs w:val="21"/>
              </w:rPr>
              <w:t>序号</w:t>
            </w:r>
          </w:p>
        </w:tc>
        <w:tc>
          <w:tcPr>
            <w:tcW w:w="2842" w:type="dxa"/>
            <w:vMerge w:val="restart"/>
            <w:noWrap w:val="0"/>
            <w:vAlign w:val="center"/>
          </w:tcPr>
          <w:p>
            <w:pPr>
              <w:jc w:val="center"/>
              <w:rPr>
                <w:rFonts w:ascii="宋体" w:hAnsi="宋体"/>
                <w:color w:val="000000"/>
                <w:szCs w:val="21"/>
              </w:rPr>
            </w:pPr>
            <w:r>
              <w:rPr>
                <w:rFonts w:hint="eastAsia" w:ascii="宋体" w:hAnsi="宋体"/>
                <w:color w:val="000000"/>
                <w:szCs w:val="21"/>
              </w:rPr>
              <w:t>项目</w:t>
            </w:r>
          </w:p>
        </w:tc>
        <w:tc>
          <w:tcPr>
            <w:tcW w:w="1041" w:type="dxa"/>
            <w:vMerge w:val="restart"/>
            <w:noWrap w:val="0"/>
            <w:vAlign w:val="center"/>
          </w:tcPr>
          <w:p>
            <w:pPr>
              <w:jc w:val="center"/>
              <w:rPr>
                <w:rFonts w:ascii="宋体" w:hAnsi="宋体"/>
                <w:color w:val="000000"/>
                <w:szCs w:val="21"/>
              </w:rPr>
            </w:pPr>
            <w:r>
              <w:rPr>
                <w:rFonts w:hint="eastAsia" w:ascii="宋体" w:hAnsi="宋体"/>
                <w:color w:val="000000"/>
                <w:szCs w:val="21"/>
              </w:rPr>
              <w:t>现状</w:t>
            </w:r>
          </w:p>
        </w:tc>
        <w:tc>
          <w:tcPr>
            <w:tcW w:w="2547" w:type="dxa"/>
            <w:gridSpan w:val="2"/>
            <w:noWrap w:val="0"/>
            <w:vAlign w:val="center"/>
          </w:tcPr>
          <w:p>
            <w:pPr>
              <w:jc w:val="center"/>
              <w:rPr>
                <w:rFonts w:ascii="宋体" w:hAnsi="宋体"/>
                <w:color w:val="000000"/>
                <w:szCs w:val="21"/>
              </w:rPr>
            </w:pPr>
            <w:r>
              <w:rPr>
                <w:rFonts w:hint="eastAsia" w:ascii="宋体" w:hAnsi="宋体"/>
                <w:color w:val="000000"/>
                <w:szCs w:val="21"/>
              </w:rPr>
              <w:t>近期目标</w:t>
            </w:r>
          </w:p>
          <w:p>
            <w:pPr>
              <w:jc w:val="center"/>
              <w:rPr>
                <w:rFonts w:ascii="宋体" w:hAnsi="宋体"/>
                <w:color w:val="000000"/>
                <w:szCs w:val="21"/>
              </w:rPr>
            </w:pPr>
            <w:r>
              <w:rPr>
                <w:rFonts w:hint="eastAsia" w:ascii="宋体" w:hAnsi="宋体"/>
                <w:color w:val="000000"/>
                <w:szCs w:val="21"/>
              </w:rPr>
              <w:t>（2019年12月）</w:t>
            </w:r>
          </w:p>
        </w:tc>
        <w:tc>
          <w:tcPr>
            <w:tcW w:w="2457" w:type="dxa"/>
            <w:gridSpan w:val="2"/>
            <w:noWrap w:val="0"/>
            <w:vAlign w:val="center"/>
          </w:tcPr>
          <w:p>
            <w:pPr>
              <w:jc w:val="center"/>
              <w:rPr>
                <w:rFonts w:ascii="宋体" w:hAnsi="宋体"/>
                <w:color w:val="000000"/>
                <w:szCs w:val="21"/>
              </w:rPr>
            </w:pPr>
            <w:r>
              <w:rPr>
                <w:rFonts w:hint="eastAsia" w:ascii="宋体" w:hAnsi="宋体"/>
                <w:color w:val="000000"/>
                <w:szCs w:val="21"/>
              </w:rPr>
              <w:t>中远期目标</w:t>
            </w:r>
          </w:p>
          <w:p>
            <w:pPr>
              <w:jc w:val="center"/>
              <w:rPr>
                <w:rFonts w:ascii="宋体" w:hAnsi="宋体"/>
                <w:color w:val="000000"/>
                <w:szCs w:val="21"/>
              </w:rPr>
            </w:pPr>
            <w:r>
              <w:rPr>
                <w:rFonts w:hint="eastAsia" w:ascii="宋体" w:hAnsi="宋体"/>
                <w:color w:val="000000"/>
                <w:szCs w:val="21"/>
              </w:rPr>
              <w:t>（2020年12月）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249" w:hRule="atLeast"/>
          <w:tblHeader/>
          <w:jc w:val="center"/>
        </w:trPr>
        <w:tc>
          <w:tcPr>
            <w:tcW w:w="613" w:type="dxa"/>
            <w:vMerge w:val="continue"/>
            <w:noWrap w:val="0"/>
            <w:vAlign w:val="center"/>
          </w:tcPr>
          <w:p>
            <w:pPr>
              <w:widowControl/>
              <w:jc w:val="left"/>
              <w:rPr>
                <w:rFonts w:ascii="宋体" w:hAnsi="宋体"/>
                <w:color w:val="000000"/>
                <w:szCs w:val="21"/>
              </w:rPr>
            </w:pPr>
          </w:p>
        </w:tc>
        <w:tc>
          <w:tcPr>
            <w:tcW w:w="2842" w:type="dxa"/>
            <w:vMerge w:val="continue"/>
            <w:noWrap w:val="0"/>
            <w:vAlign w:val="center"/>
          </w:tcPr>
          <w:p>
            <w:pPr>
              <w:widowControl/>
              <w:jc w:val="left"/>
              <w:rPr>
                <w:rFonts w:ascii="宋体" w:hAnsi="宋体"/>
                <w:color w:val="000000"/>
                <w:szCs w:val="21"/>
              </w:rPr>
            </w:pPr>
          </w:p>
        </w:tc>
        <w:tc>
          <w:tcPr>
            <w:tcW w:w="1041" w:type="dxa"/>
            <w:vMerge w:val="continue"/>
            <w:noWrap w:val="0"/>
            <w:vAlign w:val="center"/>
          </w:tcPr>
          <w:p>
            <w:pPr>
              <w:widowControl/>
              <w:jc w:val="left"/>
              <w:rPr>
                <w:rFonts w:ascii="宋体" w:hAnsi="宋体"/>
                <w:color w:val="000000"/>
                <w:szCs w:val="21"/>
              </w:rPr>
            </w:pPr>
          </w:p>
        </w:tc>
        <w:tc>
          <w:tcPr>
            <w:tcW w:w="1092" w:type="dxa"/>
            <w:noWrap w:val="0"/>
            <w:vAlign w:val="center"/>
          </w:tcPr>
          <w:p>
            <w:pPr>
              <w:jc w:val="center"/>
              <w:rPr>
                <w:rFonts w:ascii="宋体" w:hAnsi="宋体"/>
                <w:color w:val="000000"/>
                <w:szCs w:val="21"/>
              </w:rPr>
            </w:pPr>
            <w:r>
              <w:rPr>
                <w:rFonts w:hint="eastAsia" w:ascii="宋体" w:hAnsi="宋体"/>
                <w:color w:val="000000"/>
                <w:szCs w:val="21"/>
              </w:rPr>
              <w:t>目标值</w:t>
            </w:r>
          </w:p>
        </w:tc>
        <w:tc>
          <w:tcPr>
            <w:tcW w:w="1455" w:type="dxa"/>
            <w:noWrap w:val="0"/>
            <w:vAlign w:val="center"/>
          </w:tcPr>
          <w:p>
            <w:pPr>
              <w:jc w:val="center"/>
              <w:rPr>
                <w:rFonts w:ascii="宋体" w:hAnsi="宋体"/>
                <w:color w:val="000000"/>
                <w:szCs w:val="21"/>
              </w:rPr>
            </w:pPr>
            <w:r>
              <w:rPr>
                <w:rFonts w:hint="eastAsia" w:ascii="宋体" w:hAnsi="宋体"/>
                <w:color w:val="000000"/>
                <w:szCs w:val="21"/>
              </w:rPr>
              <w:t>相对量（%）</w:t>
            </w:r>
          </w:p>
        </w:tc>
        <w:tc>
          <w:tcPr>
            <w:tcW w:w="1092" w:type="dxa"/>
            <w:noWrap w:val="0"/>
            <w:vAlign w:val="center"/>
          </w:tcPr>
          <w:p>
            <w:pPr>
              <w:jc w:val="center"/>
              <w:rPr>
                <w:rFonts w:ascii="宋体" w:hAnsi="宋体"/>
                <w:color w:val="000000"/>
                <w:szCs w:val="21"/>
              </w:rPr>
            </w:pPr>
            <w:r>
              <w:rPr>
                <w:rFonts w:hint="eastAsia" w:ascii="宋体" w:hAnsi="宋体"/>
                <w:color w:val="000000"/>
                <w:szCs w:val="21"/>
              </w:rPr>
              <w:t>目标值</w:t>
            </w:r>
          </w:p>
        </w:tc>
        <w:tc>
          <w:tcPr>
            <w:tcW w:w="1365" w:type="dxa"/>
            <w:noWrap w:val="0"/>
            <w:vAlign w:val="center"/>
          </w:tcPr>
          <w:p>
            <w:pPr>
              <w:jc w:val="center"/>
              <w:rPr>
                <w:rFonts w:ascii="宋体" w:hAnsi="宋体"/>
                <w:color w:val="000000"/>
                <w:szCs w:val="21"/>
              </w:rPr>
            </w:pPr>
            <w:r>
              <w:rPr>
                <w:rFonts w:hint="eastAsia" w:ascii="宋体" w:hAnsi="宋体"/>
                <w:color w:val="000000"/>
                <w:szCs w:val="21"/>
              </w:rPr>
              <w:t>相对量（%）</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444" w:hRule="atLeast"/>
          <w:jc w:val="center"/>
        </w:trPr>
        <w:tc>
          <w:tcPr>
            <w:tcW w:w="613" w:type="dxa"/>
            <w:noWrap w:val="0"/>
            <w:vAlign w:val="center"/>
          </w:tcPr>
          <w:p>
            <w:pPr>
              <w:jc w:val="center"/>
              <w:rPr>
                <w:rFonts w:ascii="宋体" w:hAnsi="宋体"/>
                <w:color w:val="000000"/>
                <w:szCs w:val="21"/>
              </w:rPr>
            </w:pPr>
            <w:r>
              <w:rPr>
                <w:rFonts w:hint="eastAsia" w:ascii="宋体" w:hAnsi="宋体"/>
                <w:color w:val="000000"/>
                <w:szCs w:val="21"/>
              </w:rPr>
              <w:t>1</w:t>
            </w:r>
          </w:p>
        </w:tc>
        <w:tc>
          <w:tcPr>
            <w:tcW w:w="284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提高工业用水重复利用率</w:t>
            </w:r>
          </w:p>
        </w:tc>
        <w:tc>
          <w:tcPr>
            <w:tcW w:w="104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82.5%</w:t>
            </w:r>
          </w:p>
        </w:tc>
        <w:tc>
          <w:tcPr>
            <w:tcW w:w="1092"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84%</w:t>
            </w:r>
          </w:p>
        </w:tc>
        <w:tc>
          <w:tcPr>
            <w:tcW w:w="1455" w:type="dxa"/>
            <w:noWrap w:val="0"/>
            <w:vAlign w:val="center"/>
          </w:tcPr>
          <w:p>
            <w:pPr>
              <w:jc w:val="center"/>
              <w:rPr>
                <w:rFonts w:hint="eastAsia" w:ascii="宋体" w:hAnsi="宋体"/>
                <w:color w:val="000000"/>
                <w:szCs w:val="21"/>
              </w:rPr>
            </w:pPr>
            <w:r>
              <w:rPr>
                <w:rFonts w:hint="eastAsia" w:ascii="宋体" w:hAnsi="宋体"/>
                <w:color w:val="000000"/>
                <w:szCs w:val="21"/>
              </w:rPr>
              <w:t>+1.5%</w:t>
            </w:r>
          </w:p>
        </w:tc>
        <w:tc>
          <w:tcPr>
            <w:tcW w:w="1092" w:type="dxa"/>
            <w:noWrap w:val="0"/>
            <w:vAlign w:val="center"/>
          </w:tcPr>
          <w:p>
            <w:pPr>
              <w:jc w:val="center"/>
              <w:rPr>
                <w:rFonts w:hint="eastAsia" w:ascii="宋体" w:hAnsi="宋体"/>
                <w:color w:val="000000"/>
                <w:szCs w:val="21"/>
              </w:rPr>
            </w:pPr>
            <w:r>
              <w:rPr>
                <w:rFonts w:hint="eastAsia" w:ascii="宋体" w:hAnsi="宋体"/>
                <w:color w:val="000000"/>
                <w:szCs w:val="21"/>
              </w:rPr>
              <w:t>85%</w:t>
            </w:r>
          </w:p>
        </w:tc>
        <w:tc>
          <w:tcPr>
            <w:tcW w:w="1365" w:type="dxa"/>
            <w:noWrap w:val="0"/>
            <w:vAlign w:val="center"/>
          </w:tcPr>
          <w:p>
            <w:pPr>
              <w:jc w:val="center"/>
              <w:rPr>
                <w:rFonts w:hint="eastAsia" w:ascii="宋体" w:hAnsi="宋体"/>
                <w:color w:val="000000"/>
                <w:szCs w:val="21"/>
              </w:rPr>
            </w:pPr>
            <w:r>
              <w:rPr>
                <w:rFonts w:hint="eastAsia" w:ascii="宋体" w:hAnsi="宋体"/>
                <w:color w:val="000000"/>
                <w:szCs w:val="21"/>
              </w:rPr>
              <w:t>+2.5%</w:t>
            </w:r>
          </w:p>
        </w:tc>
      </w:tr>
      <w:bookmarkEnd w:id="324"/>
      <w:bookmarkEnd w:id="325"/>
      <w:bookmarkEnd w:id="326"/>
    </w:tbl>
    <w:p>
      <w:pPr>
        <w:spacing w:before="240" w:beforeLines="100" w:line="360" w:lineRule="auto"/>
        <w:ind w:firstLine="460" w:firstLineChars="200"/>
        <w:rPr>
          <w:rFonts w:hint="eastAsia" w:ascii="宋体" w:hAnsi="宋体"/>
          <w:color w:val="000000"/>
          <w:spacing w:val="-5"/>
          <w:sz w:val="24"/>
          <w:szCs w:val="24"/>
        </w:rPr>
      </w:pPr>
      <w:r>
        <w:rPr>
          <w:rFonts w:hint="eastAsia" w:ascii="宋体" w:hAnsi="宋体"/>
          <w:color w:val="000000"/>
          <w:spacing w:val="-5"/>
          <w:sz w:val="24"/>
          <w:szCs w:val="24"/>
        </w:rPr>
        <w:t>说明：</w:t>
      </w:r>
      <w:r>
        <w:rPr>
          <w:rFonts w:hint="eastAsia"/>
          <w:color w:val="000000"/>
          <w:sz w:val="24"/>
        </w:rPr>
        <w:t>公司2018年※</w:t>
      </w:r>
      <w:r>
        <w:rPr>
          <w:color w:val="000000"/>
          <w:sz w:val="24"/>
        </w:rPr>
        <w:t>工业用水重复利用率</w:t>
      </w:r>
    </w:p>
    <w:p>
      <w:pPr>
        <w:spacing w:line="360" w:lineRule="auto"/>
        <w:ind w:firstLine="480" w:firstLineChars="200"/>
        <w:rPr>
          <w:rFonts w:hint="eastAsia"/>
          <w:color w:val="000000"/>
          <w:sz w:val="24"/>
        </w:rPr>
      </w:pPr>
      <w:r>
        <w:rPr>
          <w:rFonts w:hint="eastAsia"/>
          <w:color w:val="000000"/>
          <w:sz w:val="24"/>
        </w:rPr>
        <w:t>水重复利用率=总重复利用水量÷鲜水用量﹢总重复利用水量=38320</w:t>
      </w:r>
      <w:r>
        <w:rPr>
          <w:rFonts w:hint="eastAsia" w:ascii="宋体" w:hAnsi="宋体"/>
          <w:color w:val="000000"/>
          <w:sz w:val="24"/>
        </w:rPr>
        <w:t>0÷(</w:t>
      </w:r>
      <w:r>
        <w:rPr>
          <w:rFonts w:hint="eastAsia"/>
          <w:color w:val="000000"/>
          <w:sz w:val="24"/>
        </w:rPr>
        <w:t>79312.</w:t>
      </w:r>
      <w:r>
        <w:rPr>
          <w:rFonts w:hint="eastAsia" w:ascii="宋体" w:hAnsi="宋体"/>
          <w:color w:val="000000"/>
          <w:sz w:val="24"/>
        </w:rPr>
        <w:t>7＋383200)=0.8285×100%=82.85%</w:t>
      </w:r>
    </w:p>
    <w:p>
      <w:pPr>
        <w:pStyle w:val="4"/>
        <w:rPr>
          <w:rFonts w:hint="eastAsia"/>
          <w:color w:val="000000"/>
        </w:rPr>
      </w:pPr>
      <w:bookmarkStart w:id="340" w:name="_Toc23000894"/>
      <w:r>
        <w:rPr>
          <w:rFonts w:hint="eastAsia"/>
          <w:color w:val="000000"/>
        </w:rPr>
        <w:t>2.8清洁生产方案提出</w:t>
      </w:r>
      <w:bookmarkEnd w:id="340"/>
    </w:p>
    <w:p>
      <w:pPr>
        <w:spacing w:line="360" w:lineRule="auto"/>
        <w:ind w:firstLine="460" w:firstLineChars="200"/>
        <w:rPr>
          <w:rFonts w:hint="eastAsia" w:ascii="宋体" w:hAnsi="宋体"/>
          <w:color w:val="000000"/>
          <w:spacing w:val="-5"/>
          <w:sz w:val="24"/>
        </w:rPr>
      </w:pPr>
      <w:r>
        <w:rPr>
          <w:rFonts w:hint="eastAsia" w:ascii="宋体" w:hAnsi="宋体"/>
          <w:color w:val="000000"/>
          <w:spacing w:val="-5"/>
          <w:sz w:val="24"/>
        </w:rPr>
        <w:t>在预审核中，审核小组结合企业的生产、资源消耗、环境保护等实际情况，充分发动员工提出清洁生产方案和建议。以下是员工提出的无/低费生产方案。见表2-45。</w:t>
      </w:r>
    </w:p>
    <w:p>
      <w:pPr>
        <w:spacing w:line="360" w:lineRule="exact"/>
        <w:ind w:firstLine="2494" w:firstLineChars="1035"/>
        <w:rPr>
          <w:rFonts w:hint="eastAsia" w:ascii="宋体" w:hAnsi="宋体"/>
          <w:b/>
          <w:color w:val="000000"/>
          <w:sz w:val="24"/>
        </w:rPr>
      </w:pPr>
      <w:bookmarkStart w:id="341" w:name="_Toc422252500"/>
      <w:bookmarkStart w:id="342" w:name="_Toc367782218"/>
      <w:bookmarkStart w:id="343" w:name="_Toc296604606"/>
      <w:bookmarkStart w:id="344" w:name="_Toc291960339"/>
      <w:bookmarkStart w:id="345" w:name="_Toc282248880"/>
      <w:r>
        <w:rPr>
          <w:rFonts w:hint="eastAsia" w:ascii="宋体" w:hAnsi="宋体"/>
          <w:b/>
          <w:color w:val="000000"/>
          <w:sz w:val="24"/>
        </w:rPr>
        <w:t>表2-45 预审核阶段无/低费清洁生产方案统计表</w:t>
      </w:r>
    </w:p>
    <w:tbl>
      <w:tblPr>
        <w:tblStyle w:val="35"/>
        <w:tblW w:w="0" w:type="auto"/>
        <w:tblInd w:w="-7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540"/>
        <w:gridCol w:w="1620"/>
        <w:gridCol w:w="5040"/>
        <w:gridCol w:w="1080"/>
        <w:gridCol w:w="12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top"/>
          </w:tcPr>
          <w:p>
            <w:pPr>
              <w:spacing w:line="360" w:lineRule="exact"/>
              <w:rPr>
                <w:rFonts w:hint="eastAsia" w:ascii="宋体" w:hAnsi="宋体"/>
                <w:color w:val="000000"/>
                <w:szCs w:val="21"/>
              </w:rPr>
            </w:pPr>
            <w:r>
              <w:rPr>
                <w:rFonts w:hint="eastAsia" w:ascii="宋体" w:hAnsi="宋体"/>
                <w:color w:val="000000"/>
                <w:szCs w:val="21"/>
              </w:rPr>
              <w:t>序号</w:t>
            </w:r>
          </w:p>
        </w:tc>
        <w:tc>
          <w:tcPr>
            <w:tcW w:w="1620" w:type="dxa"/>
            <w:noWrap w:val="0"/>
            <w:vAlign w:val="top"/>
          </w:tcPr>
          <w:p>
            <w:pPr>
              <w:spacing w:line="360" w:lineRule="exact"/>
              <w:rPr>
                <w:rFonts w:hint="eastAsia" w:ascii="宋体" w:hAnsi="宋体"/>
                <w:color w:val="000000"/>
                <w:szCs w:val="21"/>
              </w:rPr>
            </w:pPr>
            <w:r>
              <w:rPr>
                <w:rFonts w:hint="eastAsia" w:ascii="宋体" w:hAnsi="宋体"/>
                <w:color w:val="000000"/>
                <w:szCs w:val="21"/>
              </w:rPr>
              <w:t>方案</w:t>
            </w:r>
          </w:p>
          <w:p>
            <w:pPr>
              <w:spacing w:line="360" w:lineRule="exact"/>
              <w:rPr>
                <w:rFonts w:hint="eastAsia" w:ascii="宋体" w:hAnsi="宋体"/>
                <w:color w:val="000000"/>
                <w:szCs w:val="21"/>
              </w:rPr>
            </w:pPr>
            <w:r>
              <w:rPr>
                <w:rFonts w:hint="eastAsia" w:ascii="宋体" w:hAnsi="宋体"/>
                <w:color w:val="000000"/>
                <w:szCs w:val="21"/>
              </w:rPr>
              <w:t>名称</w:t>
            </w:r>
          </w:p>
        </w:tc>
        <w:tc>
          <w:tcPr>
            <w:tcW w:w="5040" w:type="dxa"/>
            <w:noWrap w:val="0"/>
            <w:vAlign w:val="top"/>
          </w:tcPr>
          <w:p>
            <w:pPr>
              <w:spacing w:line="360" w:lineRule="exact"/>
              <w:rPr>
                <w:rFonts w:hint="eastAsia" w:ascii="宋体" w:hAnsi="宋体"/>
                <w:color w:val="000000"/>
                <w:szCs w:val="21"/>
              </w:rPr>
            </w:pPr>
            <w:r>
              <w:rPr>
                <w:rFonts w:hint="eastAsia" w:ascii="宋体" w:hAnsi="宋体"/>
                <w:color w:val="000000"/>
                <w:szCs w:val="21"/>
              </w:rPr>
              <w:t>方案内容</w:t>
            </w:r>
          </w:p>
        </w:tc>
        <w:tc>
          <w:tcPr>
            <w:tcW w:w="1080" w:type="dxa"/>
            <w:noWrap w:val="0"/>
            <w:vAlign w:val="top"/>
          </w:tcPr>
          <w:p>
            <w:pPr>
              <w:spacing w:line="360" w:lineRule="exact"/>
              <w:rPr>
                <w:rFonts w:hint="eastAsia" w:ascii="宋体" w:hAnsi="宋体"/>
                <w:color w:val="000000"/>
                <w:szCs w:val="21"/>
              </w:rPr>
            </w:pPr>
            <w:r>
              <w:rPr>
                <w:rFonts w:hint="eastAsia" w:ascii="宋体" w:hAnsi="宋体"/>
                <w:color w:val="000000"/>
                <w:szCs w:val="21"/>
              </w:rPr>
              <w:t>计划投资</w:t>
            </w:r>
          </w:p>
          <w:p>
            <w:pPr>
              <w:spacing w:line="360" w:lineRule="exact"/>
              <w:rPr>
                <w:rFonts w:hint="eastAsia" w:ascii="宋体" w:hAnsi="宋体"/>
                <w:color w:val="000000"/>
                <w:szCs w:val="21"/>
              </w:rPr>
            </w:pPr>
            <w:r>
              <w:rPr>
                <w:rFonts w:hint="eastAsia" w:ascii="宋体" w:hAnsi="宋体"/>
                <w:color w:val="000000"/>
                <w:szCs w:val="21"/>
              </w:rPr>
              <w:t>(万元)</w:t>
            </w:r>
          </w:p>
        </w:tc>
        <w:tc>
          <w:tcPr>
            <w:tcW w:w="126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提出</w:t>
            </w:r>
          </w:p>
          <w:p>
            <w:pPr>
              <w:spacing w:line="360" w:lineRule="exact"/>
              <w:jc w:val="center"/>
              <w:rPr>
                <w:rFonts w:hint="eastAsia" w:ascii="宋体" w:hAnsi="宋体"/>
                <w:color w:val="000000"/>
                <w:szCs w:val="21"/>
              </w:rPr>
            </w:pPr>
            <w:r>
              <w:rPr>
                <w:rFonts w:hint="eastAsia" w:ascii="宋体" w:hAnsi="宋体"/>
                <w:color w:val="000000"/>
                <w:szCs w:val="21"/>
              </w:rPr>
              <w:t>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spacing w:line="360" w:lineRule="exact"/>
              <w:rPr>
                <w:rFonts w:ascii="宋体" w:hAnsi="宋体"/>
                <w:color w:val="000000"/>
                <w:szCs w:val="21"/>
              </w:rPr>
            </w:pPr>
            <w:r>
              <w:rPr>
                <w:rFonts w:hint="eastAsia" w:ascii="宋体" w:hAnsi="宋体"/>
                <w:color w:val="000000"/>
                <w:szCs w:val="21"/>
              </w:rPr>
              <w:t>1</w:t>
            </w:r>
          </w:p>
        </w:tc>
        <w:tc>
          <w:tcPr>
            <w:tcW w:w="1620" w:type="dxa"/>
            <w:noWrap w:val="0"/>
            <w:vAlign w:val="top"/>
          </w:tcPr>
          <w:p>
            <w:pPr>
              <w:spacing w:line="360" w:lineRule="exact"/>
              <w:rPr>
                <w:rFonts w:hint="eastAsia" w:ascii="宋体" w:hAnsi="宋体"/>
                <w:color w:val="000000"/>
                <w:szCs w:val="21"/>
              </w:rPr>
            </w:pPr>
            <w:r>
              <w:rPr>
                <w:rFonts w:hint="eastAsia" w:ascii="宋体" w:hAnsi="宋体"/>
                <w:color w:val="000000"/>
                <w:szCs w:val="21"/>
              </w:rPr>
              <w:t>选矿车间闸阀更换，管道维修</w:t>
            </w:r>
          </w:p>
        </w:tc>
        <w:tc>
          <w:tcPr>
            <w:tcW w:w="5040" w:type="dxa"/>
            <w:noWrap w:val="0"/>
            <w:vAlign w:val="top"/>
          </w:tcPr>
          <w:p>
            <w:pPr>
              <w:spacing w:line="360" w:lineRule="exact"/>
              <w:rPr>
                <w:rFonts w:hint="eastAsia" w:ascii="宋体" w:hAnsi="宋体"/>
                <w:color w:val="000000"/>
                <w:szCs w:val="21"/>
              </w:rPr>
            </w:pPr>
            <w:r>
              <w:rPr>
                <w:rFonts w:hint="eastAsia" w:ascii="宋体" w:hAnsi="宋体"/>
                <w:color w:val="000000"/>
                <w:szCs w:val="21"/>
              </w:rPr>
              <w:t>车间部分闸阀损坏，需更换，管道需维修和更换</w:t>
            </w:r>
          </w:p>
        </w:tc>
        <w:tc>
          <w:tcPr>
            <w:tcW w:w="108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1.8</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spacing w:line="360" w:lineRule="exact"/>
              <w:rPr>
                <w:rFonts w:ascii="宋体" w:hAnsi="宋体"/>
                <w:color w:val="000000"/>
                <w:szCs w:val="21"/>
              </w:rPr>
            </w:pPr>
            <w:r>
              <w:rPr>
                <w:rFonts w:hint="eastAsia" w:ascii="宋体" w:hAnsi="宋体"/>
                <w:color w:val="000000"/>
                <w:szCs w:val="21"/>
              </w:rPr>
              <w:t>2</w:t>
            </w:r>
          </w:p>
        </w:tc>
        <w:tc>
          <w:tcPr>
            <w:tcW w:w="1620" w:type="dxa"/>
            <w:noWrap w:val="0"/>
            <w:vAlign w:val="top"/>
          </w:tcPr>
          <w:p>
            <w:pPr>
              <w:pStyle w:val="130"/>
              <w:spacing w:line="360" w:lineRule="exact"/>
              <w:jc w:val="center"/>
              <w:rPr>
                <w:rFonts w:hint="eastAsia" w:ascii="宋体" w:hAnsi="宋体"/>
                <w:color w:val="000000"/>
              </w:rPr>
            </w:pPr>
            <w:r>
              <w:rPr>
                <w:rFonts w:hint="eastAsia" w:ascii="宋体" w:hAnsi="宋体"/>
                <w:color w:val="000000"/>
              </w:rPr>
              <w:t>药剂袋的处理</w:t>
            </w:r>
          </w:p>
        </w:tc>
        <w:tc>
          <w:tcPr>
            <w:tcW w:w="5040" w:type="dxa"/>
            <w:noWrap w:val="0"/>
            <w:vAlign w:val="top"/>
          </w:tcPr>
          <w:p>
            <w:pPr>
              <w:spacing w:line="360" w:lineRule="exact"/>
              <w:rPr>
                <w:rFonts w:hint="eastAsia" w:ascii="宋体" w:hAnsi="宋体"/>
                <w:color w:val="000000"/>
                <w:szCs w:val="21"/>
              </w:rPr>
            </w:pPr>
            <w:r>
              <w:rPr>
                <w:rFonts w:hint="eastAsia" w:ascii="宋体" w:hAnsi="宋体"/>
                <w:color w:val="000000"/>
                <w:szCs w:val="21"/>
              </w:rPr>
              <w:t>药剂用完后把药剂袋清理出来，还能用的，把它清理分类放好，以便以后回收利用；用不成的，把它收集起来销售到垃圾回收处理厂</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0．2</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spacing w:line="360" w:lineRule="exact"/>
              <w:rPr>
                <w:rFonts w:ascii="宋体" w:hAnsi="宋体"/>
                <w:color w:val="000000"/>
                <w:szCs w:val="21"/>
              </w:rPr>
            </w:pPr>
            <w:r>
              <w:rPr>
                <w:rFonts w:hint="eastAsia" w:ascii="宋体" w:hAnsi="宋体"/>
                <w:color w:val="000000"/>
                <w:szCs w:val="21"/>
              </w:rPr>
              <w:t>3</w:t>
            </w:r>
          </w:p>
        </w:tc>
        <w:tc>
          <w:tcPr>
            <w:tcW w:w="16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原料矿仓增设雨棚</w:t>
            </w:r>
          </w:p>
        </w:tc>
        <w:tc>
          <w:tcPr>
            <w:tcW w:w="5040" w:type="dxa"/>
            <w:noWrap w:val="0"/>
            <w:vAlign w:val="top"/>
          </w:tcPr>
          <w:p>
            <w:pPr>
              <w:spacing w:line="360" w:lineRule="exact"/>
              <w:rPr>
                <w:rFonts w:hint="eastAsia" w:ascii="宋体" w:hAnsi="宋体"/>
                <w:color w:val="000000"/>
                <w:szCs w:val="21"/>
              </w:rPr>
            </w:pPr>
            <w:r>
              <w:rPr>
                <w:rFonts w:hint="eastAsia" w:ascii="宋体" w:hAnsi="宋体"/>
                <w:color w:val="000000"/>
                <w:szCs w:val="21"/>
              </w:rPr>
              <w:t>在原矿仓处增设雨棚，雨水冲刷原矿流入沉积池，至污水处理车间处理回收利用。</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0．6</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spacing w:line="360" w:lineRule="exact"/>
              <w:rPr>
                <w:rFonts w:ascii="宋体" w:hAnsi="宋体"/>
                <w:color w:val="000000"/>
                <w:szCs w:val="21"/>
              </w:rPr>
            </w:pPr>
            <w:r>
              <w:rPr>
                <w:rFonts w:hint="eastAsia" w:ascii="宋体" w:hAnsi="宋体"/>
                <w:color w:val="000000"/>
                <w:szCs w:val="21"/>
              </w:rPr>
              <w:t>4</w:t>
            </w:r>
          </w:p>
        </w:tc>
        <w:tc>
          <w:tcPr>
            <w:tcW w:w="16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磨浮尾水收集处硬化平整</w:t>
            </w:r>
          </w:p>
        </w:tc>
        <w:tc>
          <w:tcPr>
            <w:tcW w:w="5040" w:type="dxa"/>
            <w:noWrap w:val="0"/>
            <w:vAlign w:val="top"/>
          </w:tcPr>
          <w:p>
            <w:pPr>
              <w:spacing w:line="360" w:lineRule="exact"/>
              <w:rPr>
                <w:rFonts w:hint="eastAsia" w:ascii="宋体" w:hAnsi="宋体"/>
                <w:color w:val="000000"/>
                <w:szCs w:val="21"/>
              </w:rPr>
            </w:pPr>
            <w:r>
              <w:rPr>
                <w:rFonts w:hint="eastAsia" w:ascii="宋体" w:hAnsi="宋体"/>
                <w:color w:val="000000"/>
                <w:szCs w:val="21"/>
              </w:rPr>
              <w:t>磨浮尾水收集处因年久失修，地面不平，需硬化平整</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2.3</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spacing w:line="360" w:lineRule="exact"/>
              <w:rPr>
                <w:rFonts w:hint="eastAsia" w:ascii="宋体" w:hAnsi="宋体"/>
                <w:color w:val="000000"/>
                <w:szCs w:val="21"/>
              </w:rPr>
            </w:pPr>
            <w:r>
              <w:rPr>
                <w:rFonts w:hint="eastAsia" w:ascii="宋体" w:hAnsi="宋体"/>
                <w:color w:val="000000"/>
                <w:szCs w:val="21"/>
              </w:rPr>
              <w:t>5</w:t>
            </w:r>
          </w:p>
        </w:tc>
        <w:tc>
          <w:tcPr>
            <w:tcW w:w="1620" w:type="dxa"/>
            <w:noWrap w:val="0"/>
            <w:vAlign w:val="top"/>
          </w:tcPr>
          <w:p>
            <w:pPr>
              <w:pStyle w:val="130"/>
              <w:spacing w:line="360" w:lineRule="exact"/>
              <w:jc w:val="center"/>
              <w:rPr>
                <w:rFonts w:hint="eastAsia" w:ascii="宋体" w:hAnsi="宋体"/>
                <w:color w:val="000000"/>
              </w:rPr>
            </w:pPr>
            <w:r>
              <w:rPr>
                <w:rFonts w:hint="eastAsia" w:ascii="宋体" w:hAnsi="宋体"/>
                <w:color w:val="000000"/>
              </w:rPr>
              <w:t>原矿破碎除尘塔降尘管道嫁接</w:t>
            </w:r>
          </w:p>
        </w:tc>
        <w:tc>
          <w:tcPr>
            <w:tcW w:w="5040" w:type="dxa"/>
            <w:noWrap w:val="0"/>
            <w:vAlign w:val="top"/>
          </w:tcPr>
          <w:p>
            <w:pPr>
              <w:spacing w:line="360" w:lineRule="exact"/>
              <w:rPr>
                <w:rFonts w:hint="eastAsia" w:ascii="宋体" w:hAnsi="宋体"/>
                <w:color w:val="000000"/>
                <w:szCs w:val="21"/>
              </w:rPr>
            </w:pPr>
            <w:r>
              <w:rPr>
                <w:rFonts w:hint="eastAsia" w:ascii="宋体" w:hAnsi="宋体"/>
                <w:color w:val="000000"/>
                <w:szCs w:val="21"/>
              </w:rPr>
              <w:t>降尘管道污水直接接入污水车间回收利用</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0.3</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spacing w:line="360" w:lineRule="exact"/>
              <w:rPr>
                <w:rFonts w:hint="eastAsia" w:ascii="宋体" w:hAnsi="宋体"/>
                <w:color w:val="000000"/>
                <w:szCs w:val="21"/>
              </w:rPr>
            </w:pPr>
            <w:r>
              <w:rPr>
                <w:rFonts w:hint="eastAsia" w:ascii="宋体" w:hAnsi="宋体"/>
                <w:color w:val="000000"/>
                <w:kern w:val="0"/>
                <w:szCs w:val="21"/>
              </w:rPr>
              <w:t>6</w:t>
            </w:r>
          </w:p>
        </w:tc>
        <w:tc>
          <w:tcPr>
            <w:tcW w:w="162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完善矿井渣场排水沟</w:t>
            </w:r>
          </w:p>
        </w:tc>
        <w:tc>
          <w:tcPr>
            <w:tcW w:w="5040" w:type="dxa"/>
            <w:noWrap w:val="0"/>
            <w:vAlign w:val="center"/>
          </w:tcPr>
          <w:p>
            <w:pPr>
              <w:spacing w:line="360" w:lineRule="exact"/>
              <w:rPr>
                <w:rFonts w:hint="eastAsia" w:ascii="宋体" w:hAnsi="宋体"/>
                <w:color w:val="000000"/>
                <w:szCs w:val="21"/>
              </w:rPr>
            </w:pPr>
            <w:r>
              <w:rPr>
                <w:rFonts w:hint="eastAsia" w:ascii="宋体" w:hAnsi="宋体"/>
                <w:color w:val="000000"/>
                <w:szCs w:val="21"/>
              </w:rPr>
              <w:t>井口公路一侧排水沟直接流入矿场，将公路雨水沟截流排出渣场底小河。</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0．45</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采矿厂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spacing w:line="360" w:lineRule="exact"/>
              <w:rPr>
                <w:rFonts w:hint="eastAsia" w:ascii="宋体" w:hAnsi="宋体"/>
                <w:color w:val="000000"/>
                <w:szCs w:val="21"/>
              </w:rPr>
            </w:pPr>
            <w:r>
              <w:rPr>
                <w:rFonts w:hint="eastAsia" w:ascii="宋体" w:hAnsi="宋体"/>
                <w:color w:val="000000"/>
                <w:kern w:val="0"/>
                <w:szCs w:val="21"/>
              </w:rPr>
              <w:t>7</w:t>
            </w:r>
          </w:p>
        </w:tc>
        <w:tc>
          <w:tcPr>
            <w:tcW w:w="1620" w:type="dxa"/>
            <w:noWrap w:val="0"/>
            <w:vAlign w:val="center"/>
          </w:tcPr>
          <w:p>
            <w:pPr>
              <w:spacing w:line="360" w:lineRule="exact"/>
              <w:jc w:val="center"/>
              <w:rPr>
                <w:rFonts w:ascii="宋体" w:hAnsi="宋体"/>
                <w:color w:val="000000"/>
                <w:szCs w:val="21"/>
              </w:rPr>
            </w:pPr>
            <w:r>
              <w:rPr>
                <w:rFonts w:hint="eastAsia" w:ascii="宋体" w:hAnsi="宋体"/>
                <w:color w:val="000000"/>
                <w:szCs w:val="21"/>
              </w:rPr>
              <w:t>井下投放垃圾桶</w:t>
            </w:r>
          </w:p>
        </w:tc>
        <w:tc>
          <w:tcPr>
            <w:tcW w:w="5040" w:type="dxa"/>
            <w:noWrap w:val="0"/>
            <w:vAlign w:val="center"/>
          </w:tcPr>
          <w:p>
            <w:pPr>
              <w:spacing w:line="360" w:lineRule="exact"/>
              <w:rPr>
                <w:rFonts w:ascii="宋体" w:hAnsi="宋体"/>
                <w:color w:val="000000"/>
                <w:szCs w:val="21"/>
              </w:rPr>
            </w:pPr>
            <w:r>
              <w:rPr>
                <w:rFonts w:hint="eastAsia" w:ascii="宋体" w:hAnsi="宋体"/>
                <w:color w:val="000000"/>
                <w:szCs w:val="21"/>
              </w:rPr>
              <w:t>矿山井下垃圾处理随原矿运输至选厂，造成二次污染，分拣困难,购买10个垃圾桶，</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0．28</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采矿厂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74" w:hRule="atLeast"/>
        </w:trPr>
        <w:tc>
          <w:tcPr>
            <w:tcW w:w="540" w:type="dxa"/>
            <w:noWrap w:val="0"/>
            <w:vAlign w:val="center"/>
          </w:tcPr>
          <w:p>
            <w:pPr>
              <w:widowControl/>
              <w:spacing w:line="360" w:lineRule="exact"/>
              <w:rPr>
                <w:rFonts w:ascii="宋体" w:hAnsi="宋体"/>
                <w:color w:val="000000"/>
                <w:kern w:val="0"/>
                <w:szCs w:val="21"/>
              </w:rPr>
            </w:pPr>
            <w:r>
              <w:rPr>
                <w:rFonts w:hint="eastAsia" w:ascii="宋体" w:hAnsi="宋体"/>
                <w:color w:val="000000"/>
                <w:kern w:val="0"/>
                <w:szCs w:val="21"/>
              </w:rPr>
              <w:t>8</w:t>
            </w:r>
          </w:p>
        </w:tc>
        <w:tc>
          <w:tcPr>
            <w:tcW w:w="1620" w:type="dxa"/>
            <w:noWrap w:val="0"/>
            <w:vAlign w:val="center"/>
          </w:tcPr>
          <w:p>
            <w:pPr>
              <w:spacing w:line="360" w:lineRule="exact"/>
              <w:jc w:val="center"/>
              <w:rPr>
                <w:rFonts w:ascii="宋体" w:hAnsi="宋体"/>
                <w:color w:val="000000"/>
                <w:szCs w:val="21"/>
              </w:rPr>
            </w:pPr>
            <w:r>
              <w:rPr>
                <w:rFonts w:hint="eastAsia" w:ascii="宋体" w:hAnsi="宋体"/>
                <w:color w:val="000000"/>
                <w:szCs w:val="21"/>
              </w:rPr>
              <w:t>建设污水沉淀池</w:t>
            </w:r>
          </w:p>
        </w:tc>
        <w:tc>
          <w:tcPr>
            <w:tcW w:w="5040" w:type="dxa"/>
            <w:noWrap w:val="0"/>
            <w:vAlign w:val="center"/>
          </w:tcPr>
          <w:p>
            <w:pPr>
              <w:spacing w:line="360" w:lineRule="exact"/>
              <w:rPr>
                <w:rFonts w:ascii="宋体" w:hAnsi="宋体"/>
                <w:color w:val="000000"/>
                <w:szCs w:val="21"/>
              </w:rPr>
            </w:pPr>
            <w:r>
              <w:rPr>
                <w:rFonts w:hint="eastAsia" w:ascii="宋体" w:hAnsi="宋体"/>
                <w:color w:val="000000"/>
                <w:szCs w:val="21"/>
              </w:rPr>
              <w:t>矿山食堂产生污水及垃圾未处理直接排放，造成环境污染，建设沉淀池，污水及食物在沉淀池沉淀分离，经发酵后，可作有机肥用于农业生产施肥. 建设2个1.5m³污水沉淀池</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1.3</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环保科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21" w:hRule="atLeast"/>
        </w:trPr>
        <w:tc>
          <w:tcPr>
            <w:tcW w:w="540" w:type="dxa"/>
            <w:noWrap w:val="0"/>
            <w:vAlign w:val="center"/>
          </w:tcPr>
          <w:p>
            <w:pPr>
              <w:widowControl/>
              <w:spacing w:line="360" w:lineRule="exact"/>
              <w:rPr>
                <w:rFonts w:ascii="宋体" w:hAnsi="宋体"/>
                <w:color w:val="000000"/>
                <w:kern w:val="0"/>
                <w:szCs w:val="21"/>
              </w:rPr>
            </w:pPr>
            <w:r>
              <w:rPr>
                <w:rFonts w:hint="eastAsia" w:ascii="宋体" w:hAnsi="宋体"/>
                <w:color w:val="000000"/>
                <w:kern w:val="0"/>
                <w:szCs w:val="21"/>
              </w:rPr>
              <w:t>9</w:t>
            </w:r>
          </w:p>
        </w:tc>
        <w:tc>
          <w:tcPr>
            <w:tcW w:w="1620" w:type="dxa"/>
            <w:noWrap w:val="0"/>
            <w:vAlign w:val="center"/>
          </w:tcPr>
          <w:p>
            <w:pPr>
              <w:spacing w:line="360" w:lineRule="exact"/>
              <w:jc w:val="center"/>
              <w:rPr>
                <w:rFonts w:ascii="宋体" w:hAnsi="宋体"/>
                <w:color w:val="000000"/>
                <w:szCs w:val="21"/>
              </w:rPr>
            </w:pPr>
            <w:r>
              <w:rPr>
                <w:rFonts w:hint="eastAsia" w:ascii="宋体" w:hAnsi="宋体"/>
                <w:color w:val="000000"/>
                <w:szCs w:val="21"/>
              </w:rPr>
              <w:t>建设废机油存放点</w:t>
            </w:r>
          </w:p>
        </w:tc>
        <w:tc>
          <w:tcPr>
            <w:tcW w:w="5040" w:type="dxa"/>
            <w:noWrap w:val="0"/>
            <w:vAlign w:val="center"/>
          </w:tcPr>
          <w:p>
            <w:pPr>
              <w:spacing w:line="360" w:lineRule="exact"/>
              <w:rPr>
                <w:rFonts w:ascii="宋体" w:hAnsi="宋体"/>
                <w:color w:val="000000"/>
                <w:szCs w:val="21"/>
              </w:rPr>
            </w:pPr>
            <w:r>
              <w:rPr>
                <w:rFonts w:hint="eastAsia" w:ascii="宋体" w:hAnsi="宋体"/>
                <w:color w:val="000000"/>
                <w:szCs w:val="21"/>
              </w:rPr>
              <w:t>矿山未建立废机油回收存放点，导致废机油在回收存放时，没有集中统一分类堆放，存在环境安全隐患</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0.2</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采矿厂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29" w:hRule="atLeast"/>
        </w:trPr>
        <w:tc>
          <w:tcPr>
            <w:tcW w:w="540" w:type="dxa"/>
            <w:noWrap w:val="0"/>
            <w:vAlign w:val="center"/>
          </w:tcPr>
          <w:p>
            <w:pPr>
              <w:widowControl/>
              <w:spacing w:line="360" w:lineRule="exact"/>
              <w:rPr>
                <w:rFonts w:ascii="宋体" w:hAnsi="宋体"/>
                <w:color w:val="000000"/>
                <w:kern w:val="0"/>
                <w:szCs w:val="21"/>
              </w:rPr>
            </w:pPr>
            <w:r>
              <w:rPr>
                <w:rFonts w:hint="eastAsia" w:ascii="宋体" w:hAnsi="宋体"/>
                <w:color w:val="000000"/>
                <w:kern w:val="0"/>
                <w:szCs w:val="21"/>
              </w:rPr>
              <w:t>10</w:t>
            </w:r>
          </w:p>
        </w:tc>
        <w:tc>
          <w:tcPr>
            <w:tcW w:w="1620" w:type="dxa"/>
            <w:noWrap w:val="0"/>
            <w:vAlign w:val="center"/>
          </w:tcPr>
          <w:p>
            <w:pPr>
              <w:spacing w:line="360" w:lineRule="exact"/>
              <w:jc w:val="center"/>
              <w:rPr>
                <w:rFonts w:ascii="宋体" w:hAnsi="宋体"/>
                <w:color w:val="000000"/>
                <w:szCs w:val="21"/>
              </w:rPr>
            </w:pPr>
            <w:r>
              <w:rPr>
                <w:rFonts w:hint="eastAsia" w:ascii="宋体" w:hAnsi="宋体"/>
                <w:color w:val="000000"/>
                <w:szCs w:val="21"/>
              </w:rPr>
              <w:t>集中处理生活垃圾</w:t>
            </w:r>
          </w:p>
        </w:tc>
        <w:tc>
          <w:tcPr>
            <w:tcW w:w="5040" w:type="dxa"/>
            <w:noWrap w:val="0"/>
            <w:vAlign w:val="center"/>
          </w:tcPr>
          <w:p>
            <w:pPr>
              <w:spacing w:line="360" w:lineRule="exact"/>
              <w:rPr>
                <w:rFonts w:ascii="宋体" w:hAnsi="宋体"/>
                <w:color w:val="000000"/>
                <w:szCs w:val="21"/>
              </w:rPr>
            </w:pPr>
            <w:r>
              <w:rPr>
                <w:rFonts w:hint="eastAsia" w:ascii="宋体" w:hAnsi="宋体"/>
                <w:color w:val="000000"/>
                <w:szCs w:val="21"/>
              </w:rPr>
              <w:t>矿山与当地政府协议出资，投放垃圾桶5个，由政府对矿山垃圾运输至集中点处理</w:t>
            </w:r>
          </w:p>
        </w:tc>
        <w:tc>
          <w:tcPr>
            <w:tcW w:w="108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1.0</w:t>
            </w:r>
          </w:p>
        </w:tc>
        <w:tc>
          <w:tcPr>
            <w:tcW w:w="126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环保科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29" w:hRule="atLeast"/>
        </w:trPr>
        <w:tc>
          <w:tcPr>
            <w:tcW w:w="540" w:type="dxa"/>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11</w:t>
            </w:r>
          </w:p>
        </w:tc>
        <w:tc>
          <w:tcPr>
            <w:tcW w:w="1620" w:type="dxa"/>
            <w:noWrap w:val="0"/>
            <w:vAlign w:val="center"/>
          </w:tcPr>
          <w:p>
            <w:pPr>
              <w:spacing w:line="360" w:lineRule="exact"/>
              <w:rPr>
                <w:rFonts w:ascii="宋体" w:hAnsi="宋体"/>
                <w:color w:val="000000"/>
                <w:szCs w:val="21"/>
              </w:rPr>
            </w:pPr>
            <w:r>
              <w:rPr>
                <w:rFonts w:hint="eastAsia" w:ascii="宋体" w:hAnsi="宋体"/>
                <w:color w:val="000000"/>
                <w:szCs w:val="21"/>
              </w:rPr>
              <w:t>选厂化验室路段坡面设雨水沉淀池</w:t>
            </w:r>
          </w:p>
        </w:tc>
        <w:tc>
          <w:tcPr>
            <w:tcW w:w="5040" w:type="dxa"/>
            <w:noWrap w:val="0"/>
            <w:vAlign w:val="center"/>
          </w:tcPr>
          <w:p>
            <w:pPr>
              <w:spacing w:line="360" w:lineRule="exact"/>
              <w:rPr>
                <w:rFonts w:hint="eastAsia" w:ascii="宋体" w:hAnsi="宋体"/>
                <w:color w:val="000000"/>
                <w:szCs w:val="21"/>
              </w:rPr>
            </w:pPr>
            <w:r>
              <w:rPr>
                <w:rFonts w:hint="eastAsia" w:ascii="宋体" w:hAnsi="宋体"/>
                <w:color w:val="000000"/>
                <w:szCs w:val="21"/>
              </w:rPr>
              <w:t>化验室道路为坡面道路，在下方设一个雨水收集沉淀池，将雨水导入厂区雨水管网综合利用</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0．3</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环保科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29" w:hRule="atLeast"/>
        </w:trPr>
        <w:tc>
          <w:tcPr>
            <w:tcW w:w="540" w:type="dxa"/>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12</w:t>
            </w:r>
          </w:p>
        </w:tc>
        <w:tc>
          <w:tcPr>
            <w:tcW w:w="1620" w:type="dxa"/>
            <w:noWrap w:val="0"/>
            <w:vAlign w:val="top"/>
          </w:tcPr>
          <w:p>
            <w:pPr>
              <w:autoSpaceDE w:val="0"/>
              <w:autoSpaceDN w:val="0"/>
              <w:adjustRightInd w:val="0"/>
              <w:spacing w:line="360" w:lineRule="exact"/>
              <w:jc w:val="center"/>
              <w:rPr>
                <w:rFonts w:hint="eastAsia" w:ascii="宋体" w:hAnsi="宋体"/>
                <w:color w:val="000000"/>
                <w:szCs w:val="21"/>
              </w:rPr>
            </w:pPr>
            <w:r>
              <w:rPr>
                <w:rFonts w:hint="eastAsia" w:ascii="宋体" w:hAnsi="宋体"/>
                <w:color w:val="000000"/>
                <w:szCs w:val="21"/>
              </w:rPr>
              <w:t>原料堆场增设排水沟</w:t>
            </w:r>
          </w:p>
        </w:tc>
        <w:tc>
          <w:tcPr>
            <w:tcW w:w="5040" w:type="dxa"/>
            <w:noWrap w:val="0"/>
            <w:vAlign w:val="center"/>
          </w:tcPr>
          <w:p>
            <w:pPr>
              <w:widowControl/>
              <w:spacing w:line="360" w:lineRule="exact"/>
              <w:jc w:val="left"/>
              <w:rPr>
                <w:rFonts w:hint="eastAsia" w:ascii="宋体" w:hAnsi="宋体"/>
                <w:color w:val="000000"/>
                <w:szCs w:val="21"/>
              </w:rPr>
            </w:pPr>
            <w:r>
              <w:rPr>
                <w:rFonts w:hint="eastAsia" w:ascii="宋体" w:hAnsi="宋体"/>
                <w:color w:val="000000"/>
                <w:szCs w:val="21"/>
              </w:rPr>
              <w:t>原料矿堆场增设排水沟，雨水通过排水沟至污水处理车间处理回收利用</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0.5</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29" w:hRule="atLeast"/>
        </w:trPr>
        <w:tc>
          <w:tcPr>
            <w:tcW w:w="540" w:type="dxa"/>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13</w:t>
            </w:r>
          </w:p>
        </w:tc>
        <w:tc>
          <w:tcPr>
            <w:tcW w:w="162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改进选矿生产工艺</w:t>
            </w:r>
          </w:p>
        </w:tc>
        <w:tc>
          <w:tcPr>
            <w:tcW w:w="5040" w:type="dxa"/>
            <w:noWrap w:val="0"/>
            <w:vAlign w:val="center"/>
          </w:tcPr>
          <w:p>
            <w:pPr>
              <w:spacing w:line="360" w:lineRule="exact"/>
              <w:rPr>
                <w:rFonts w:hint="eastAsia" w:ascii="宋体" w:hAnsi="宋体"/>
                <w:color w:val="000000"/>
                <w:szCs w:val="21"/>
              </w:rPr>
            </w:pPr>
            <w:r>
              <w:rPr>
                <w:rFonts w:hint="eastAsia" w:ascii="宋体" w:hAnsi="宋体"/>
                <w:color w:val="000000"/>
                <w:szCs w:val="21"/>
              </w:rPr>
              <w:t>原矿品位波动较大，改进浮选、重选生产工艺，提高重金属的回收利用率</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1.5</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29" w:hRule="atLeast"/>
        </w:trPr>
        <w:tc>
          <w:tcPr>
            <w:tcW w:w="540" w:type="dxa"/>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14</w:t>
            </w:r>
          </w:p>
        </w:tc>
        <w:tc>
          <w:tcPr>
            <w:tcW w:w="1620" w:type="dxa"/>
            <w:noWrap w:val="0"/>
            <w:vAlign w:val="center"/>
          </w:tcPr>
          <w:p>
            <w:pPr>
              <w:spacing w:line="360" w:lineRule="exact"/>
              <w:jc w:val="center"/>
              <w:rPr>
                <w:rFonts w:ascii="宋体" w:hAnsi="宋体"/>
                <w:color w:val="000000"/>
                <w:szCs w:val="21"/>
              </w:rPr>
            </w:pPr>
            <w:r>
              <w:rPr>
                <w:rFonts w:hint="eastAsia" w:ascii="宋体" w:hAnsi="宋体"/>
                <w:color w:val="000000"/>
                <w:szCs w:val="21"/>
              </w:rPr>
              <w:t>淘汰高噪音风机</w:t>
            </w:r>
          </w:p>
        </w:tc>
        <w:tc>
          <w:tcPr>
            <w:tcW w:w="5040" w:type="dxa"/>
            <w:noWrap w:val="0"/>
            <w:vAlign w:val="center"/>
          </w:tcPr>
          <w:p>
            <w:pPr>
              <w:spacing w:line="360" w:lineRule="exact"/>
              <w:rPr>
                <w:rFonts w:hint="eastAsia" w:ascii="宋体" w:hAnsi="宋体"/>
                <w:color w:val="000000"/>
                <w:szCs w:val="21"/>
              </w:rPr>
            </w:pPr>
            <w:r>
              <w:rPr>
                <w:rFonts w:hint="eastAsia" w:ascii="宋体" w:hAnsi="宋体"/>
                <w:color w:val="000000"/>
                <w:szCs w:val="21"/>
              </w:rPr>
              <w:t>井下原用局部风机为普通局部风机为老旧风机，能耗高、噪音超标，采用新型节能风机、FK系列7替代。</w:t>
            </w:r>
          </w:p>
        </w:tc>
        <w:tc>
          <w:tcPr>
            <w:tcW w:w="108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2.6</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采矿厂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29" w:hRule="atLeast"/>
        </w:trPr>
        <w:tc>
          <w:tcPr>
            <w:tcW w:w="540" w:type="dxa"/>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15</w:t>
            </w:r>
          </w:p>
        </w:tc>
        <w:tc>
          <w:tcPr>
            <w:tcW w:w="1620" w:type="dxa"/>
            <w:noWrap w:val="0"/>
            <w:vAlign w:val="center"/>
          </w:tcPr>
          <w:p>
            <w:pPr>
              <w:spacing w:line="360" w:lineRule="exact"/>
              <w:jc w:val="center"/>
              <w:rPr>
                <w:rFonts w:ascii="宋体" w:hAnsi="宋体"/>
                <w:color w:val="000000"/>
                <w:szCs w:val="21"/>
              </w:rPr>
            </w:pPr>
            <w:r>
              <w:rPr>
                <w:rFonts w:hint="eastAsia" w:ascii="宋体" w:hAnsi="宋体"/>
                <w:color w:val="000000"/>
                <w:szCs w:val="21"/>
              </w:rPr>
              <w:t>垃圾分类处理</w:t>
            </w:r>
          </w:p>
        </w:tc>
        <w:tc>
          <w:tcPr>
            <w:tcW w:w="5040" w:type="dxa"/>
            <w:noWrap w:val="0"/>
            <w:vAlign w:val="center"/>
          </w:tcPr>
          <w:p>
            <w:pPr>
              <w:spacing w:line="360" w:lineRule="exact"/>
              <w:rPr>
                <w:rFonts w:ascii="宋体" w:hAnsi="宋体"/>
                <w:color w:val="000000"/>
                <w:szCs w:val="21"/>
              </w:rPr>
            </w:pPr>
            <w:r>
              <w:rPr>
                <w:rFonts w:hint="eastAsia" w:ascii="宋体" w:hAnsi="宋体"/>
                <w:color w:val="000000"/>
                <w:szCs w:val="21"/>
              </w:rPr>
              <w:t>原矿石在采、运工艺过程中，会产生金属、塑料等不同类别垃圾，造成不同危害，建设垃圾分类集中堆放点，对不同垃圾集中分类堆放可有效解决. 建设3个1.5m³垃圾堆放室，</w:t>
            </w:r>
          </w:p>
        </w:tc>
        <w:tc>
          <w:tcPr>
            <w:tcW w:w="1080" w:type="dxa"/>
            <w:noWrap w:val="0"/>
            <w:vAlign w:val="center"/>
          </w:tcPr>
          <w:p>
            <w:pPr>
              <w:spacing w:line="360" w:lineRule="exact"/>
              <w:jc w:val="center"/>
              <w:rPr>
                <w:rFonts w:ascii="宋体" w:hAnsi="宋体"/>
                <w:color w:val="000000"/>
                <w:szCs w:val="21"/>
              </w:rPr>
            </w:pPr>
            <w:r>
              <w:rPr>
                <w:rFonts w:hint="eastAsia" w:ascii="宋体" w:hAnsi="宋体"/>
                <w:color w:val="000000"/>
                <w:szCs w:val="21"/>
              </w:rPr>
              <w:t>0.3</w:t>
            </w:r>
          </w:p>
        </w:tc>
        <w:tc>
          <w:tcPr>
            <w:tcW w:w="1260" w:type="dxa"/>
            <w:noWrap w:val="0"/>
            <w:vAlign w:val="center"/>
          </w:tcPr>
          <w:p>
            <w:pPr>
              <w:spacing w:line="360" w:lineRule="exact"/>
              <w:jc w:val="center"/>
              <w:rPr>
                <w:rFonts w:hint="eastAsia" w:ascii="宋体" w:hAnsi="宋体"/>
                <w:color w:val="000000"/>
                <w:szCs w:val="21"/>
              </w:rPr>
            </w:pPr>
            <w:r>
              <w:rPr>
                <w:rFonts w:hint="eastAsia" w:ascii="宋体" w:hAnsi="宋体"/>
                <w:color w:val="000000"/>
                <w:szCs w:val="21"/>
              </w:rPr>
              <w:t>采矿厂</w:t>
            </w:r>
          </w:p>
        </w:tc>
      </w:tr>
      <w:bookmarkEnd w:id="341"/>
      <w:bookmarkEnd w:id="342"/>
      <w:bookmarkEnd w:id="343"/>
      <w:bookmarkEnd w:id="344"/>
      <w:bookmarkEnd w:id="345"/>
    </w:tbl>
    <w:p>
      <w:pPr>
        <w:spacing w:line="360" w:lineRule="auto"/>
        <w:ind w:firstLine="480" w:firstLineChars="200"/>
        <w:rPr>
          <w:rFonts w:hint="eastAsia" w:ascii="宋体" w:hAnsi="宋体"/>
          <w:color w:val="000000"/>
          <w:sz w:val="24"/>
        </w:rPr>
      </w:pPr>
      <w:bookmarkStart w:id="346" w:name="_Toc282248881"/>
      <w:bookmarkStart w:id="347" w:name="_Toc454379999"/>
      <w:bookmarkStart w:id="348" w:name="_Toc291960340"/>
      <w:bookmarkStart w:id="349" w:name="_Toc296604607"/>
      <w:bookmarkStart w:id="350" w:name="_Toc3003"/>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pStyle w:val="3"/>
        <w:spacing w:before="0" w:after="0"/>
        <w:jc w:val="center"/>
        <w:rPr>
          <w:rFonts w:hint="eastAsia" w:ascii="宋体" w:hAnsi="宋体"/>
          <w:color w:val="000000"/>
        </w:rPr>
      </w:pPr>
      <w:bookmarkStart w:id="351" w:name="_Toc28995"/>
      <w:bookmarkStart w:id="352" w:name="_Toc454379998"/>
      <w:bookmarkStart w:id="353" w:name="_Toc23000895"/>
      <w:r>
        <w:rPr>
          <w:rFonts w:hint="eastAsia" w:ascii="宋体" w:hAnsi="宋体"/>
          <w:color w:val="000000"/>
        </w:rPr>
        <w:t>第3章  审核</w:t>
      </w:r>
      <w:bookmarkEnd w:id="351"/>
      <w:bookmarkEnd w:id="352"/>
      <w:bookmarkEnd w:id="353"/>
    </w:p>
    <w:p>
      <w:pPr>
        <w:spacing w:line="360" w:lineRule="auto"/>
        <w:ind w:firstLine="480" w:firstLineChars="200"/>
        <w:rPr>
          <w:rFonts w:hint="eastAsia" w:ascii="宋体" w:hAnsi="宋体"/>
          <w:color w:val="000000"/>
          <w:sz w:val="24"/>
        </w:rPr>
      </w:pPr>
      <w:r>
        <w:rPr>
          <w:rFonts w:hint="eastAsia" w:ascii="宋体" w:hAnsi="宋体"/>
          <w:color w:val="000000"/>
          <w:sz w:val="24"/>
        </w:rPr>
        <w:t>审核阶段的工作重点是实测输入、输出物流，建立物料平衡，从资源和能源、工艺技术、设备、过程控制、产品、废物、管理和员工八个方面分析找出生产过程中污染物产生量大、资源能源消耗量大、生产效率低的部位，分析原因，制定解决问题的办法，提出解决方案。</w:t>
      </w:r>
    </w:p>
    <w:bookmarkEnd w:id="346"/>
    <w:bookmarkEnd w:id="347"/>
    <w:bookmarkEnd w:id="348"/>
    <w:bookmarkEnd w:id="349"/>
    <w:bookmarkEnd w:id="350"/>
    <w:p>
      <w:pPr>
        <w:pStyle w:val="4"/>
        <w:spacing w:before="240" w:beforeLines="100" w:line="360" w:lineRule="auto"/>
        <w:jc w:val="left"/>
        <w:rPr>
          <w:rFonts w:hint="eastAsia" w:ascii="宋体" w:hAnsi="宋体"/>
          <w:color w:val="000000"/>
        </w:rPr>
      </w:pPr>
      <w:bookmarkStart w:id="354" w:name="_Toc415316052"/>
      <w:bookmarkStart w:id="355" w:name="_Toc453617003"/>
      <w:bookmarkStart w:id="356" w:name="_Toc23000896"/>
      <w:r>
        <w:rPr>
          <w:rFonts w:hint="eastAsia" w:ascii="宋体" w:hAnsi="宋体"/>
          <w:color w:val="000000"/>
        </w:rPr>
        <w:t>3.1 审核重点概况</w:t>
      </w:r>
      <w:bookmarkEnd w:id="354"/>
      <w:bookmarkEnd w:id="355"/>
      <w:bookmarkEnd w:id="356"/>
    </w:p>
    <w:p>
      <w:pPr>
        <w:pStyle w:val="5"/>
        <w:spacing w:before="0" w:after="0" w:line="360" w:lineRule="auto"/>
        <w:rPr>
          <w:rFonts w:hint="eastAsia" w:ascii="宋体" w:hAnsi="宋体"/>
          <w:color w:val="000000"/>
          <w:sz w:val="28"/>
          <w:szCs w:val="28"/>
        </w:rPr>
      </w:pPr>
      <w:bookmarkStart w:id="357" w:name="_Toc415316053"/>
      <w:bookmarkStart w:id="358" w:name="_Toc453617004"/>
      <w:bookmarkStart w:id="359" w:name="_Toc23000897"/>
      <w:r>
        <w:rPr>
          <w:rFonts w:hint="eastAsia" w:ascii="宋体" w:hAnsi="宋体"/>
          <w:color w:val="000000"/>
          <w:sz w:val="28"/>
          <w:szCs w:val="28"/>
        </w:rPr>
        <w:t>3.1.1 基本情况</w:t>
      </w:r>
      <w:bookmarkEnd w:id="357"/>
      <w:bookmarkEnd w:id="358"/>
      <w:bookmarkEnd w:id="359"/>
    </w:p>
    <w:p>
      <w:pPr>
        <w:autoSpaceDE w:val="0"/>
        <w:autoSpaceDN w:val="0"/>
        <w:adjustRightInd w:val="0"/>
        <w:spacing w:line="360" w:lineRule="auto"/>
        <w:ind w:firstLine="480" w:firstLineChars="200"/>
        <w:jc w:val="left"/>
        <w:rPr>
          <w:rFonts w:hint="eastAsia" w:ascii="宋体" w:cs="宋体"/>
          <w:color w:val="000000"/>
          <w:kern w:val="0"/>
          <w:sz w:val="24"/>
          <w:szCs w:val="24"/>
        </w:rPr>
      </w:pPr>
      <w:r>
        <w:rPr>
          <w:rFonts w:hint="eastAsia" w:ascii="宋体" w:cs="宋体"/>
          <w:color w:val="000000"/>
          <w:kern w:val="0"/>
          <w:sz w:val="24"/>
          <w:szCs w:val="24"/>
        </w:rPr>
        <w:t>选矿厂建于一个斜坡上，生产工序依次由上而下设置。</w:t>
      </w:r>
      <w:r>
        <w:rPr>
          <w:rFonts w:hint="eastAsia" w:ascii="宋体" w:cs="宋体"/>
          <w:bCs/>
          <w:color w:val="000000"/>
          <w:sz w:val="24"/>
        </w:rPr>
        <w:t>选矿厂</w:t>
      </w:r>
      <w:r>
        <w:rPr>
          <w:rFonts w:hint="eastAsia" w:ascii="宋体" w:hAnsi="宋体"/>
          <w:color w:val="000000"/>
          <w:sz w:val="24"/>
        </w:rPr>
        <w:t>年生产能力设计为12000吨。</w:t>
      </w:r>
      <w:r>
        <w:rPr>
          <w:rFonts w:hint="eastAsia" w:ascii="宋体" w:hAnsi="宋体"/>
          <w:color w:val="000000"/>
          <w:sz w:val="24"/>
          <w:szCs w:val="24"/>
        </w:rPr>
        <w:t>主要工段有破碎工段，球磨工段，浮选工段，浓缩过滤工段。选矿厂现有员工122人，实行三班倒8小时工作制。详</w:t>
      </w:r>
      <w:r>
        <w:rPr>
          <w:rFonts w:hint="eastAsia" w:ascii="宋体" w:cs="宋体"/>
          <w:color w:val="000000"/>
          <w:sz w:val="24"/>
          <w:lang w:val="zh-CN"/>
        </w:rPr>
        <w:t>见表</w:t>
      </w:r>
      <w:r>
        <w:rPr>
          <w:rFonts w:ascii="宋体" w:cs="宋体"/>
          <w:color w:val="000000"/>
          <w:sz w:val="24"/>
          <w:lang w:val="zh-CN"/>
        </w:rPr>
        <w:t>3-1</w:t>
      </w:r>
      <w:r>
        <w:rPr>
          <w:rFonts w:hint="eastAsia" w:ascii="宋体" w:cs="宋体"/>
          <w:color w:val="000000"/>
          <w:sz w:val="24"/>
          <w:lang w:val="zh-CN"/>
        </w:rPr>
        <w:t>。</w:t>
      </w:r>
    </w:p>
    <w:p>
      <w:pPr>
        <w:spacing w:after="120" w:afterLines="50" w:line="360" w:lineRule="exact"/>
        <w:ind w:firstLine="482" w:firstLineChars="200"/>
        <w:jc w:val="center"/>
        <w:outlineLvl w:val="0"/>
        <w:rPr>
          <w:rFonts w:hint="eastAsia" w:ascii="宋体" w:hAnsi="宋体"/>
          <w:b/>
          <w:bCs/>
          <w:color w:val="000000"/>
          <w:sz w:val="24"/>
          <w:szCs w:val="28"/>
          <w:lang w:val="zh-CN"/>
        </w:rPr>
      </w:pPr>
      <w:r>
        <w:rPr>
          <w:rFonts w:hint="eastAsia" w:ascii="宋体" w:hAnsi="宋体"/>
          <w:b/>
          <w:bCs/>
          <w:color w:val="000000"/>
          <w:sz w:val="24"/>
          <w:szCs w:val="28"/>
          <w:lang w:val="zh-CN"/>
        </w:rPr>
        <w:t>表</w:t>
      </w:r>
      <w:r>
        <w:rPr>
          <w:rFonts w:ascii="宋体" w:hAnsi="宋体"/>
          <w:b/>
          <w:bCs/>
          <w:color w:val="000000"/>
          <w:sz w:val="24"/>
          <w:szCs w:val="28"/>
          <w:lang w:val="zh-CN"/>
        </w:rPr>
        <w:t xml:space="preserve">3-1 </w:t>
      </w:r>
      <w:r>
        <w:rPr>
          <w:rFonts w:hint="eastAsia" w:ascii="宋体" w:hAnsi="宋体"/>
          <w:b/>
          <w:bCs/>
          <w:color w:val="000000"/>
          <w:sz w:val="24"/>
          <w:szCs w:val="28"/>
          <w:lang w:val="zh-CN"/>
        </w:rPr>
        <w:t>选矿厂基本概况表</w:t>
      </w:r>
    </w:p>
    <w:tbl>
      <w:tblPr>
        <w:tblStyle w:val="35"/>
        <w:tblW w:w="0" w:type="auto"/>
        <w:jc w:val="center"/>
        <w:tblLayout w:type="fixed"/>
        <w:tblCellMar>
          <w:top w:w="0" w:type="dxa"/>
          <w:left w:w="108" w:type="dxa"/>
          <w:bottom w:w="0" w:type="dxa"/>
          <w:right w:w="108" w:type="dxa"/>
        </w:tblCellMar>
      </w:tblPr>
      <w:tblGrid>
        <w:gridCol w:w="1920"/>
        <w:gridCol w:w="1836"/>
        <w:gridCol w:w="3072"/>
        <w:gridCol w:w="2277"/>
      </w:tblGrid>
      <w:tr>
        <w:tblPrEx>
          <w:tblCellMar>
            <w:top w:w="0" w:type="dxa"/>
            <w:left w:w="108" w:type="dxa"/>
            <w:bottom w:w="0" w:type="dxa"/>
            <w:right w:w="108" w:type="dxa"/>
          </w:tblCellMar>
        </w:tblPrEx>
        <w:trPr>
          <w:wBefore w:w="0" w:type="dxa"/>
          <w:wAfter w:w="0" w:type="dxa"/>
          <w:trHeight w:val="272" w:hRule="atLeast"/>
          <w:jc w:val="center"/>
        </w:trPr>
        <w:tc>
          <w:tcPr>
            <w:tcW w:w="19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ascii="宋体" w:cs="宋体"/>
                <w:bCs/>
                <w:color w:val="000000"/>
                <w:szCs w:val="21"/>
                <w:lang w:val="zh-CN"/>
              </w:rPr>
            </w:pPr>
            <w:r>
              <w:rPr>
                <w:rFonts w:hint="eastAsia" w:ascii="宋体" w:cs="宋体"/>
                <w:bCs/>
                <w:color w:val="000000"/>
                <w:szCs w:val="21"/>
                <w:lang w:val="zh-CN"/>
              </w:rPr>
              <w:t>工段名称</w:t>
            </w:r>
          </w:p>
        </w:tc>
        <w:tc>
          <w:tcPr>
            <w:tcW w:w="18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ascii="宋体" w:cs="宋体"/>
                <w:bCs/>
                <w:color w:val="000000"/>
                <w:szCs w:val="21"/>
                <w:lang w:val="zh-CN"/>
              </w:rPr>
            </w:pPr>
            <w:r>
              <w:rPr>
                <w:rFonts w:hint="eastAsia" w:ascii="宋体" w:cs="宋体"/>
                <w:bCs/>
                <w:color w:val="000000"/>
                <w:szCs w:val="21"/>
                <w:lang w:val="zh-CN"/>
              </w:rPr>
              <w:t>生产线类型</w:t>
            </w:r>
          </w:p>
        </w:tc>
        <w:tc>
          <w:tcPr>
            <w:tcW w:w="3072"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ascii="宋体" w:cs="宋体"/>
                <w:bCs/>
                <w:color w:val="000000"/>
                <w:szCs w:val="21"/>
                <w:lang w:val="zh-CN"/>
              </w:rPr>
            </w:pPr>
            <w:r>
              <w:rPr>
                <w:rFonts w:hint="eastAsia" w:ascii="宋体" w:cs="宋体"/>
                <w:bCs/>
                <w:color w:val="000000"/>
                <w:szCs w:val="21"/>
                <w:lang w:val="zh-CN"/>
              </w:rPr>
              <w:t>班组数量</w:t>
            </w:r>
          </w:p>
        </w:tc>
        <w:tc>
          <w:tcPr>
            <w:tcW w:w="227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ascii="宋体" w:cs="宋体"/>
                <w:bCs/>
                <w:color w:val="000000"/>
                <w:szCs w:val="21"/>
                <w:lang w:val="zh-CN"/>
              </w:rPr>
            </w:pPr>
            <w:r>
              <w:rPr>
                <w:rFonts w:hint="eastAsia" w:ascii="宋体" w:cs="宋体"/>
                <w:bCs/>
                <w:color w:val="000000"/>
                <w:szCs w:val="21"/>
                <w:lang w:val="zh-CN"/>
              </w:rPr>
              <w:t>设备能力</w:t>
            </w:r>
          </w:p>
        </w:tc>
      </w:tr>
      <w:tr>
        <w:tblPrEx>
          <w:tblCellMar>
            <w:top w:w="0" w:type="dxa"/>
            <w:left w:w="108" w:type="dxa"/>
            <w:bottom w:w="0" w:type="dxa"/>
            <w:right w:w="108" w:type="dxa"/>
          </w:tblCellMar>
        </w:tblPrEx>
        <w:trPr>
          <w:wBefore w:w="0" w:type="dxa"/>
          <w:wAfter w:w="0" w:type="dxa"/>
          <w:trHeight w:val="290" w:hRule="atLeast"/>
          <w:jc w:val="center"/>
        </w:trPr>
        <w:tc>
          <w:tcPr>
            <w:tcW w:w="19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破碎工段</w:t>
            </w:r>
          </w:p>
        </w:tc>
        <w:tc>
          <w:tcPr>
            <w:tcW w:w="18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ascii="宋体" w:cs="宋体"/>
                <w:color w:val="000000"/>
                <w:szCs w:val="21"/>
                <w:lang w:val="zh-CN"/>
              </w:rPr>
            </w:pPr>
            <w:r>
              <w:rPr>
                <w:rFonts w:hint="eastAsia" w:ascii="宋体" w:cs="宋体"/>
                <w:color w:val="000000"/>
                <w:szCs w:val="21"/>
                <w:lang w:val="zh-CN"/>
              </w:rPr>
              <w:t>连续生产</w:t>
            </w:r>
          </w:p>
        </w:tc>
        <w:tc>
          <w:tcPr>
            <w:tcW w:w="3072" w:type="dxa"/>
            <w:tcBorders>
              <w:top w:val="single" w:color="auto" w:sz="6" w:space="0"/>
              <w:left w:val="single" w:color="auto" w:sz="6" w:space="0"/>
              <w:bottom w:val="single" w:color="auto" w:sz="6" w:space="0"/>
              <w:right w:val="single" w:color="auto" w:sz="6" w:space="0"/>
            </w:tcBorders>
            <w:noWrap w:val="0"/>
            <w:vAlign w:val="top"/>
          </w:tcPr>
          <w:p>
            <w:pPr>
              <w:spacing w:line="360" w:lineRule="exact"/>
              <w:rPr>
                <w:color w:val="000000"/>
                <w:szCs w:val="21"/>
              </w:rPr>
            </w:pPr>
            <w:r>
              <w:rPr>
                <w:rFonts w:hint="eastAsia" w:ascii="宋体" w:cs="宋体"/>
                <w:color w:val="000000"/>
                <w:szCs w:val="21"/>
                <w:lang w:val="zh-CN"/>
              </w:rPr>
              <w:t>甲、乙、丙、三个班组</w:t>
            </w:r>
          </w:p>
        </w:tc>
        <w:tc>
          <w:tcPr>
            <w:tcW w:w="227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rPr>
            </w:pPr>
            <w:r>
              <w:rPr>
                <w:rFonts w:hint="eastAsia" w:ascii="宋体" w:cs="宋体"/>
                <w:color w:val="000000"/>
                <w:szCs w:val="21"/>
              </w:rPr>
              <w:t>120000t/a</w:t>
            </w:r>
          </w:p>
        </w:tc>
      </w:tr>
      <w:tr>
        <w:tblPrEx>
          <w:tblCellMar>
            <w:top w:w="0" w:type="dxa"/>
            <w:left w:w="108" w:type="dxa"/>
            <w:bottom w:w="0" w:type="dxa"/>
            <w:right w:w="108" w:type="dxa"/>
          </w:tblCellMar>
        </w:tblPrEx>
        <w:trPr>
          <w:wBefore w:w="0" w:type="dxa"/>
          <w:wAfter w:w="0" w:type="dxa"/>
          <w:trHeight w:val="305" w:hRule="atLeast"/>
          <w:jc w:val="center"/>
        </w:trPr>
        <w:tc>
          <w:tcPr>
            <w:tcW w:w="19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球磨工段</w:t>
            </w:r>
          </w:p>
        </w:tc>
        <w:tc>
          <w:tcPr>
            <w:tcW w:w="18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连续生产</w:t>
            </w:r>
          </w:p>
        </w:tc>
        <w:tc>
          <w:tcPr>
            <w:tcW w:w="3072" w:type="dxa"/>
            <w:tcBorders>
              <w:top w:val="single" w:color="auto" w:sz="6" w:space="0"/>
              <w:left w:val="single" w:color="auto" w:sz="6" w:space="0"/>
              <w:bottom w:val="single" w:color="auto" w:sz="6" w:space="0"/>
              <w:right w:val="single" w:color="auto" w:sz="6" w:space="0"/>
            </w:tcBorders>
            <w:noWrap w:val="0"/>
            <w:vAlign w:val="top"/>
          </w:tcPr>
          <w:p>
            <w:pPr>
              <w:spacing w:line="360" w:lineRule="exact"/>
              <w:rPr>
                <w:color w:val="000000"/>
                <w:szCs w:val="21"/>
              </w:rPr>
            </w:pPr>
            <w:r>
              <w:rPr>
                <w:rFonts w:hint="eastAsia" w:ascii="宋体" w:cs="宋体"/>
                <w:color w:val="000000"/>
                <w:szCs w:val="21"/>
                <w:lang w:val="zh-CN"/>
              </w:rPr>
              <w:t>甲、乙、丙、三个班组</w:t>
            </w:r>
          </w:p>
        </w:tc>
        <w:tc>
          <w:tcPr>
            <w:tcW w:w="227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rPr>
            </w:pPr>
            <w:r>
              <w:rPr>
                <w:rFonts w:hint="eastAsia" w:ascii="宋体" w:cs="宋体"/>
                <w:color w:val="000000"/>
                <w:szCs w:val="21"/>
              </w:rPr>
              <w:t>120000t/a</w:t>
            </w:r>
          </w:p>
        </w:tc>
      </w:tr>
      <w:tr>
        <w:tblPrEx>
          <w:tblCellMar>
            <w:top w:w="0" w:type="dxa"/>
            <w:left w:w="108" w:type="dxa"/>
            <w:bottom w:w="0" w:type="dxa"/>
            <w:right w:w="108" w:type="dxa"/>
          </w:tblCellMar>
        </w:tblPrEx>
        <w:trPr>
          <w:wBefore w:w="0" w:type="dxa"/>
          <w:wAfter w:w="0" w:type="dxa"/>
          <w:trHeight w:val="305" w:hRule="atLeast"/>
          <w:jc w:val="center"/>
        </w:trPr>
        <w:tc>
          <w:tcPr>
            <w:tcW w:w="19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浮选工段</w:t>
            </w:r>
          </w:p>
        </w:tc>
        <w:tc>
          <w:tcPr>
            <w:tcW w:w="18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ascii="宋体" w:cs="宋体"/>
                <w:color w:val="000000"/>
                <w:szCs w:val="21"/>
                <w:lang w:val="zh-CN"/>
              </w:rPr>
            </w:pPr>
            <w:r>
              <w:rPr>
                <w:rFonts w:hint="eastAsia" w:ascii="宋体" w:cs="宋体"/>
                <w:color w:val="000000"/>
                <w:szCs w:val="21"/>
                <w:lang w:val="zh-CN"/>
              </w:rPr>
              <w:t>连续生产</w:t>
            </w:r>
          </w:p>
        </w:tc>
        <w:tc>
          <w:tcPr>
            <w:tcW w:w="3072" w:type="dxa"/>
            <w:tcBorders>
              <w:top w:val="single" w:color="auto" w:sz="6" w:space="0"/>
              <w:left w:val="single" w:color="auto" w:sz="6" w:space="0"/>
              <w:bottom w:val="single" w:color="auto" w:sz="6" w:space="0"/>
              <w:right w:val="single" w:color="auto" w:sz="6" w:space="0"/>
            </w:tcBorders>
            <w:noWrap w:val="0"/>
            <w:vAlign w:val="top"/>
          </w:tcPr>
          <w:p>
            <w:pPr>
              <w:spacing w:line="360" w:lineRule="exact"/>
              <w:rPr>
                <w:color w:val="000000"/>
                <w:szCs w:val="21"/>
              </w:rPr>
            </w:pPr>
            <w:r>
              <w:rPr>
                <w:rFonts w:hint="eastAsia" w:ascii="宋体" w:cs="宋体"/>
                <w:color w:val="000000"/>
                <w:szCs w:val="21"/>
                <w:lang w:val="zh-CN"/>
              </w:rPr>
              <w:t>甲、乙、丙、三个班组</w:t>
            </w:r>
          </w:p>
        </w:tc>
        <w:tc>
          <w:tcPr>
            <w:tcW w:w="2277" w:type="dxa"/>
            <w:tcBorders>
              <w:top w:val="single" w:color="auto" w:sz="6" w:space="0"/>
              <w:left w:val="single" w:color="auto" w:sz="6" w:space="0"/>
              <w:bottom w:val="single" w:color="auto" w:sz="6" w:space="0"/>
              <w:right w:val="single" w:color="auto" w:sz="6" w:space="0"/>
            </w:tcBorders>
            <w:noWrap w:val="0"/>
            <w:vAlign w:val="top"/>
          </w:tcPr>
          <w:p>
            <w:pPr>
              <w:jc w:val="center"/>
              <w:rPr>
                <w:color w:val="000000"/>
              </w:rPr>
            </w:pPr>
            <w:r>
              <w:rPr>
                <w:rFonts w:hint="eastAsia" w:ascii="宋体" w:cs="宋体"/>
                <w:color w:val="000000"/>
                <w:szCs w:val="21"/>
              </w:rPr>
              <w:t>120000t/a</w:t>
            </w:r>
          </w:p>
        </w:tc>
      </w:tr>
      <w:tr>
        <w:tblPrEx>
          <w:tblCellMar>
            <w:top w:w="0" w:type="dxa"/>
            <w:left w:w="108" w:type="dxa"/>
            <w:bottom w:w="0" w:type="dxa"/>
            <w:right w:w="108" w:type="dxa"/>
          </w:tblCellMar>
        </w:tblPrEx>
        <w:trPr>
          <w:wBefore w:w="0" w:type="dxa"/>
          <w:wAfter w:w="0" w:type="dxa"/>
          <w:trHeight w:val="305" w:hRule="atLeast"/>
          <w:jc w:val="center"/>
        </w:trPr>
        <w:tc>
          <w:tcPr>
            <w:tcW w:w="1920"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浓缩过滤工段</w:t>
            </w:r>
          </w:p>
        </w:tc>
        <w:tc>
          <w:tcPr>
            <w:tcW w:w="1836"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连续生产</w:t>
            </w:r>
          </w:p>
        </w:tc>
        <w:tc>
          <w:tcPr>
            <w:tcW w:w="3072" w:type="dxa"/>
            <w:tcBorders>
              <w:top w:val="single" w:color="auto" w:sz="6" w:space="0"/>
              <w:left w:val="single" w:color="auto" w:sz="6" w:space="0"/>
              <w:bottom w:val="single" w:color="auto" w:sz="6" w:space="0"/>
              <w:right w:val="single" w:color="auto" w:sz="6" w:space="0"/>
            </w:tcBorders>
            <w:noWrap w:val="0"/>
            <w:vAlign w:val="top"/>
          </w:tcPr>
          <w:p>
            <w:pPr>
              <w:spacing w:line="360" w:lineRule="exact"/>
              <w:rPr>
                <w:color w:val="000000"/>
                <w:szCs w:val="21"/>
              </w:rPr>
            </w:pPr>
            <w:r>
              <w:rPr>
                <w:rFonts w:hint="eastAsia" w:ascii="宋体" w:cs="宋体"/>
                <w:color w:val="000000"/>
                <w:szCs w:val="21"/>
                <w:lang w:val="zh-CN"/>
              </w:rPr>
              <w:t>甲、乙、丙、三个班组</w:t>
            </w:r>
          </w:p>
        </w:tc>
        <w:tc>
          <w:tcPr>
            <w:tcW w:w="2277" w:type="dxa"/>
            <w:tcBorders>
              <w:top w:val="single" w:color="auto" w:sz="6" w:space="0"/>
              <w:left w:val="single" w:color="auto" w:sz="6" w:space="0"/>
              <w:bottom w:val="single" w:color="auto" w:sz="6" w:space="0"/>
              <w:right w:val="single" w:color="auto" w:sz="6" w:space="0"/>
            </w:tcBorders>
            <w:noWrap w:val="0"/>
            <w:vAlign w:val="top"/>
          </w:tcPr>
          <w:p>
            <w:pPr>
              <w:jc w:val="center"/>
              <w:rPr>
                <w:color w:val="000000"/>
              </w:rPr>
            </w:pPr>
            <w:r>
              <w:rPr>
                <w:rFonts w:hint="eastAsia" w:ascii="宋体" w:cs="宋体"/>
                <w:color w:val="000000"/>
                <w:szCs w:val="21"/>
              </w:rPr>
              <w:t>120000t/a</w:t>
            </w:r>
          </w:p>
        </w:tc>
      </w:tr>
    </w:tbl>
    <w:p>
      <w:pPr>
        <w:pStyle w:val="5"/>
        <w:spacing w:before="480" w:line="415" w:lineRule="auto"/>
        <w:rPr>
          <w:rFonts w:hint="eastAsia"/>
          <w:color w:val="000000"/>
          <w:lang w:val="en-GB"/>
        </w:rPr>
      </w:pPr>
      <w:bookmarkStart w:id="360" w:name="_Toc296604608"/>
      <w:r>
        <w:rPr>
          <w:rFonts w:hint="eastAsia"/>
          <w:color w:val="000000"/>
        </w:rPr>
        <w:t xml:space="preserve">  </w:t>
      </w:r>
      <w:bookmarkEnd w:id="360"/>
      <w:r>
        <w:rPr>
          <w:rFonts w:hint="eastAsia"/>
          <w:color w:val="000000"/>
        </w:rPr>
        <w:fldChar w:fldCharType="begin"/>
      </w:r>
      <w:r>
        <w:rPr>
          <w:rFonts w:hint="eastAsia"/>
          <w:color w:val="000000"/>
        </w:rPr>
        <w:instrText xml:space="preserve"> HYPERLINK \l _Toc6692 </w:instrText>
      </w:r>
      <w:r>
        <w:rPr>
          <w:rFonts w:hint="eastAsia"/>
          <w:color w:val="000000"/>
        </w:rPr>
        <w:fldChar w:fldCharType="separate"/>
      </w:r>
      <w:bookmarkStart w:id="361" w:name="_Toc415316054"/>
      <w:bookmarkStart w:id="362" w:name="_Toc453617005"/>
      <w:bookmarkStart w:id="363" w:name="_Toc23000898"/>
      <w:r>
        <w:rPr>
          <w:rFonts w:hint="eastAsia"/>
          <w:color w:val="000000"/>
        </w:rPr>
        <w:t>3</w:t>
      </w:r>
      <w:r>
        <w:rPr>
          <w:rFonts w:hint="eastAsia"/>
          <w:color w:val="000000"/>
          <w:lang w:val="en-GB"/>
        </w:rPr>
        <w:t>.1</w:t>
      </w:r>
      <w:r>
        <w:rPr>
          <w:rFonts w:hint="eastAsia"/>
          <w:color w:val="000000"/>
        </w:rPr>
        <w:t>.2</w:t>
      </w:r>
      <w:r>
        <w:rPr>
          <w:rFonts w:hint="eastAsia"/>
          <w:color w:val="000000"/>
          <w:lang w:val="en-GB"/>
        </w:rPr>
        <w:t>审核重点工艺流程图及工艺说明</w:t>
      </w:r>
      <w:bookmarkEnd w:id="361"/>
      <w:bookmarkEnd w:id="362"/>
      <w:bookmarkEnd w:id="363"/>
      <w:r>
        <w:rPr>
          <w:rFonts w:hint="eastAsia"/>
          <w:color w:val="000000"/>
          <w:lang w:val="en-GB"/>
        </w:rPr>
        <w:fldChar w:fldCharType="end"/>
      </w:r>
    </w:p>
    <w:p>
      <w:pPr>
        <w:shd w:val="clear" w:color="auto" w:fill="FFFFFF"/>
        <w:spacing w:line="360" w:lineRule="auto"/>
        <w:ind w:firstLine="480" w:firstLineChars="200"/>
        <w:rPr>
          <w:rFonts w:hint="eastAsia" w:ascii="宋体" w:hAnsi="宋体" w:cs="仿宋"/>
          <w:color w:val="000000"/>
          <w:kern w:val="0"/>
          <w:sz w:val="24"/>
        </w:rPr>
      </w:pPr>
      <w:bookmarkStart w:id="364" w:name="_Toc295832022"/>
      <w:bookmarkStart w:id="365" w:name="_Toc295835677"/>
      <w:bookmarkStart w:id="366" w:name="_Toc296091928"/>
      <w:r>
        <w:rPr>
          <w:rFonts w:hint="eastAsia" w:ascii="宋体" w:hAnsi="宋体" w:cs="仿宋"/>
          <w:color w:val="000000"/>
          <w:kern w:val="0"/>
          <w:sz w:val="24"/>
        </w:rPr>
        <w:t>（1）选矿厂工艺流程</w:t>
      </w:r>
    </w:p>
    <w:p>
      <w:pPr>
        <w:shd w:val="clear" w:color="auto" w:fill="FFFFFF"/>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公司采矿厂开采的硫化铅锌矿石，采用传统的浮选+重选工艺，主要工艺过程有碎矿、磨浮、浓密脱水、尾矿重选、尾矿脱水和水处理工序，主要产品有为锌精矿和铅精矿</w:t>
      </w:r>
      <w:r>
        <w:rPr>
          <w:rFonts w:hint="eastAsia" w:ascii="宋体" w:hAnsi="宋体" w:cs="宋体"/>
          <w:color w:val="000000"/>
          <w:kern w:val="0"/>
          <w:sz w:val="24"/>
        </w:rPr>
        <w:t>a</w:t>
      </w:r>
      <w:r>
        <w:rPr>
          <w:rFonts w:hint="eastAsia" w:ascii="宋体" w:hAnsi="宋体" w:cs="仿宋"/>
          <w:color w:val="000000"/>
          <w:kern w:val="0"/>
          <w:sz w:val="24"/>
        </w:rPr>
        <w:t>。</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破碎工段通过粗碎和细碎两道工序，粗碎将原矿破碎至直径小于3cm的碎块，经皮带机传送到振动筛进行筛选，粒度小于1.2cm的进入球磨机，粒度大于1.2cm的进入圆磨机进行二次破碎，之后又进入振动筛进行筛选。</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进入球磨机的碎矿块磨至粒度75-80目，粗粒经螺旋分级机返回到球磨机中，通过球磨机将一定粒度的矿石磨成符合浮选要求的细度和浓度的矿浆，搅拌后的矿浆进入浮选槽浮选，通过添加不同的药剂先选出铅精矿，再选锌精矿，然后进行浓密脱水。浮选流程：加入药剂、硫酸锌（抑制剂），经过二段粗选、三段精选和一段扫选，选得铅精矿进入铅精矿浓密机。再加入不同的药剂、硫酸铜（抑制剂），经过二段粗选、三段精选和一段扫选，选得锌精矿进入锌精矿浓密机。尾矿和废水进入小浮选工序回收有价金属，之后尾矿和废水经汇集池汇集后进入摇床重选工序，重选后的尾矿通过尾矿泵送到1号浓密池或二号浓密池，再通过陶瓷过滤机进行尾矿脱水处理，过滤后的尾矿暂存于尾矿仓，后送往鸡西尾矿库；重选后的尾水用水泵输送到水处理车间进行处理后循环使用。</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浮选采用的捕收剂（药剂）为丁基黄药，是黄药的一种。</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"http://wenwen.soso.com/z/Search.e?sp=S%E9%BB%84%E8%8D%AF&amp;ch=w.search.yjjlink&amp;cid=w.search.yjjlink"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黄药</w:t>
      </w:r>
      <w:r>
        <w:rPr>
          <w:rFonts w:hint="eastAsia" w:ascii="宋体" w:hAnsi="宋体" w:cs="仿宋"/>
          <w:color w:val="000000"/>
          <w:kern w:val="0"/>
          <w:sz w:val="24"/>
        </w:rPr>
        <w:fldChar w:fldCharType="end"/>
      </w:r>
      <w:r>
        <w:rPr>
          <w:rFonts w:hint="eastAsia" w:ascii="宋体" w:hAnsi="宋体" w:cs="仿宋"/>
          <w:color w:val="000000"/>
          <w:kern w:val="0"/>
          <w:sz w:val="24"/>
        </w:rPr>
        <w:t>是浮选硫化矿物（</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"http://wenwen.soso.com/z/Search.e?sp=S%E6%96%B9%E9%93%85%E7%9F%BF&amp;ch=w.search.yjjlink&amp;cid=w.search.yjjlink"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方铅矿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"http://wenwen.soso.com/z/Search.e?sp=S%E9%BB%84%E9%93%9C%E7%9F%BF&amp;ch=w.search.yjjlink&amp;cid=w.search.yjjlink"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黄铜矿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"http://wenwen.soso.com/z/Search.e?sp=S%E9%97%AA%E9%94%8C%E7%9F%BF&amp;ch=w.search.yjjlink&amp;cid=w.search.yjjlink"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闪锌矿</w:t>
      </w:r>
      <w:r>
        <w:rPr>
          <w:rFonts w:hint="eastAsia" w:ascii="宋体" w:hAnsi="宋体" w:cs="仿宋"/>
          <w:color w:val="000000"/>
          <w:kern w:val="0"/>
          <w:sz w:val="24"/>
        </w:rPr>
        <w:fldChar w:fldCharType="end"/>
      </w:r>
      <w:r>
        <w:rPr>
          <w:rFonts w:hint="eastAsia" w:ascii="宋体" w:hAnsi="宋体" w:cs="仿宋"/>
          <w:color w:val="000000"/>
          <w:kern w:val="0"/>
          <w:sz w:val="24"/>
        </w:rPr>
        <w:t>，</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"http://wenwen.soso.com/z/Search.e?sp=S%E9%BB%84%E9%93%81%E7%9F%BF&amp;ch=w.search.yjjlink&amp;cid=w.search.yjjlink"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黄铁矿</w:t>
      </w:r>
      <w:r>
        <w:rPr>
          <w:rFonts w:hint="eastAsia" w:ascii="宋体" w:hAnsi="宋体" w:cs="仿宋"/>
          <w:color w:val="000000"/>
          <w:kern w:val="0"/>
          <w:sz w:val="24"/>
        </w:rPr>
        <w:fldChar w:fldCharType="end"/>
      </w:r>
      <w:r>
        <w:rPr>
          <w:rFonts w:hint="eastAsia" w:ascii="宋体" w:hAnsi="宋体" w:cs="仿宋"/>
          <w:color w:val="000000"/>
          <w:kern w:val="0"/>
          <w:sz w:val="24"/>
        </w:rPr>
        <w:t>等）最常用的捕收剂。黄药由醇、苛性钠、</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"http://wenwen.soso.com/z/Search.e?sp=S%E4%BA%8C%E7%A1%AB%E5%8C%96%E7%A2%B3&amp;ch=w.search.yjjlink&amp;cid=w.search.yjjlink"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二硫化碳</w:t>
      </w:r>
      <w:r>
        <w:rPr>
          <w:rFonts w:hint="eastAsia" w:ascii="宋体" w:hAnsi="宋体" w:cs="仿宋"/>
          <w:color w:val="000000"/>
          <w:kern w:val="0"/>
          <w:sz w:val="24"/>
        </w:rPr>
        <w:fldChar w:fldCharType="end"/>
      </w:r>
      <w:r>
        <w:rPr>
          <w:rFonts w:hint="eastAsia" w:ascii="宋体" w:hAnsi="宋体" w:cs="仿宋"/>
          <w:color w:val="000000"/>
          <w:kern w:val="0"/>
          <w:sz w:val="24"/>
        </w:rPr>
        <w:t>三种原料在一定温度（以15～35℃为宜）条件下作用而成。根据制备黄药时所用的醇的不同（乙醇、丁醇、</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"http://wenwen.soso.com/z/Search.e?sp=S%E6%88%8A%E9%86%87&amp;ch=w.search.yjjlink&amp;cid=w.search.yjjlink"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戊醇</w:t>
      </w:r>
      <w:r>
        <w:rPr>
          <w:rFonts w:hint="eastAsia" w:ascii="宋体" w:hAnsi="宋体" w:cs="仿宋"/>
          <w:color w:val="000000"/>
          <w:kern w:val="0"/>
          <w:sz w:val="24"/>
        </w:rPr>
        <w:fldChar w:fldCharType="end"/>
      </w:r>
      <w:r>
        <w:rPr>
          <w:rFonts w:hint="eastAsia" w:ascii="宋体" w:hAnsi="宋体" w:cs="仿宋"/>
          <w:color w:val="000000"/>
          <w:kern w:val="0"/>
          <w:sz w:val="24"/>
        </w:rPr>
        <w:t>等），所制得的黄药又分别为乙基黄药，丁基黄药，戊基黄药。黄药在常温下是固体的黄色粉末，带有刺激性臭味，有毒，但不是剧毒。它的化学成分是烃基二硫代碳酸盐，分子式为ROCSSMe，其中R为CnH2n+1类烃基，Me为金属钠或钾。黄药易溶于水，在溶解水中解离成黄原</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"http://wenwen.soso.com/z/Search.e?sp=S%E9%85%B8%E6%A0%B9&amp;ch=w.search.yjjlink&amp;cid=w.search.yjjlink"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酸根</w:t>
      </w:r>
      <w:r>
        <w:rPr>
          <w:rFonts w:hint="eastAsia" w:ascii="宋体" w:hAnsi="宋体" w:cs="仿宋"/>
          <w:color w:val="000000"/>
          <w:kern w:val="0"/>
          <w:sz w:val="24"/>
        </w:rPr>
        <w:fldChar w:fldCharType="end"/>
      </w:r>
      <w:r>
        <w:rPr>
          <w:rFonts w:hint="eastAsia" w:ascii="宋体" w:hAnsi="宋体" w:cs="仿宋"/>
          <w:color w:val="000000"/>
          <w:kern w:val="0"/>
          <w:sz w:val="24"/>
        </w:rPr>
        <w:t>阴离子和</w:t>
      </w:r>
      <w:r>
        <w:rPr>
          <w:rFonts w:hint="eastAsia" w:ascii="宋体" w:hAnsi="宋体" w:cs="仿宋"/>
          <w:color w:val="000000"/>
          <w:kern w:val="0"/>
          <w:sz w:val="24"/>
        </w:rPr>
        <w:fldChar w:fldCharType="begin"/>
      </w:r>
      <w:r>
        <w:rPr>
          <w:rFonts w:hint="eastAsia" w:ascii="宋体" w:hAnsi="宋体" w:cs="仿宋"/>
          <w:color w:val="000000"/>
          <w:kern w:val="0"/>
          <w:sz w:val="24"/>
        </w:rPr>
        <w:instrText xml:space="preserve"> HYPERLINK "http://wenwen.soso.com/z/Search.e?sp=S%E8%BD%BB%E9%87%91%E5%B1%9E&amp;ch=w.search.yjjlink&amp;cid=w.search.yjjlink" \t "_blank" </w:instrText>
      </w:r>
      <w:r>
        <w:rPr>
          <w:rFonts w:hint="eastAsia" w:ascii="宋体" w:hAnsi="宋体" w:cs="仿宋"/>
          <w:color w:val="000000"/>
          <w:kern w:val="0"/>
          <w:sz w:val="24"/>
        </w:rPr>
        <w:fldChar w:fldCharType="separate"/>
      </w:r>
      <w:r>
        <w:rPr>
          <w:rFonts w:hint="eastAsia" w:ascii="宋体" w:hAnsi="宋体" w:cs="仿宋"/>
          <w:color w:val="000000"/>
          <w:kern w:val="0"/>
          <w:sz w:val="24"/>
        </w:rPr>
        <w:t>轻金属</w:t>
      </w:r>
      <w:r>
        <w:rPr>
          <w:rFonts w:hint="eastAsia" w:ascii="宋体" w:hAnsi="宋体" w:cs="仿宋"/>
          <w:color w:val="000000"/>
          <w:kern w:val="0"/>
          <w:sz w:val="24"/>
        </w:rPr>
        <w:fldChar w:fldCharType="end"/>
      </w:r>
      <w:r>
        <w:rPr>
          <w:rFonts w:hint="eastAsia" w:ascii="宋体" w:hAnsi="宋体" w:cs="仿宋"/>
          <w:color w:val="000000"/>
          <w:kern w:val="0"/>
          <w:sz w:val="24"/>
        </w:rPr>
        <w:t>阳离子；黄原酸根阴离子在水溶液中遇金属阳离子生成对应的重金属黄原酸盐沉淀，为此具有捕收力。黄原酸盐在溶液中不稳定，首先离解为黄原酸离子，黄原酸离子与水发生水解又生成黄原酸，黄原酸为弱酸，不稳定，分解成不起捕收作用的二硫化碳和醇。</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浮选出的锌精矿和铅精矿分别进入浓密机浓密脱水，然后进入过滤机进一步脱水，制得铅精矿和锌精矿产品。硫化矿选矿系统共有三台浓密机，硫化矿选矿系统浮选出的硫化锌精矿使用一台浓密机，最终获得产品为硫化锌精矿和铅精矿2种。</w:t>
      </w:r>
    </w:p>
    <w:p>
      <w:pPr>
        <w:spacing w:line="360" w:lineRule="auto"/>
        <w:ind w:firstLine="480" w:firstLineChars="200"/>
        <w:rPr>
          <w:rFonts w:hint="eastAsia" w:ascii="宋体" w:hAnsi="宋体" w:cs="仿宋"/>
          <w:color w:val="000000"/>
          <w:kern w:val="0"/>
          <w:sz w:val="24"/>
        </w:rPr>
      </w:pPr>
      <w:r>
        <w:rPr>
          <w:rFonts w:hint="eastAsia" w:ascii="宋体" w:hAnsi="宋体" w:cs="仿宋"/>
          <w:color w:val="000000"/>
          <w:kern w:val="0"/>
          <w:sz w:val="24"/>
        </w:rPr>
        <w:t>通过浮选工段出来的尾矿和浓密机溢流水进入摇床（6台）（硫化矿系统）进行重选进一步回收铅、锌精矿，产生的尾矿通过尾矿泵送到浓密池，再通过陶瓷过滤机进行尾矿脱水处理，过滤后的尾矿暂存于尾矿仓，后送往鸡西尾矿库。</w:t>
      </w:r>
      <w:r>
        <w:rPr>
          <w:rFonts w:hint="eastAsia" w:ascii="宋体" w:hAnsi="宋体"/>
          <w:color w:val="000000"/>
          <w:sz w:val="24"/>
          <w:szCs w:val="24"/>
        </w:rPr>
        <w:t>详见选矿厂生产工艺流程图3-1。</w:t>
      </w: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lang/>
        </w:rPr>
        <mc:AlternateContent>
          <mc:Choice Requires="wpg">
            <w:drawing>
              <wp:anchor distT="0" distB="0" distL="114300" distR="114300" simplePos="0" relativeHeight="251669504" behindDoc="0" locked="0" layoutInCell="1" allowOverlap="1">
                <wp:simplePos x="0" y="0"/>
                <wp:positionH relativeFrom="column">
                  <wp:posOffset>342900</wp:posOffset>
                </wp:positionH>
                <wp:positionV relativeFrom="paragraph">
                  <wp:posOffset>0</wp:posOffset>
                </wp:positionV>
                <wp:extent cx="5143500" cy="4160520"/>
                <wp:effectExtent l="5080" t="4445" r="13970" b="6985"/>
                <wp:wrapNone/>
                <wp:docPr id="61" name="组合 6764"/>
                <wp:cNvGraphicFramePr/>
                <a:graphic xmlns:a="http://schemas.openxmlformats.org/drawingml/2006/main">
                  <a:graphicData uri="http://schemas.microsoft.com/office/word/2010/wordprocessingGroup">
                    <wpg:wgp>
                      <wpg:cNvGrpSpPr/>
                      <wpg:grpSpPr>
                        <a:xfrm>
                          <a:off x="0" y="0"/>
                          <a:ext cx="5143500" cy="4160520"/>
                          <a:chOff x="1440" y="1440"/>
                          <a:chExt cx="9540" cy="11232"/>
                        </a:xfrm>
                      </wpg:grpSpPr>
                      <wps:wsp>
                        <wps:cNvPr id="59" name="矩形 6765"/>
                        <wps:cNvSpPr/>
                        <wps:spPr>
                          <a:xfrm>
                            <a:off x="1440" y="1440"/>
                            <a:ext cx="9540" cy="11232"/>
                          </a:xfrm>
                          <a:prstGeom prst="rect">
                            <a:avLst/>
                          </a:prstGeom>
                          <a:solidFill>
                            <a:srgbClr val="FFFFFF"/>
                          </a:solidFill>
                          <a:ln w="9525" cap="flat" cmpd="sng">
                            <a:solidFill>
                              <a:srgbClr val="000000"/>
                            </a:solidFill>
                            <a:prstDash val="solid"/>
                            <a:miter/>
                            <a:headEnd type="none" w="med" len="med"/>
                            <a:tailEnd type="none" w="med" len="med"/>
                          </a:ln>
                        </wps:spPr>
                        <wps:txbx>
                          <w:txbxContent>
                            <w:p>
                              <w:r>
                                <w:drawing>
                                  <wp:inline distT="0" distB="0" distL="114300" distR="114300">
                                    <wp:extent cx="4799330" cy="4501515"/>
                                    <wp:effectExtent l="0" t="0" r="1270" b="13335"/>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14"/>
                                            <a:stretch>
                                              <a:fillRect/>
                                            </a:stretch>
                                          </pic:blipFill>
                                          <pic:spPr>
                                            <a:xfrm>
                                              <a:off x="0" y="0"/>
                                              <a:ext cx="4799330" cy="4501515"/>
                                            </a:xfrm>
                                            <a:prstGeom prst="rect">
                                              <a:avLst/>
                                            </a:prstGeom>
                                            <a:noFill/>
                                            <a:ln>
                                              <a:noFill/>
                                            </a:ln>
                                          </pic:spPr>
                                        </pic:pic>
                                      </a:graphicData>
                                    </a:graphic>
                                  </wp:inline>
                                </w:drawing>
                              </w:r>
                            </w:p>
                          </w:txbxContent>
                        </wps:txbx>
                        <wps:bodyPr wrap="square" upright="1"/>
                      </wps:wsp>
                      <wps:wsp>
                        <wps:cNvPr id="60" name="矩形 6766"/>
                        <wps:cNvSpPr/>
                        <wps:spPr>
                          <a:xfrm flipV="1">
                            <a:off x="1800" y="12360"/>
                            <a:ext cx="9000" cy="156"/>
                          </a:xfrm>
                          <a:prstGeom prst="rect">
                            <a:avLst/>
                          </a:prstGeom>
                          <a:solidFill>
                            <a:srgbClr val="FFFFFF"/>
                          </a:solidFill>
                          <a:ln w="9525" cap="flat" cmpd="sng">
                            <a:solidFill>
                              <a:srgbClr val="FFFFFF"/>
                            </a:solidFill>
                            <a:prstDash val="solid"/>
                            <a:miter/>
                            <a:headEnd type="none" w="med" len="med"/>
                            <a:tailEnd type="none" w="med" len="med"/>
                          </a:ln>
                        </wps:spPr>
                        <wps:txbx>
                          <w:txbxContent>
                            <w:p/>
                          </w:txbxContent>
                        </wps:txbx>
                        <wps:bodyPr wrap="square" upright="1"/>
                      </wps:wsp>
                    </wpg:wgp>
                  </a:graphicData>
                </a:graphic>
              </wp:anchor>
            </w:drawing>
          </mc:Choice>
          <mc:Fallback>
            <w:pict>
              <v:group id="组合 6764" o:spid="_x0000_s1026" o:spt="203" style="position:absolute;left:0pt;margin-left:27pt;margin-top:0pt;height:327.6pt;width:405pt;z-index:251669504;mso-width-relative:page;mso-height-relative:page;" coordorigin="1440,1440" coordsize="9540,11232" o:gfxdata="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">
                <o:lock v:ext="edit" aspectratio="f"/>
                <v:rect id="矩形 6765" o:spid="_x0000_s1026" o:spt="1" style="position:absolute;left:1440;top:1440;height:11232;width:9540;" fillcolor="#FFFFFF" filled="t" stroked="t" coordsize="21600,21600" o:gfxdata="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swOz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r>
                          <w:drawing>
                            <wp:inline distT="0" distB="0" distL="114300" distR="114300">
                              <wp:extent cx="4799330" cy="4501515"/>
                              <wp:effectExtent l="0" t="0" r="1270" b="13335"/>
                              <wp:docPr id="17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图片 8"/>
                                      <pic:cNvPicPr>
                                        <a:picLocks noChangeAspect="1"/>
                                      </pic:cNvPicPr>
                                    </pic:nvPicPr>
                                    <pic:blipFill>
                                      <a:blip r:embed="rId14"/>
                                      <a:stretch>
                                        <a:fillRect/>
                                      </a:stretch>
                                    </pic:blipFill>
                                    <pic:spPr>
                                      <a:xfrm>
                                        <a:off x="0" y="0"/>
                                        <a:ext cx="4799330" cy="4501515"/>
                                      </a:xfrm>
                                      <a:prstGeom prst="rect">
                                        <a:avLst/>
                                      </a:prstGeom>
                                      <a:noFill/>
                                      <a:ln>
                                        <a:noFill/>
                                      </a:ln>
                                    </pic:spPr>
                                  </pic:pic>
                                </a:graphicData>
                              </a:graphic>
                            </wp:inline>
                          </w:drawing>
                        </w:r>
                      </w:p>
                    </w:txbxContent>
                  </v:textbox>
                </v:rect>
                <v:rect id="矩形 6766" o:spid="_x0000_s1026" o:spt="1" style="position:absolute;left:1800;top:12360;flip:y;height:156;width:9000;" fillcolor="#FFFFFF" filled="t" stroked="t" coordsize="21600,21600" o:gfxdata="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AHfhpLUAAADbAAAADwAA&#10;AAAAAAABACAAAAAiAAAAZHJzL2Rvd25yZXYueG1sUEsBAhQAFAAAAAgAh07iQDMvBZ47AAAAOQAA&#10;ABAAAAAAAAAAAQAgAAAABAEAAGRycy9zaGFwZXhtbC54bWxQSwUGAAAAAAYABgBbAQAArgMAAAAA&#10;">
                  <v:fill on="t" focussize="0,0"/>
                  <v:stroke color="#FFFFFF" joinstyle="miter"/>
                  <v:imagedata o:title=""/>
                  <o:lock v:ext="edit" aspectratio="f"/>
                  <v:textbox>
                    <w:txbxContent>
                      <w:p/>
                    </w:txbxContent>
                  </v:textbox>
                </v:rect>
              </v:group>
            </w:pict>
          </mc:Fallback>
        </mc:AlternateContent>
      </w: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ind w:firstLine="480" w:firstLineChars="200"/>
        <w:rPr>
          <w:rFonts w:hint="eastAsia" w:ascii="宋体" w:hAnsi="宋体"/>
          <w:color w:val="000000"/>
          <w:sz w:val="24"/>
          <w:szCs w:val="24"/>
        </w:rPr>
      </w:pPr>
    </w:p>
    <w:p>
      <w:pPr>
        <w:spacing w:line="360" w:lineRule="auto"/>
        <w:rPr>
          <w:rFonts w:hint="eastAsia" w:ascii="宋体" w:hAnsi="宋体"/>
          <w:color w:val="000000"/>
          <w:sz w:val="24"/>
        </w:rPr>
      </w:pPr>
    </w:p>
    <w:p>
      <w:pPr>
        <w:tabs>
          <w:tab w:val="left" w:pos="5585"/>
        </w:tabs>
        <w:spacing w:before="120" w:beforeLines="50" w:after="120" w:afterLines="50" w:line="360" w:lineRule="auto"/>
        <w:jc w:val="center"/>
        <w:rPr>
          <w:rFonts w:hint="eastAsia" w:ascii="宋体" w:hAnsi="宋体"/>
          <w:b/>
          <w:color w:val="000000"/>
          <w:sz w:val="24"/>
          <w:szCs w:val="28"/>
        </w:rPr>
      </w:pPr>
      <w:r>
        <w:rPr>
          <w:rFonts w:hint="eastAsia" w:ascii="宋体" w:hAnsi="宋体"/>
          <w:b/>
          <w:color w:val="000000"/>
          <w:sz w:val="24"/>
          <w:szCs w:val="28"/>
        </w:rPr>
        <w:t>图3－1    选矿厂设备工艺流程图</w:t>
      </w:r>
    </w:p>
    <w:p>
      <w:pPr>
        <w:tabs>
          <w:tab w:val="left" w:pos="7200"/>
        </w:tabs>
        <w:spacing w:line="360" w:lineRule="auto"/>
        <w:ind w:left="105" w:leftChars="50" w:firstLine="300" w:firstLineChars="125"/>
        <w:rPr>
          <w:rFonts w:hint="eastAsia" w:ascii="宋体" w:hAnsi="宋体"/>
          <w:color w:val="000000"/>
          <w:sz w:val="24"/>
          <w:szCs w:val="24"/>
        </w:rPr>
      </w:pPr>
      <w:r>
        <w:rPr>
          <w:rFonts w:hint="eastAsia" w:ascii="宋体" w:hAnsi="宋体"/>
          <w:color w:val="000000"/>
          <w:sz w:val="24"/>
          <w:szCs w:val="24"/>
        </w:rPr>
        <w:t>（2）选矿厂设备流程</w:t>
      </w:r>
    </w:p>
    <w:p>
      <w:pPr>
        <w:spacing w:line="360" w:lineRule="auto"/>
        <w:ind w:firstLine="480" w:firstLineChars="200"/>
        <w:rPr>
          <w:rFonts w:hint="eastAsia" w:ascii="宋体" w:hAnsi="宋体"/>
          <w:color w:val="000000"/>
          <w:sz w:val="24"/>
          <w:szCs w:val="24"/>
        </w:rPr>
      </w:pPr>
      <w:r>
        <w:rPr>
          <w:rFonts w:hint="eastAsia" w:ascii="宋体" w:hAnsi="宋体"/>
          <w:color w:val="000000"/>
          <w:sz w:val="24"/>
          <w:lang/>
        </w:rPr>
        <mc:AlternateContent>
          <mc:Choice Requires="wpg">
            <w:drawing>
              <wp:anchor distT="0" distB="0" distL="114300" distR="114300" simplePos="0" relativeHeight="251668480" behindDoc="0" locked="0" layoutInCell="1" allowOverlap="1">
                <wp:simplePos x="0" y="0"/>
                <wp:positionH relativeFrom="column">
                  <wp:posOffset>1143000</wp:posOffset>
                </wp:positionH>
                <wp:positionV relativeFrom="paragraph">
                  <wp:posOffset>454025</wp:posOffset>
                </wp:positionV>
                <wp:extent cx="4114800" cy="3268345"/>
                <wp:effectExtent l="6350" t="6350" r="12700" b="20955"/>
                <wp:wrapNone/>
                <wp:docPr id="58" name="Group 1866"/>
                <wp:cNvGraphicFramePr/>
                <a:graphic xmlns:a="http://schemas.openxmlformats.org/drawingml/2006/main">
                  <a:graphicData uri="http://schemas.microsoft.com/office/word/2010/wordprocessingGroup">
                    <wpg:wgp>
                      <wpg:cNvGrpSpPr/>
                      <wpg:grpSpPr>
                        <a:xfrm>
                          <a:off x="0" y="0"/>
                          <a:ext cx="4114800" cy="3268345"/>
                          <a:chOff x="0" y="0"/>
                          <a:chExt cx="6480" cy="4132"/>
                        </a:xfrm>
                      </wpg:grpSpPr>
                      <wps:wsp>
                        <wps:cNvPr id="27" name="Line 1338"/>
                        <wps:cNvSpPr/>
                        <wps:spPr>
                          <a:xfrm>
                            <a:off x="1260" y="2496"/>
                            <a:ext cx="540" cy="0"/>
                          </a:xfrm>
                          <a:prstGeom prst="line">
                            <a:avLst/>
                          </a:prstGeom>
                          <a:ln w="12700" cap="flat" cmpd="sng">
                            <a:solidFill>
                              <a:srgbClr val="000000"/>
                            </a:solidFill>
                            <a:prstDash val="solid"/>
                            <a:headEnd type="none" w="med" len="med"/>
                            <a:tailEnd type="triangle" w="med" len="med"/>
                          </a:ln>
                        </wps:spPr>
                        <wps:bodyPr upright="1"/>
                      </wps:wsp>
                      <wps:wsp>
                        <wps:cNvPr id="28" name="Line 1340"/>
                        <wps:cNvSpPr/>
                        <wps:spPr>
                          <a:xfrm>
                            <a:off x="2520" y="468"/>
                            <a:ext cx="0" cy="312"/>
                          </a:xfrm>
                          <a:prstGeom prst="line">
                            <a:avLst/>
                          </a:prstGeom>
                          <a:ln w="12700" cap="flat" cmpd="sng">
                            <a:solidFill>
                              <a:srgbClr val="000000"/>
                            </a:solidFill>
                            <a:prstDash val="solid"/>
                            <a:headEnd type="none" w="med" len="med"/>
                            <a:tailEnd type="triangle" w="med" len="med"/>
                          </a:ln>
                        </wps:spPr>
                        <wps:bodyPr upright="1"/>
                      </wps:wsp>
                      <wps:wsp>
                        <wps:cNvPr id="29" name="Rectangle 1341"/>
                        <wps:cNvSpPr/>
                        <wps:spPr>
                          <a:xfrm>
                            <a:off x="180" y="936"/>
                            <a:ext cx="90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循环水</w:t>
                              </w:r>
                            </w:p>
                          </w:txbxContent>
                        </wps:txbx>
                        <wps:bodyPr wrap="square" upright="1"/>
                      </wps:wsp>
                      <wps:wsp>
                        <wps:cNvPr id="30" name="Rectangle 1342"/>
                        <wps:cNvSpPr/>
                        <wps:spPr>
                          <a:xfrm>
                            <a:off x="180" y="156"/>
                            <a:ext cx="108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Cs w:val="21"/>
                                </w:rPr>
                              </w:pPr>
                              <w:r>
                                <w:rPr>
                                  <w:rFonts w:hint="eastAsia"/>
                                  <w:szCs w:val="21"/>
                                </w:rPr>
                                <w:t>原矿</w:t>
                              </w:r>
                            </w:p>
                          </w:txbxContent>
                        </wps:txbx>
                        <wps:bodyPr wrap="square" upright="1"/>
                      </wps:wsp>
                      <wps:wsp>
                        <wps:cNvPr id="31" name="Line 1347"/>
                        <wps:cNvSpPr/>
                        <wps:spPr>
                          <a:xfrm>
                            <a:off x="2520" y="1248"/>
                            <a:ext cx="1" cy="259"/>
                          </a:xfrm>
                          <a:prstGeom prst="line">
                            <a:avLst/>
                          </a:prstGeom>
                          <a:ln w="12700" cap="flat" cmpd="sng">
                            <a:solidFill>
                              <a:srgbClr val="000000"/>
                            </a:solidFill>
                            <a:prstDash val="solid"/>
                            <a:headEnd type="none" w="med" len="med"/>
                            <a:tailEnd type="triangle" w="med" len="med"/>
                          </a:ln>
                        </wps:spPr>
                        <wps:bodyPr upright="1"/>
                      </wps:wsp>
                      <wps:wsp>
                        <wps:cNvPr id="32" name="Line 1348"/>
                        <wps:cNvSpPr/>
                        <wps:spPr>
                          <a:xfrm>
                            <a:off x="2520" y="2028"/>
                            <a:ext cx="1" cy="259"/>
                          </a:xfrm>
                          <a:prstGeom prst="line">
                            <a:avLst/>
                          </a:prstGeom>
                          <a:ln w="12700" cap="flat" cmpd="sng">
                            <a:solidFill>
                              <a:srgbClr val="000000"/>
                            </a:solidFill>
                            <a:prstDash val="solid"/>
                            <a:headEnd type="none" w="med" len="med"/>
                            <a:tailEnd type="triangle" w="med" len="med"/>
                          </a:ln>
                        </wps:spPr>
                        <wps:bodyPr upright="1"/>
                      </wps:wsp>
                      <wps:wsp>
                        <wps:cNvPr id="33" name="Line 1349"/>
                        <wps:cNvSpPr/>
                        <wps:spPr>
                          <a:xfrm>
                            <a:off x="1080" y="1092"/>
                            <a:ext cx="720" cy="0"/>
                          </a:xfrm>
                          <a:prstGeom prst="line">
                            <a:avLst/>
                          </a:prstGeom>
                          <a:ln w="12700" cap="flat" cmpd="sng">
                            <a:solidFill>
                              <a:srgbClr val="000000"/>
                            </a:solidFill>
                            <a:prstDash val="solid"/>
                            <a:headEnd type="none" w="med" len="med"/>
                            <a:tailEnd type="triangle" w="med" len="med"/>
                          </a:ln>
                        </wps:spPr>
                        <wps:bodyPr upright="1"/>
                      </wps:wsp>
                      <wps:wsp>
                        <wps:cNvPr id="34" name="Line 1350"/>
                        <wps:cNvSpPr/>
                        <wps:spPr>
                          <a:xfrm>
                            <a:off x="2520" y="3120"/>
                            <a:ext cx="0" cy="312"/>
                          </a:xfrm>
                          <a:prstGeom prst="line">
                            <a:avLst/>
                          </a:prstGeom>
                          <a:ln w="12700" cap="flat" cmpd="sng">
                            <a:solidFill>
                              <a:srgbClr val="000000"/>
                            </a:solidFill>
                            <a:prstDash val="solid"/>
                            <a:headEnd type="none" w="med" len="med"/>
                            <a:tailEnd type="triangle" w="med" len="med"/>
                          </a:ln>
                        </wps:spPr>
                        <wps:bodyPr upright="1"/>
                      </wps:wsp>
                      <wps:wsp>
                        <wps:cNvPr id="35" name="Line 1351"/>
                        <wps:cNvSpPr/>
                        <wps:spPr>
                          <a:xfrm flipV="1">
                            <a:off x="1080" y="312"/>
                            <a:ext cx="720" cy="0"/>
                          </a:xfrm>
                          <a:prstGeom prst="line">
                            <a:avLst/>
                          </a:prstGeom>
                          <a:ln w="12700" cap="flat" cmpd="sng">
                            <a:solidFill>
                              <a:srgbClr val="000000"/>
                            </a:solidFill>
                            <a:prstDash val="solid"/>
                            <a:headEnd type="none" w="med" len="med"/>
                            <a:tailEnd type="triangle" w="med" len="med"/>
                          </a:ln>
                        </wps:spPr>
                        <wps:bodyPr upright="1"/>
                      </wps:wsp>
                      <wps:wsp>
                        <wps:cNvPr id="36" name="Rectangle 1352"/>
                        <wps:cNvSpPr/>
                        <wps:spPr>
                          <a:xfrm>
                            <a:off x="0" y="2184"/>
                            <a:ext cx="126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循环水</w:t>
                              </w:r>
                            </w:p>
                          </w:txbxContent>
                        </wps:txbx>
                        <wps:bodyPr wrap="square" upright="1"/>
                      </wps:wsp>
                      <wps:wsp>
                        <wps:cNvPr id="37" name="AutoShape 1407"/>
                        <wps:cNvSpPr/>
                        <wps:spPr>
                          <a:xfrm>
                            <a:off x="1800" y="0"/>
                            <a:ext cx="1440" cy="38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szCs w:val="21"/>
                                </w:rPr>
                              </w:pPr>
                              <w:r>
                                <w:rPr>
                                  <w:color w:val="000000"/>
                                  <w:szCs w:val="21"/>
                                </w:rPr>
                                <w:t>颚式</w:t>
                              </w:r>
                              <w:r>
                                <w:rPr>
                                  <w:rFonts w:hint="eastAsia"/>
                                  <w:szCs w:val="21"/>
                                </w:rPr>
                                <w:t>破碎机</w:t>
                              </w:r>
                            </w:p>
                            <w:p/>
                          </w:txbxContent>
                        </wps:txbx>
                        <wps:bodyPr wrap="square" upright="1"/>
                      </wps:wsp>
                      <wps:wsp>
                        <wps:cNvPr id="38" name="AutoShape 1409"/>
                        <wps:cNvSpPr/>
                        <wps:spPr>
                          <a:xfrm>
                            <a:off x="3420" y="2260"/>
                            <a:ext cx="1440" cy="776"/>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pacing w:before="240" w:beforeLines="100"/>
                                <w:rPr>
                                  <w:rFonts w:hint="eastAsia"/>
                                </w:rPr>
                              </w:pPr>
                              <w:r>
                                <w:rPr>
                                  <w:rFonts w:hint="eastAsia"/>
                                </w:rPr>
                                <w:t>陶瓷过滤机</w:t>
                              </w:r>
                            </w:p>
                          </w:txbxContent>
                        </wps:txbx>
                        <wps:bodyPr wrap="square" upright="1"/>
                      </wps:wsp>
                      <wps:wsp>
                        <wps:cNvPr id="39" name="AutoShape 1410"/>
                        <wps:cNvSpPr/>
                        <wps:spPr>
                          <a:xfrm>
                            <a:off x="1800" y="2340"/>
                            <a:ext cx="1440" cy="780"/>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spacing w:before="120" w:beforeLines="50" w:line="360" w:lineRule="auto"/>
                                <w:jc w:val="center"/>
                                <w:rPr>
                                  <w:rFonts w:hint="eastAsia"/>
                                </w:rPr>
                              </w:pPr>
                              <w:r>
                                <w:rPr>
                                  <w:rFonts w:hint="eastAsia"/>
                                </w:rPr>
                                <w:t>浮选机</w:t>
                              </w:r>
                            </w:p>
                          </w:txbxContent>
                        </wps:txbx>
                        <wps:bodyPr wrap="square" upright="1"/>
                      </wps:wsp>
                      <wps:wsp>
                        <wps:cNvPr id="40" name="AutoShape 1411"/>
                        <wps:cNvSpPr/>
                        <wps:spPr>
                          <a:xfrm>
                            <a:off x="1800" y="1560"/>
                            <a:ext cx="1440" cy="38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rPr>
                              </w:pPr>
                              <w:r>
                                <w:rPr>
                                  <w:rFonts w:hint="eastAsia"/>
                                </w:rPr>
                                <w:t>螺旋分级机</w:t>
                              </w:r>
                            </w:p>
                          </w:txbxContent>
                        </wps:txbx>
                        <wps:bodyPr wrap="square" upright="1"/>
                      </wps:wsp>
                      <wps:wsp>
                        <wps:cNvPr id="41" name="AutoShape 1412"/>
                        <wps:cNvSpPr/>
                        <wps:spPr>
                          <a:xfrm>
                            <a:off x="1800" y="780"/>
                            <a:ext cx="1440" cy="388"/>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rPr>
                              </w:pPr>
                              <w:r>
                                <w:rPr>
                                  <w:rFonts w:hint="eastAsia"/>
                                </w:rPr>
                                <w:t>球磨机</w:t>
                              </w:r>
                            </w:p>
                          </w:txbxContent>
                        </wps:txbx>
                        <wps:bodyPr wrap="square" upright="1"/>
                      </wps:wsp>
                      <wps:wsp>
                        <wps:cNvPr id="42" name="Line 1416"/>
                        <wps:cNvSpPr/>
                        <wps:spPr>
                          <a:xfrm>
                            <a:off x="3240" y="3588"/>
                            <a:ext cx="540" cy="0"/>
                          </a:xfrm>
                          <a:prstGeom prst="line">
                            <a:avLst/>
                          </a:prstGeom>
                          <a:ln w="12700" cap="flat" cmpd="sng">
                            <a:solidFill>
                              <a:srgbClr val="000000"/>
                            </a:solidFill>
                            <a:prstDash val="solid"/>
                            <a:headEnd type="none" w="med" len="med"/>
                            <a:tailEnd type="triangle" w="med" len="med"/>
                          </a:ln>
                        </wps:spPr>
                        <wps:bodyPr upright="1"/>
                      </wps:wsp>
                      <wps:wsp>
                        <wps:cNvPr id="43" name="Line 1417"/>
                        <wps:cNvSpPr/>
                        <wps:spPr>
                          <a:xfrm>
                            <a:off x="1260" y="2808"/>
                            <a:ext cx="540" cy="0"/>
                          </a:xfrm>
                          <a:prstGeom prst="line">
                            <a:avLst/>
                          </a:prstGeom>
                          <a:ln w="12700" cap="flat" cmpd="sng">
                            <a:solidFill>
                              <a:srgbClr val="000000"/>
                            </a:solidFill>
                            <a:prstDash val="solid"/>
                            <a:headEnd type="none" w="med" len="med"/>
                            <a:tailEnd type="triangle" w="med" len="med"/>
                          </a:ln>
                        </wps:spPr>
                        <wps:bodyPr upright="1"/>
                      </wps:wsp>
                      <wps:wsp>
                        <wps:cNvPr id="44" name="Line 1418"/>
                        <wps:cNvSpPr/>
                        <wps:spPr>
                          <a:xfrm>
                            <a:off x="4860" y="2416"/>
                            <a:ext cx="360" cy="0"/>
                          </a:xfrm>
                          <a:prstGeom prst="line">
                            <a:avLst/>
                          </a:prstGeom>
                          <a:ln w="12700" cap="flat" cmpd="sng">
                            <a:solidFill>
                              <a:srgbClr val="000000"/>
                            </a:solidFill>
                            <a:prstDash val="solid"/>
                            <a:headEnd type="none" w="med" len="med"/>
                            <a:tailEnd type="triangle" w="med" len="med"/>
                          </a:ln>
                        </wps:spPr>
                        <wps:bodyPr upright="1"/>
                      </wps:wsp>
                      <wps:wsp>
                        <wps:cNvPr id="45" name="Rectangle 1419"/>
                        <wps:cNvSpPr/>
                        <wps:spPr>
                          <a:xfrm>
                            <a:off x="0" y="2652"/>
                            <a:ext cx="126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选矿辅助剂</w:t>
                              </w:r>
                            </w:p>
                          </w:txbxContent>
                        </wps:txbx>
                        <wps:bodyPr wrap="square" upright="1"/>
                      </wps:wsp>
                      <wps:wsp>
                        <wps:cNvPr id="46" name="Rectangle 1420"/>
                        <wps:cNvSpPr/>
                        <wps:spPr>
                          <a:xfrm>
                            <a:off x="5220" y="3040"/>
                            <a:ext cx="1260" cy="624"/>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ZnO精矿</w:t>
                              </w:r>
                            </w:p>
                          </w:txbxContent>
                        </wps:txbx>
                        <wps:bodyPr wrap="square" upright="1"/>
                      </wps:wsp>
                      <wps:wsp>
                        <wps:cNvPr id="47" name="Rectangle 1421"/>
                        <wps:cNvSpPr/>
                        <wps:spPr>
                          <a:xfrm>
                            <a:off x="3780" y="3432"/>
                            <a:ext cx="126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选矿废水</w:t>
                              </w:r>
                            </w:p>
                          </w:txbxContent>
                        </wps:txbx>
                        <wps:bodyPr wrap="square" upright="1"/>
                      </wps:wsp>
                      <wps:wsp>
                        <wps:cNvPr id="48" name="Rectangle 1422"/>
                        <wps:cNvSpPr/>
                        <wps:spPr>
                          <a:xfrm>
                            <a:off x="3780" y="3744"/>
                            <a:ext cx="1260" cy="38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选矿尾砂</w:t>
                              </w:r>
                            </w:p>
                          </w:txbxContent>
                        </wps:txbx>
                        <wps:bodyPr wrap="square" upright="1"/>
                      </wps:wsp>
                      <wps:wsp>
                        <wps:cNvPr id="49" name="Rectangle 1423"/>
                        <wps:cNvSpPr/>
                        <wps:spPr>
                          <a:xfrm>
                            <a:off x="5220" y="2260"/>
                            <a:ext cx="126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sz w:val="18"/>
                                  <w:szCs w:val="18"/>
                                </w:rPr>
                                <w:t>P</w:t>
                              </w:r>
                              <w:r>
                                <w:rPr>
                                  <w:rFonts w:hint="eastAsia"/>
                                  <w:sz w:val="18"/>
                                  <w:szCs w:val="18"/>
                                </w:rPr>
                                <w:t>b精矿</w:t>
                              </w:r>
                            </w:p>
                          </w:txbxContent>
                        </wps:txbx>
                        <wps:bodyPr wrap="square" upright="1"/>
                      </wps:wsp>
                      <wps:wsp>
                        <wps:cNvPr id="50" name="Rectangle 1424"/>
                        <wps:cNvSpPr/>
                        <wps:spPr>
                          <a:xfrm>
                            <a:off x="5220" y="2572"/>
                            <a:ext cx="1260" cy="38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ZnS精矿</w:t>
                              </w:r>
                            </w:p>
                          </w:txbxContent>
                        </wps:txbx>
                        <wps:bodyPr wrap="square" upright="1"/>
                      </wps:wsp>
                      <wps:wsp>
                        <wps:cNvPr id="51" name="Line 1425"/>
                        <wps:cNvSpPr/>
                        <wps:spPr>
                          <a:xfrm>
                            <a:off x="4860" y="3040"/>
                            <a:ext cx="360" cy="0"/>
                          </a:xfrm>
                          <a:prstGeom prst="line">
                            <a:avLst/>
                          </a:prstGeom>
                          <a:ln w="12700" cap="flat" cmpd="sng">
                            <a:solidFill>
                              <a:srgbClr val="000000"/>
                            </a:solidFill>
                            <a:prstDash val="solid"/>
                            <a:headEnd type="none" w="med" len="med"/>
                            <a:tailEnd type="triangle" w="med" len="med"/>
                          </a:ln>
                        </wps:spPr>
                        <wps:bodyPr upright="1"/>
                      </wps:wsp>
                      <wps:wsp>
                        <wps:cNvPr id="52" name="Line 1426"/>
                        <wps:cNvSpPr/>
                        <wps:spPr>
                          <a:xfrm>
                            <a:off x="3240" y="3976"/>
                            <a:ext cx="540" cy="0"/>
                          </a:xfrm>
                          <a:prstGeom prst="line">
                            <a:avLst/>
                          </a:prstGeom>
                          <a:ln w="12700" cap="flat" cmpd="sng">
                            <a:solidFill>
                              <a:srgbClr val="000000"/>
                            </a:solidFill>
                            <a:prstDash val="solid"/>
                            <a:headEnd type="none" w="med" len="med"/>
                            <a:tailEnd type="triangle" w="med" len="med"/>
                          </a:ln>
                        </wps:spPr>
                        <wps:bodyPr upright="1"/>
                      </wps:wsp>
                      <wps:wsp>
                        <wps:cNvPr id="53" name="Line 1427"/>
                        <wps:cNvSpPr/>
                        <wps:spPr>
                          <a:xfrm>
                            <a:off x="4860" y="2728"/>
                            <a:ext cx="360" cy="0"/>
                          </a:xfrm>
                          <a:prstGeom prst="line">
                            <a:avLst/>
                          </a:prstGeom>
                          <a:ln w="12700" cap="flat" cmpd="sng">
                            <a:solidFill>
                              <a:srgbClr val="000000"/>
                            </a:solidFill>
                            <a:prstDash val="solid"/>
                            <a:headEnd type="none" w="med" len="med"/>
                            <a:tailEnd type="triangle" w="med" len="med"/>
                          </a:ln>
                        </wps:spPr>
                        <wps:bodyPr upright="1"/>
                      </wps:wsp>
                      <wps:wsp>
                        <wps:cNvPr id="54" name="Rectangle 1428"/>
                        <wps:cNvSpPr/>
                        <wps:spPr>
                          <a:xfrm>
                            <a:off x="3780" y="936"/>
                            <a:ext cx="1080" cy="46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jc w:val="center"/>
                                <w:rPr>
                                  <w:rFonts w:hint="eastAsia"/>
                                  <w:sz w:val="18"/>
                                  <w:szCs w:val="18"/>
                                </w:rPr>
                              </w:pPr>
                              <w:r>
                                <w:rPr>
                                  <w:rFonts w:hint="eastAsia"/>
                                  <w:sz w:val="18"/>
                                  <w:szCs w:val="18"/>
                                </w:rPr>
                                <w:t>废水</w:t>
                              </w:r>
                            </w:p>
                          </w:txbxContent>
                        </wps:txbx>
                        <wps:bodyPr wrap="square" upright="1"/>
                      </wps:wsp>
                      <wps:wsp>
                        <wps:cNvPr id="55" name="Line 1429"/>
                        <wps:cNvSpPr/>
                        <wps:spPr>
                          <a:xfrm>
                            <a:off x="3240" y="1092"/>
                            <a:ext cx="720" cy="0"/>
                          </a:xfrm>
                          <a:prstGeom prst="line">
                            <a:avLst/>
                          </a:prstGeom>
                          <a:ln w="12700" cap="flat" cmpd="sng">
                            <a:solidFill>
                              <a:srgbClr val="000000"/>
                            </a:solidFill>
                            <a:prstDash val="solid"/>
                            <a:headEnd type="none" w="med" len="med"/>
                            <a:tailEnd type="triangle" w="med" len="med"/>
                          </a:ln>
                        </wps:spPr>
                        <wps:bodyPr upright="1"/>
                      </wps:wsp>
                      <wps:wsp>
                        <wps:cNvPr id="56" name="Line 1864"/>
                        <wps:cNvSpPr/>
                        <wps:spPr>
                          <a:xfrm>
                            <a:off x="3240" y="2728"/>
                            <a:ext cx="180" cy="0"/>
                          </a:xfrm>
                          <a:prstGeom prst="line">
                            <a:avLst/>
                          </a:prstGeom>
                          <a:ln w="12700" cap="flat" cmpd="sng">
                            <a:solidFill>
                              <a:srgbClr val="000000"/>
                            </a:solidFill>
                            <a:prstDash val="solid"/>
                            <a:headEnd type="none" w="med" len="med"/>
                            <a:tailEnd type="triangle" w="med" len="med"/>
                          </a:ln>
                        </wps:spPr>
                        <wps:bodyPr upright="1"/>
                      </wps:wsp>
                      <wps:wsp>
                        <wps:cNvPr id="57" name="AutoShape 1865"/>
                        <wps:cNvSpPr/>
                        <wps:spPr>
                          <a:xfrm>
                            <a:off x="1800" y="3508"/>
                            <a:ext cx="1440" cy="517"/>
                          </a:xfrm>
                          <a:prstGeom prst="flowChartAlternateProcess">
                            <a:avLst/>
                          </a:prstGeom>
                          <a:solidFill>
                            <a:srgbClr val="FFFFFF"/>
                          </a:solidFill>
                          <a:ln w="12700" cap="flat" cmpd="sng">
                            <a:solidFill>
                              <a:srgbClr val="000000"/>
                            </a:solidFill>
                            <a:prstDash val="solid"/>
                            <a:miter/>
                            <a:headEnd type="none" w="med" len="med"/>
                            <a:tailEnd type="none" w="med" len="med"/>
                          </a:ln>
                        </wps:spPr>
                        <wps:txbx>
                          <w:txbxContent>
                            <w:p>
                              <w:pPr>
                                <w:rPr>
                                  <w:rFonts w:hint="eastAsia"/>
                                </w:rPr>
                              </w:pPr>
                              <w:r>
                                <w:rPr>
                                  <w:rFonts w:hint="eastAsia"/>
                                </w:rPr>
                                <w:t>尾砂过滤机</w:t>
                              </w:r>
                            </w:p>
                          </w:txbxContent>
                        </wps:txbx>
                        <wps:bodyPr wrap="square" upright="1"/>
                      </wps:wsp>
                    </wpg:wgp>
                  </a:graphicData>
                </a:graphic>
              </wp:anchor>
            </w:drawing>
          </mc:Choice>
          <mc:Fallback>
            <w:pict>
              <v:group id="Group 1866" o:spid="_x0000_s1026" o:spt="203" style="position:absolute;left:0pt;margin-left:90pt;margin-top:35.75pt;height:257.35pt;width:324pt;z-index:251668480;mso-width-relative:page;mso-height-relative:page;" coordsize="6480,4132" o:gfxdata="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">
                <o:lock v:ext="edit" grouping="f" rotation="f" text="f" aspectratio="f"/>
                <v:line id="Line 1338" o:spid="_x0000_s1026" o:spt="20" style="position:absolute;left:1260;top:2496;height:0;width:540;" filled="f" stroked="t" coordsize="21600,21600" o:gfxdata="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kfqU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1340" o:spid="_x0000_s1026" o:spt="20" style="position:absolute;left:2520;top:468;height:312;width:0;" filled="f" stroked="t" coordsize="21600,21600" o:gfxdata="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2H4i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Rectangle 1341" o:spid="_x0000_s1026" o:spt="1" style="position:absolute;left:180;top:936;height:468;width:900;" fillcolor="#FFFFFF" filled="t" stroked="t" coordsize="21600,21600" o:gfxdata="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hXhf68AAAA&#10;2w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循环水</w:t>
                        </w:r>
                      </w:p>
                    </w:txbxContent>
                  </v:textbox>
                </v:rect>
                <v:rect id="Rectangle 1342" o:spid="_x0000_s1026" o:spt="1" style="position:absolute;left:180;top:156;height:468;width:1080;" fillcolor="#FFFFFF" filled="t" stroked="t" coordsize="21600,21600" o:gfxdata="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MtLq+ugAAANsA&#10;AAAPAAAAAAAAAAEAIAAAACIAAABkcnMvZG93bnJldi54bWxQSwECFAAUAAAACACHTuJAMy8FnjsA&#10;AAA5AAAAEAAAAAAAAAABACAAAAAJAQAAZHJzL3NoYXBleG1sLnhtbFBLBQYAAAAABgAGAFsBAACz&#10;AwAAAAA=&#10;">
                  <v:fill on="t" focussize="0,0"/>
                  <v:stroke weight="1pt" color="#FFFFFF" joinstyle="miter"/>
                  <v:imagedata o:title=""/>
                  <o:lock v:ext="edit" aspectratio="f"/>
                  <v:textbox>
                    <w:txbxContent>
                      <w:p>
                        <w:pPr>
                          <w:jc w:val="center"/>
                          <w:rPr>
                            <w:rFonts w:hint="eastAsia"/>
                            <w:szCs w:val="21"/>
                          </w:rPr>
                        </w:pPr>
                        <w:r>
                          <w:rPr>
                            <w:rFonts w:hint="eastAsia"/>
                            <w:szCs w:val="21"/>
                          </w:rPr>
                          <w:t>原矿</w:t>
                        </w:r>
                      </w:p>
                    </w:txbxContent>
                  </v:textbox>
                </v:rect>
                <v:line id="Line 1347" o:spid="_x0000_s1026" o:spt="20" style="position:absolute;left:2520;top:1248;height:259;width:1;" filled="f" stroked="t" coordsize="21600,21600" o:gfxdata="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O0Fi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348" o:spid="_x0000_s1026" o:spt="20" style="position:absolute;left:2520;top:2028;height:259;width:1;" filled="f" stroked="t" coordsize="21600,21600" o:gfxdata="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6d8V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349" o:spid="_x0000_s1026" o:spt="20" style="position:absolute;left:1080;top:1092;height:0;width:720;" filled="f" stroked="t" coordsize="21600,21600" o:gfxdata="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ApXqO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350" o:spid="_x0000_s1026" o:spt="20" style="position:absolute;left:2520;top:3120;height:312;width:0;" filled="f" stroked="t" coordsize="21600,21600" o:gfxdata="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TOL6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351" o:spid="_x0000_s1026" o:spt="20" style="position:absolute;left:1080;top:312;flip:y;height:0;width:720;" filled="f" stroked="t" coordsize="21600,21600" o:gfxdata="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na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Rectangle 1352" o:spid="_x0000_s1026" o:spt="1" style="position:absolute;left:0;top:2184;height:468;width:1260;" fillcolor="#FFFFFF" filled="t" stroked="t" coordsize="21600,21600" o:gfxdata="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Rh1G8AAAA&#10;2w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循环水</w:t>
                        </w:r>
                      </w:p>
                    </w:txbxContent>
                  </v:textbox>
                </v:rect>
                <v:shape id="AutoShape 1407" o:spid="_x0000_s1026" o:spt="176" type="#_x0000_t176" style="position:absolute;left:1800;top:0;height:388;width:1440;" fillcolor="#FFFFFF" filled="t" stroked="t" coordsize="21600,21600" o:gfxdata="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wYUwP&#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pPr>
                          <w:jc w:val="center"/>
                          <w:rPr>
                            <w:rFonts w:hint="eastAsia"/>
                            <w:szCs w:val="21"/>
                          </w:rPr>
                        </w:pPr>
                        <w:r>
                          <w:rPr>
                            <w:color w:val="000000"/>
                            <w:szCs w:val="21"/>
                          </w:rPr>
                          <w:t>颚式</w:t>
                        </w:r>
                        <w:r>
                          <w:rPr>
                            <w:rFonts w:hint="eastAsia"/>
                            <w:szCs w:val="21"/>
                          </w:rPr>
                          <w:t>破碎机</w:t>
                        </w:r>
                      </w:p>
                      <w:p/>
                    </w:txbxContent>
                  </v:textbox>
                </v:shape>
                <v:shape id="AutoShape 1409" o:spid="_x0000_s1026" o:spt="176" type="#_x0000_t176" style="position:absolute;left:3420;top:2260;height:776;width:1440;" fillcolor="#FFFFFF" filled="t" stroked="t" coordsize="21600,21600" o:gfxdata="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H+2H2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spacing w:before="240" w:beforeLines="100"/>
                          <w:rPr>
                            <w:rFonts w:hint="eastAsia"/>
                          </w:rPr>
                        </w:pPr>
                        <w:r>
                          <w:rPr>
                            <w:rFonts w:hint="eastAsia"/>
                          </w:rPr>
                          <w:t>陶瓷过滤机</w:t>
                        </w:r>
                      </w:p>
                    </w:txbxContent>
                  </v:textbox>
                </v:shape>
                <v:shape id="AutoShape 1410" o:spid="_x0000_s1026" o:spt="176" type="#_x0000_t176" style="position:absolute;left:1800;top:2340;height:780;width:1440;" fillcolor="#FFFFFF" filled="t" stroked="t" coordsize="21600,21600" o:gfxdata="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usn3m&#10;wAAAANsAAAAPAAAAAAAAAAEAIAAAACIAAABkcnMvZG93bnJldi54bWxQSwECFAAUAAAACACHTuJA&#10;My8FnjsAAAA5AAAAEAAAAAAAAAABACAAAAAPAQAAZHJzL3NoYXBleG1sLnhtbFBLBQYAAAAABgAG&#10;AFsBAAC5AwAAAAA=&#10;">
                  <v:fill on="t" focussize="0,0"/>
                  <v:stroke weight="1pt" color="#000000" joinstyle="miter"/>
                  <v:imagedata o:title=""/>
                  <o:lock v:ext="edit" aspectratio="f"/>
                  <v:textbox>
                    <w:txbxContent>
                      <w:p>
                        <w:pPr>
                          <w:spacing w:before="120" w:beforeLines="50" w:line="360" w:lineRule="auto"/>
                          <w:jc w:val="center"/>
                          <w:rPr>
                            <w:rFonts w:hint="eastAsia"/>
                          </w:rPr>
                        </w:pPr>
                        <w:r>
                          <w:rPr>
                            <w:rFonts w:hint="eastAsia"/>
                          </w:rPr>
                          <w:t>浮选机</w:t>
                        </w:r>
                      </w:p>
                    </w:txbxContent>
                  </v:textbox>
                </v:shape>
                <v:shape id="AutoShape 1411" o:spid="_x0000_s1026" o:spt="176" type="#_x0000_t176" style="position:absolute;left:1800;top:1560;height:388;width:1440;" fillcolor="#FFFFFF" filled="t" stroked="t" coordsize="21600,21600" o:gfxdata="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Opwa8AAAA&#10;2wAAAA8AAAAAAAAAAQAgAAAAIgAAAGRycy9kb3ducmV2LnhtbFBLAQIUABQAAAAIAIdO4kAzLwWe&#10;OwAAADkAAAAQAAAAAAAAAAEAIAAAAAsBAABkcnMvc2hhcGV4bWwueG1sUEsFBgAAAAAGAAYAWwEA&#10;ALUDAAAAAA==&#10;">
                  <v:fill on="t" focussize="0,0"/>
                  <v:stroke weight="1pt" color="#000000" joinstyle="miter"/>
                  <v:imagedata o:title=""/>
                  <o:lock v:ext="edit" aspectratio="f"/>
                  <v:textbox>
                    <w:txbxContent>
                      <w:p>
                        <w:pPr>
                          <w:rPr>
                            <w:rFonts w:hint="eastAsia"/>
                          </w:rPr>
                        </w:pPr>
                        <w:r>
                          <w:rPr>
                            <w:rFonts w:hint="eastAsia"/>
                          </w:rPr>
                          <w:t>螺旋分级机</w:t>
                        </w:r>
                      </w:p>
                    </w:txbxContent>
                  </v:textbox>
                </v:shape>
                <v:shape id="AutoShape 1412" o:spid="_x0000_s1026" o:spt="176" type="#_x0000_t176" style="position:absolute;left:1800;top:780;height:388;width:1440;" fillcolor="#FFFFFF" filled="t" stroked="t" coordsize="21600,21600" o:gfxdata="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jCAp2/&#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jc w:val="center"/>
                          <w:rPr>
                            <w:rFonts w:hint="eastAsia"/>
                          </w:rPr>
                        </w:pPr>
                        <w:r>
                          <w:rPr>
                            <w:rFonts w:hint="eastAsia"/>
                          </w:rPr>
                          <w:t>球磨机</w:t>
                        </w:r>
                      </w:p>
                    </w:txbxContent>
                  </v:textbox>
                </v:shape>
                <v:line id="Line 1416" o:spid="_x0000_s1026" o:spt="20" style="position:absolute;left:3240;top:3588;height:0;width:540;" filled="f" stroked="t" coordsize="21600,21600" o:gfxdata="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saL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1417" o:spid="_x0000_s1026" o:spt="20" style="position:absolute;left:1260;top:2808;height:0;width:540;" filled="f" stroked="t" coordsize="21600,21600" o:gfxdata="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ownz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418" o:spid="_x0000_s1026" o:spt="20" style="position:absolute;left:4860;top:2416;height:0;width:360;" filled="f" stroked="t" coordsize="21600,21600" o:gfxdata="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0qRh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Rectangle 1419" o:spid="_x0000_s1026" o:spt="1" style="position:absolute;left:0;top:2652;height:468;width:1260;" fillcolor="#FFFFFF" filled="t" stroked="t" coordsize="21600,21600" o:gfxdata="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xWpbvQAA&#10;ANs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选矿辅助剂</w:t>
                        </w:r>
                      </w:p>
                    </w:txbxContent>
                  </v:textbox>
                </v:rect>
                <v:rect id="Rectangle 1420" o:spid="_x0000_s1026" o:spt="1" style="position:absolute;left:5220;top:3040;height:624;width:1260;" fillcolor="#FFFFFF" filled="t" stroked="t" coordsize="21600,21600" o:gfxdata="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X9Cy8AAAA&#10;2w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ZnO精矿</w:t>
                        </w:r>
                      </w:p>
                    </w:txbxContent>
                  </v:textbox>
                </v:rect>
                <v:rect id="Rectangle 1421" o:spid="_x0000_s1026" o:spt="1" style="position:absolute;left:3780;top:3432;height:468;width:1260;" fillcolor="#FFFFFF" filled="t" stroked="t" coordsize="21600,21600" o:gfxdata="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bW1G3vQAA&#10;ANs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选矿废水</w:t>
                        </w:r>
                      </w:p>
                    </w:txbxContent>
                  </v:textbox>
                </v:rect>
                <v:rect id="Rectangle 1422" o:spid="_x0000_s1026" o:spt="1" style="position:absolute;left:3780;top:3744;height:388;width:1260;" fillcolor="#FFFFFF" filled="t" stroked="t" coordsize="21600,21600" o:gfxdata="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xMXFugAAANsA&#10;AAAPAAAAAAAAAAEAIAAAACIAAABkcnMvZG93bnJldi54bWxQSwECFAAUAAAACACHTuJAMy8FnjsA&#10;AAA5AAAAEAAAAAAAAAABACAAAAAJAQAAZHJzL3NoYXBleG1sLnhtbFBLBQYAAAAABgAGAFsBAACz&#10;Aw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选矿尾砂</w:t>
                        </w:r>
                      </w:p>
                    </w:txbxContent>
                  </v:textbox>
                </v:rect>
                <v:rect id="Rectangle 1423" o:spid="_x0000_s1026" o:spt="1" style="position:absolute;left:5220;top:2260;height:468;width:1260;" fillcolor="#FFFFFF" filled="t" stroked="t" coordsize="21600,21600" o:gfxdata="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IYF68AAAA&#10;2wAAAA8AAAAAAAAAAQAgAAAAIgAAAGRycy9kb3ducmV2LnhtbFBLAQIUABQAAAAIAIdO4kAzLwWe&#10;OwAAADkAAAAQAAAAAAAAAAEAIAAAAAsBAABkcnMvc2hhcGV4bWwueG1sUEsFBgAAAAAGAAYAWwEA&#10;ALUDAAAAAA==&#10;">
                  <v:fill on="t" focussize="0,0"/>
                  <v:stroke weight="1pt" color="#FFFFFF" joinstyle="miter"/>
                  <v:imagedata o:title=""/>
                  <o:lock v:ext="edit" aspectratio="f"/>
                  <v:textbox>
                    <w:txbxContent>
                      <w:p>
                        <w:pPr>
                          <w:jc w:val="center"/>
                          <w:rPr>
                            <w:rFonts w:hint="eastAsia"/>
                            <w:sz w:val="18"/>
                            <w:szCs w:val="18"/>
                          </w:rPr>
                        </w:pPr>
                        <w:r>
                          <w:rPr>
                            <w:sz w:val="18"/>
                            <w:szCs w:val="18"/>
                          </w:rPr>
                          <w:t>P</w:t>
                        </w:r>
                        <w:r>
                          <w:rPr>
                            <w:rFonts w:hint="eastAsia"/>
                            <w:sz w:val="18"/>
                            <w:szCs w:val="18"/>
                          </w:rPr>
                          <w:t>b精矿</w:t>
                        </w:r>
                      </w:p>
                    </w:txbxContent>
                  </v:textbox>
                </v:rect>
                <v:rect id="Rectangle 1424" o:spid="_x0000_s1026" o:spt="1" style="position:absolute;left:5220;top:2572;height:388;width:1260;" fillcolor="#FFFFFF" filled="t" stroked="t" coordsize="21600,21600" o:gfxdata="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Ra18eugAAANsA&#10;AAAPAAAAAAAAAAEAIAAAACIAAABkcnMvZG93bnJldi54bWxQSwECFAAUAAAACACHTuJAMy8FnjsA&#10;AAA5AAAAEAAAAAAAAAABACAAAAAJAQAAZHJzL3NoYXBleG1sLnhtbFBLBQYAAAAABgAGAFsBAACz&#10;Aw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ZnS精矿</w:t>
                        </w:r>
                      </w:p>
                    </w:txbxContent>
                  </v:textbox>
                </v:rect>
                <v:line id="Line 1425" o:spid="_x0000_s1026" o:spt="20" style="position:absolute;left:4860;top:3040;height:0;width:360;" filled="f" stroked="t" coordsize="21600,21600" o:gfxdata="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uSkwr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1426" o:spid="_x0000_s1026" o:spt="20" style="position:absolute;left:3240;top:3976;height:0;width:540;" filled="f" stroked="t" coordsize="21600,21600" o:gfxdata="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jY6t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1427" o:spid="_x0000_s1026" o:spt="20" style="position:absolute;left:4860;top:2728;height:0;width:360;" filled="f" stroked="t" coordsize="21600,21600" o:gfxdata="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ep8u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Rectangle 1428" o:spid="_x0000_s1026" o:spt="1" style="position:absolute;left:3780;top:936;height:468;width:1080;" fillcolor="#FFFFFF" filled="t" stroked="t" coordsize="21600,21600" o:gfxdata="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UFkdvQAA&#10;ANsAAAAPAAAAAAAAAAEAIAAAACIAAABkcnMvZG93bnJldi54bWxQSwECFAAUAAAACACHTuJAMy8F&#10;njsAAAA5AAAAEAAAAAAAAAABACAAAAAMAQAAZHJzL3NoYXBleG1sLnhtbFBLBQYAAAAABgAGAFsB&#10;AAC2AwAAAAA=&#10;">
                  <v:fill on="t" focussize="0,0"/>
                  <v:stroke weight="1pt" color="#FFFFFF" joinstyle="miter"/>
                  <v:imagedata o:title=""/>
                  <o:lock v:ext="edit" aspectratio="f"/>
                  <v:textbox>
                    <w:txbxContent>
                      <w:p>
                        <w:pPr>
                          <w:jc w:val="center"/>
                          <w:rPr>
                            <w:rFonts w:hint="eastAsia"/>
                            <w:sz w:val="18"/>
                            <w:szCs w:val="18"/>
                          </w:rPr>
                        </w:pPr>
                        <w:r>
                          <w:rPr>
                            <w:rFonts w:hint="eastAsia"/>
                            <w:sz w:val="18"/>
                            <w:szCs w:val="18"/>
                          </w:rPr>
                          <w:t>废水</w:t>
                        </w:r>
                      </w:p>
                    </w:txbxContent>
                  </v:textbox>
                </v:rect>
                <v:line id="Line 1429" o:spid="_x0000_s1026" o:spt="20" style="position:absolute;left:3240;top:1092;height:0;width:720;" filled="f" stroked="t" coordsize="21600,21600" o:gfxdata="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d+iwb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Line 1864" o:spid="_x0000_s1026" o:spt="20" style="position:absolute;left:3240;top:2728;height:0;width:180;" filled="f" stroked="t" coordsize="21600,21600" o:gfxdata="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DTy2vQAA&#10;ANs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AutoShape 1865" o:spid="_x0000_s1026" o:spt="176" type="#_x0000_t176" style="position:absolute;left:1800;top:3508;height:517;width:1440;" fillcolor="#FFFFFF" filled="t" stroked="t" coordsize="21600,21600" o:gfxdata="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2+qa+/&#10;AAAA2wAAAA8AAAAAAAAAAQAgAAAAIgAAAGRycy9kb3ducmV2LnhtbFBLAQIUABQAAAAIAIdO4kAz&#10;LwWeOwAAADkAAAAQAAAAAAAAAAEAIAAAAA4BAABkcnMvc2hhcGV4bWwueG1sUEsFBgAAAAAGAAYA&#10;WwEAALgDAAAAAA==&#10;">
                  <v:fill on="t" focussize="0,0"/>
                  <v:stroke weight="1pt" color="#000000" joinstyle="miter"/>
                  <v:imagedata o:title=""/>
                  <o:lock v:ext="edit" aspectratio="f"/>
                  <v:textbox>
                    <w:txbxContent>
                      <w:p>
                        <w:pPr>
                          <w:rPr>
                            <w:rFonts w:hint="eastAsia"/>
                          </w:rPr>
                        </w:pPr>
                        <w:r>
                          <w:rPr>
                            <w:rFonts w:hint="eastAsia"/>
                          </w:rPr>
                          <w:t>尾砂过滤机</w:t>
                        </w:r>
                      </w:p>
                    </w:txbxContent>
                  </v:textbox>
                </v:shape>
              </v:group>
            </w:pict>
          </mc:Fallback>
        </mc:AlternateContent>
      </w:r>
      <w:r>
        <w:rPr>
          <w:rFonts w:hint="eastAsia" w:ascii="宋体" w:hAnsi="宋体"/>
          <w:color w:val="000000"/>
          <w:sz w:val="24"/>
          <w:szCs w:val="24"/>
        </w:rPr>
        <w:t>选矿厂主要设备有</w:t>
      </w:r>
      <w:r>
        <w:rPr>
          <w:color w:val="000000"/>
          <w:sz w:val="24"/>
          <w:szCs w:val="24"/>
        </w:rPr>
        <w:t>颚式</w:t>
      </w:r>
      <w:r>
        <w:rPr>
          <w:rFonts w:hint="eastAsia" w:ascii="宋体" w:hAnsi="宋体"/>
          <w:color w:val="000000"/>
          <w:sz w:val="24"/>
          <w:szCs w:val="24"/>
        </w:rPr>
        <w:t>破碎机、球磨机，</w:t>
      </w:r>
      <w:r>
        <w:rPr>
          <w:bCs/>
          <w:color w:val="000000"/>
          <w:sz w:val="24"/>
          <w:szCs w:val="24"/>
        </w:rPr>
        <w:t>螺旋分级机</w:t>
      </w:r>
      <w:r>
        <w:rPr>
          <w:rFonts w:hint="eastAsia" w:ascii="宋体" w:hAnsi="宋体"/>
          <w:color w:val="000000"/>
          <w:sz w:val="24"/>
          <w:szCs w:val="24"/>
        </w:rPr>
        <w:t>，</w:t>
      </w:r>
      <w:r>
        <w:rPr>
          <w:bCs/>
          <w:color w:val="000000"/>
          <w:sz w:val="24"/>
          <w:szCs w:val="24"/>
        </w:rPr>
        <w:t>浮选槽</w:t>
      </w:r>
      <w:r>
        <w:rPr>
          <w:rFonts w:hint="eastAsia"/>
          <w:bCs/>
          <w:color w:val="000000"/>
          <w:sz w:val="24"/>
          <w:szCs w:val="24"/>
        </w:rPr>
        <w:t>，</w:t>
      </w:r>
      <w:r>
        <w:rPr>
          <w:bCs/>
          <w:color w:val="000000"/>
          <w:sz w:val="24"/>
          <w:szCs w:val="24"/>
        </w:rPr>
        <w:t>陶瓷过滤机</w:t>
      </w:r>
      <w:r>
        <w:rPr>
          <w:rFonts w:hint="eastAsia" w:ascii="宋体" w:hAnsi="宋体"/>
          <w:color w:val="000000"/>
          <w:sz w:val="24"/>
          <w:szCs w:val="24"/>
        </w:rPr>
        <w:t>等。设备工艺流程详见图3－2.</w:t>
      </w: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rPr>
          <w:rFonts w:hint="eastAsia" w:ascii="宋体" w:hAnsi="宋体"/>
          <w:color w:val="000000"/>
          <w:sz w:val="24"/>
        </w:rPr>
      </w:pPr>
    </w:p>
    <w:p>
      <w:pPr>
        <w:tabs>
          <w:tab w:val="left" w:pos="5585"/>
        </w:tabs>
        <w:spacing w:before="120" w:beforeLines="50" w:after="120" w:afterLines="50" w:line="360" w:lineRule="auto"/>
        <w:jc w:val="center"/>
        <w:rPr>
          <w:rFonts w:hint="eastAsia" w:ascii="宋体" w:hAnsi="宋体"/>
          <w:b/>
          <w:color w:val="000000"/>
          <w:sz w:val="24"/>
          <w:szCs w:val="28"/>
        </w:rPr>
      </w:pPr>
      <w:r>
        <w:rPr>
          <w:rFonts w:hint="eastAsia" w:ascii="宋体" w:hAnsi="宋体"/>
          <w:b/>
          <w:color w:val="000000"/>
          <w:sz w:val="24"/>
          <w:szCs w:val="28"/>
        </w:rPr>
        <w:t>图3－2    选矿厂设备工艺流程图</w:t>
      </w:r>
    </w:p>
    <w:p>
      <w:pPr>
        <w:pStyle w:val="5"/>
        <w:spacing w:before="240" w:after="120"/>
        <w:rPr>
          <w:rFonts w:hint="eastAsia" w:ascii="宋体" w:hAnsi="宋体"/>
          <w:bCs w:val="0"/>
          <w:color w:val="000000"/>
          <w:sz w:val="28"/>
        </w:rPr>
      </w:pPr>
      <w:bookmarkStart w:id="367" w:name="_Toc23000899"/>
      <w:bookmarkStart w:id="368" w:name="_Toc453617006"/>
      <w:bookmarkStart w:id="369" w:name="_Toc415316055"/>
      <w:r>
        <w:rPr>
          <w:rFonts w:hint="eastAsia" w:ascii="宋体" w:hAnsi="宋体"/>
          <w:bCs w:val="0"/>
          <w:color w:val="000000"/>
          <w:sz w:val="28"/>
        </w:rPr>
        <w:t>3.1.3审核重点单元操作功能说明</w:t>
      </w:r>
      <w:bookmarkEnd w:id="367"/>
      <w:bookmarkEnd w:id="368"/>
      <w:bookmarkEnd w:id="369"/>
    </w:p>
    <w:p>
      <w:pPr>
        <w:spacing w:line="360" w:lineRule="auto"/>
        <w:ind w:firstLine="480" w:firstLineChars="200"/>
        <w:rPr>
          <w:rFonts w:hint="eastAsia"/>
          <w:color w:val="000000"/>
          <w:sz w:val="24"/>
          <w:szCs w:val="24"/>
        </w:rPr>
      </w:pPr>
      <w:r>
        <w:rPr>
          <w:rFonts w:hint="eastAsia" w:ascii="宋体" w:hAnsi="宋体"/>
          <w:color w:val="000000"/>
          <w:sz w:val="24"/>
          <w:szCs w:val="24"/>
        </w:rPr>
        <w:t>选矿厂</w:t>
      </w:r>
      <w:r>
        <w:rPr>
          <w:rFonts w:hint="eastAsia" w:ascii="宋体" w:hAnsi="宋体"/>
          <w:bCs/>
          <w:color w:val="000000"/>
          <w:sz w:val="24"/>
          <w:szCs w:val="24"/>
        </w:rPr>
        <w:t>操作单元详见表3－2.</w:t>
      </w:r>
    </w:p>
    <w:p>
      <w:pPr>
        <w:spacing w:line="360" w:lineRule="auto"/>
        <w:jc w:val="center"/>
        <w:rPr>
          <w:rFonts w:hint="eastAsia" w:ascii="宋体" w:hAnsi="宋体"/>
          <w:b/>
          <w:color w:val="000000"/>
          <w:sz w:val="24"/>
        </w:rPr>
      </w:pPr>
      <w:r>
        <w:rPr>
          <w:rFonts w:hint="eastAsia" w:ascii="宋体" w:hAnsi="宋体"/>
          <w:b/>
          <w:color w:val="000000"/>
          <w:sz w:val="24"/>
        </w:rPr>
        <w:t>表3-2     审核重点单元操作功能说明表</w:t>
      </w:r>
    </w:p>
    <w:tbl>
      <w:tblPr>
        <w:tblStyle w:val="36"/>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77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39" w:hRule="atLeast"/>
        </w:trPr>
        <w:tc>
          <w:tcPr>
            <w:tcW w:w="1620" w:type="dxa"/>
            <w:noWrap w:val="0"/>
            <w:vAlign w:val="center"/>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工段名称</w:t>
            </w:r>
          </w:p>
        </w:tc>
        <w:tc>
          <w:tcPr>
            <w:tcW w:w="7740" w:type="dxa"/>
            <w:noWrap w:val="0"/>
            <w:vAlign w:val="top"/>
          </w:tcPr>
          <w:p>
            <w:pPr>
              <w:autoSpaceDE w:val="0"/>
              <w:autoSpaceDN w:val="0"/>
              <w:adjustRightInd w:val="0"/>
              <w:spacing w:line="360" w:lineRule="exact"/>
              <w:jc w:val="center"/>
              <w:rPr>
                <w:rFonts w:hint="eastAsia" w:ascii="宋体" w:cs="宋体"/>
                <w:color w:val="000000"/>
                <w:szCs w:val="21"/>
                <w:lang w:val="zh-CN"/>
              </w:rPr>
            </w:pPr>
            <w:r>
              <w:rPr>
                <w:rFonts w:hint="eastAsia" w:ascii="宋体" w:cs="宋体"/>
                <w:color w:val="000000"/>
                <w:szCs w:val="21"/>
                <w:lang w:val="zh-CN"/>
              </w:rPr>
              <w:t>工序功能说明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45" w:hRule="atLeast"/>
        </w:trPr>
        <w:tc>
          <w:tcPr>
            <w:tcW w:w="1620" w:type="dxa"/>
            <w:noWrap w:val="0"/>
            <w:vAlign w:val="center"/>
          </w:tcPr>
          <w:p>
            <w:pPr>
              <w:autoSpaceDE w:val="0"/>
              <w:autoSpaceDN w:val="0"/>
              <w:adjustRightInd w:val="0"/>
              <w:spacing w:line="380" w:lineRule="exact"/>
              <w:jc w:val="center"/>
              <w:rPr>
                <w:rFonts w:hint="eastAsia" w:ascii="宋体" w:cs="宋体"/>
                <w:color w:val="000000"/>
                <w:szCs w:val="21"/>
                <w:lang w:val="zh-CN"/>
              </w:rPr>
            </w:pPr>
            <w:r>
              <w:rPr>
                <w:rFonts w:hint="eastAsia" w:ascii="宋体" w:cs="宋体"/>
                <w:color w:val="000000"/>
                <w:szCs w:val="21"/>
                <w:lang w:val="zh-CN"/>
              </w:rPr>
              <w:t>破碎工段</w:t>
            </w:r>
          </w:p>
        </w:tc>
        <w:tc>
          <w:tcPr>
            <w:tcW w:w="7740" w:type="dxa"/>
            <w:noWrap w:val="0"/>
            <w:vAlign w:val="top"/>
          </w:tcPr>
          <w:p>
            <w:pPr>
              <w:spacing w:line="380" w:lineRule="exact"/>
              <w:rPr>
                <w:rFonts w:hint="eastAsia" w:ascii="宋体" w:hAnsi="宋体"/>
                <w:color w:val="000000"/>
                <w:szCs w:val="21"/>
              </w:rPr>
            </w:pPr>
            <w:r>
              <w:rPr>
                <w:rFonts w:hint="eastAsia" w:ascii="宋体" w:hAnsi="宋体"/>
                <w:color w:val="000000"/>
                <w:szCs w:val="21"/>
              </w:rPr>
              <w:t>入厂原矿堆存于原矿堆场，通过铲车将原矿送入颚式破碎机，破碎后的原矿经过震动筛，合格原矿进入钢板原矿仓，不合格料经皮带输送返回破碎机再次破碎。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13" w:hRule="atLeast"/>
        </w:trPr>
        <w:tc>
          <w:tcPr>
            <w:tcW w:w="1620" w:type="dxa"/>
            <w:noWrap w:val="0"/>
            <w:vAlign w:val="center"/>
          </w:tcPr>
          <w:p>
            <w:pPr>
              <w:autoSpaceDE w:val="0"/>
              <w:autoSpaceDN w:val="0"/>
              <w:adjustRightInd w:val="0"/>
              <w:spacing w:line="380" w:lineRule="exact"/>
              <w:jc w:val="center"/>
              <w:rPr>
                <w:rFonts w:hint="eastAsia" w:ascii="宋体" w:cs="宋体"/>
                <w:color w:val="000000"/>
                <w:szCs w:val="21"/>
                <w:lang w:val="zh-CN"/>
              </w:rPr>
            </w:pPr>
            <w:r>
              <w:rPr>
                <w:rFonts w:hint="eastAsia" w:ascii="宋体" w:cs="宋体"/>
                <w:color w:val="000000"/>
                <w:szCs w:val="21"/>
                <w:lang w:val="zh-CN"/>
              </w:rPr>
              <w:t>球磨工段</w:t>
            </w:r>
          </w:p>
        </w:tc>
        <w:tc>
          <w:tcPr>
            <w:tcW w:w="7740" w:type="dxa"/>
            <w:noWrap w:val="0"/>
            <w:vAlign w:val="top"/>
          </w:tcPr>
          <w:p>
            <w:pPr>
              <w:spacing w:line="380" w:lineRule="exact"/>
              <w:rPr>
                <w:rFonts w:hint="eastAsia" w:ascii="宋体" w:hAnsi="宋体"/>
                <w:color w:val="000000"/>
                <w:szCs w:val="21"/>
              </w:rPr>
            </w:pPr>
            <w:r>
              <w:rPr>
                <w:rFonts w:hint="eastAsia" w:ascii="宋体" w:hAnsi="宋体"/>
                <w:color w:val="000000"/>
                <w:szCs w:val="21"/>
              </w:rPr>
              <w:t>经破碎合格的原矿由矿仓经复式喂料机进入球磨机，采用湿法粉磨，补充水从磨头加入，出磨矿浆经螺旋分级机分选进入浮选床，粗粒返回球磨机再磨。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07" w:hRule="atLeast"/>
        </w:trPr>
        <w:tc>
          <w:tcPr>
            <w:tcW w:w="1620" w:type="dxa"/>
            <w:noWrap w:val="0"/>
            <w:vAlign w:val="center"/>
          </w:tcPr>
          <w:p>
            <w:pPr>
              <w:autoSpaceDE w:val="0"/>
              <w:autoSpaceDN w:val="0"/>
              <w:adjustRightInd w:val="0"/>
              <w:spacing w:line="380" w:lineRule="exact"/>
              <w:jc w:val="center"/>
              <w:rPr>
                <w:rFonts w:hint="eastAsia" w:ascii="宋体" w:cs="宋体"/>
                <w:color w:val="000000"/>
                <w:szCs w:val="21"/>
                <w:lang w:val="zh-CN"/>
              </w:rPr>
            </w:pPr>
            <w:r>
              <w:rPr>
                <w:rFonts w:hint="eastAsia" w:ascii="宋体" w:cs="宋体"/>
                <w:color w:val="000000"/>
                <w:szCs w:val="21"/>
                <w:lang w:val="zh-CN"/>
              </w:rPr>
              <w:t>浮选工段</w:t>
            </w:r>
          </w:p>
        </w:tc>
        <w:tc>
          <w:tcPr>
            <w:tcW w:w="7740" w:type="dxa"/>
            <w:noWrap w:val="0"/>
            <w:vAlign w:val="top"/>
          </w:tcPr>
          <w:p>
            <w:pPr>
              <w:spacing w:line="380" w:lineRule="exact"/>
              <w:rPr>
                <w:rFonts w:hint="eastAsia" w:ascii="宋体" w:cs="宋体"/>
                <w:color w:val="000000"/>
                <w:szCs w:val="21"/>
                <w:lang w:val="zh-CN"/>
              </w:rPr>
            </w:pPr>
            <w:r>
              <w:rPr>
                <w:rFonts w:hint="eastAsia" w:ascii="宋体" w:hAnsi="宋体"/>
                <w:color w:val="000000"/>
                <w:szCs w:val="21"/>
              </w:rPr>
              <w:t>细矿浆进入搅拌斗，在搅拌斗中加入浮选药剂，经搅拌后的矿浆进入一级浮选机，经过铅浮选，粗矿进入二级浮选机再次浮选，成品锌精矿进入精矿池。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9" w:hRule="atLeast"/>
        </w:trPr>
        <w:tc>
          <w:tcPr>
            <w:tcW w:w="1620" w:type="dxa"/>
            <w:noWrap w:val="0"/>
            <w:vAlign w:val="center"/>
          </w:tcPr>
          <w:p>
            <w:pPr>
              <w:autoSpaceDE w:val="0"/>
              <w:autoSpaceDN w:val="0"/>
              <w:adjustRightInd w:val="0"/>
              <w:spacing w:line="380" w:lineRule="exact"/>
              <w:jc w:val="center"/>
              <w:rPr>
                <w:rFonts w:hint="eastAsia" w:ascii="宋体" w:cs="宋体"/>
                <w:color w:val="000000"/>
                <w:szCs w:val="21"/>
                <w:lang w:val="zh-CN"/>
              </w:rPr>
            </w:pPr>
            <w:r>
              <w:rPr>
                <w:rFonts w:hint="eastAsia" w:ascii="宋体" w:cs="宋体"/>
                <w:color w:val="000000"/>
                <w:szCs w:val="21"/>
                <w:lang w:val="zh-CN"/>
              </w:rPr>
              <w:t>浓缩过滤工段</w:t>
            </w:r>
          </w:p>
        </w:tc>
        <w:tc>
          <w:tcPr>
            <w:tcW w:w="7740" w:type="dxa"/>
            <w:noWrap w:val="0"/>
            <w:vAlign w:val="top"/>
          </w:tcPr>
          <w:p>
            <w:pPr>
              <w:pStyle w:val="8"/>
              <w:spacing w:line="380" w:lineRule="exact"/>
              <w:rPr>
                <w:rFonts w:hint="eastAsia" w:ascii="宋体" w:hAnsi="宋体"/>
                <w:color w:val="000000"/>
                <w:szCs w:val="21"/>
              </w:rPr>
            </w:pPr>
            <w:r>
              <w:rPr>
                <w:rFonts w:hint="eastAsia"/>
                <w:color w:val="000000"/>
                <w:szCs w:val="21"/>
              </w:rPr>
              <w:t>通过浓密机和过滤机分别对铅精矿、硫化锌、氧化锌进行脱水处理，使精矿含水量小于15%。便于库存运输等。</w:t>
            </w:r>
          </w:p>
        </w:tc>
      </w:tr>
      <w:bookmarkEnd w:id="364"/>
      <w:bookmarkEnd w:id="365"/>
      <w:bookmarkEnd w:id="366"/>
    </w:tbl>
    <w:p>
      <w:pPr>
        <w:pStyle w:val="4"/>
        <w:rPr>
          <w:rFonts w:hint="eastAsia"/>
          <w:color w:val="000000"/>
        </w:rPr>
      </w:pPr>
      <w:bookmarkStart w:id="370" w:name="_Toc453617007"/>
      <w:bookmarkStart w:id="371" w:name="_Toc23000900"/>
      <w:bookmarkStart w:id="372" w:name="_Toc415316056"/>
      <w:bookmarkStart w:id="373" w:name="_Toc295118815"/>
      <w:r>
        <w:rPr>
          <w:color w:val="000000"/>
        </w:rPr>
        <w:t>3.2</w:t>
      </w:r>
      <w:r>
        <w:rPr>
          <w:rFonts w:hint="eastAsia"/>
          <w:color w:val="000000"/>
        </w:rPr>
        <w:t>审核重点输入、输出物料平衡情况</w:t>
      </w:r>
      <w:bookmarkEnd w:id="370"/>
      <w:bookmarkEnd w:id="371"/>
      <w:bookmarkEnd w:id="372"/>
    </w:p>
    <w:p>
      <w:pPr>
        <w:pStyle w:val="5"/>
        <w:spacing w:before="120" w:after="120" w:line="360" w:lineRule="auto"/>
        <w:rPr>
          <w:rFonts w:hint="eastAsia" w:ascii="宋体" w:hAnsi="宋体"/>
          <w:color w:val="000000"/>
          <w:sz w:val="28"/>
          <w:szCs w:val="28"/>
          <w:lang w:val="en-GB"/>
        </w:rPr>
      </w:pPr>
      <w:bookmarkStart w:id="374" w:name="_Toc23000901"/>
      <w:bookmarkStart w:id="375" w:name="_Toc415316057"/>
      <w:bookmarkStart w:id="376" w:name="_Toc453617008"/>
      <w:r>
        <w:rPr>
          <w:rFonts w:hint="eastAsia" w:ascii="宋体" w:hAnsi="宋体"/>
          <w:color w:val="000000"/>
          <w:sz w:val="28"/>
          <w:szCs w:val="28"/>
          <w:lang w:val="en-GB"/>
        </w:rPr>
        <w:t>3.2.1实测准备</w:t>
      </w:r>
      <w:bookmarkEnd w:id="373"/>
      <w:bookmarkEnd w:id="374"/>
      <w:bookmarkEnd w:id="375"/>
      <w:bookmarkEnd w:id="376"/>
    </w:p>
    <w:p>
      <w:pPr>
        <w:pStyle w:val="89"/>
        <w:spacing w:beforeLines="0"/>
        <w:ind w:firstLine="480"/>
        <w:rPr>
          <w:rFonts w:hint="eastAsia"/>
          <w:color w:val="000000"/>
          <w:sz w:val="24"/>
        </w:rPr>
      </w:pPr>
      <w:r>
        <w:rPr>
          <w:rFonts w:hint="eastAsia"/>
          <w:color w:val="000000"/>
          <w:sz w:val="24"/>
        </w:rPr>
        <w:t>为了准确实测审核重点物料的输入输出，清洁生产审核小组首先对选矿厂进行了详细的调查，首先成立了实测小组，确定实测人员，确定实测时间。</w:t>
      </w:r>
    </w:p>
    <w:p>
      <w:pPr>
        <w:pStyle w:val="89"/>
        <w:spacing w:beforeLines="0"/>
        <w:ind w:firstLine="480"/>
        <w:rPr>
          <w:rFonts w:hint="eastAsia"/>
          <w:color w:val="000000"/>
          <w:sz w:val="24"/>
          <w:szCs w:val="24"/>
        </w:rPr>
      </w:pPr>
      <w:r>
        <w:rPr>
          <w:rFonts w:hint="eastAsia"/>
          <w:color w:val="000000"/>
          <w:sz w:val="24"/>
          <w:szCs w:val="24"/>
        </w:rPr>
        <w:t>（1）实测人员：组长：</w:t>
      </w:r>
      <w:r>
        <w:rPr>
          <w:rFonts w:hint="eastAsia" w:cs="仿宋_GB2312"/>
          <w:color w:val="000000"/>
          <w:sz w:val="24"/>
          <w:szCs w:val="24"/>
        </w:rPr>
        <w:t>吕生稳</w:t>
      </w:r>
    </w:p>
    <w:p>
      <w:pPr>
        <w:pStyle w:val="89"/>
        <w:spacing w:beforeLines="0"/>
        <w:ind w:firstLine="480"/>
        <w:rPr>
          <w:rFonts w:hint="eastAsia"/>
          <w:color w:val="000000"/>
          <w:sz w:val="24"/>
          <w:szCs w:val="24"/>
        </w:rPr>
      </w:pPr>
      <w:r>
        <w:rPr>
          <w:rFonts w:hint="eastAsia"/>
          <w:color w:val="000000"/>
          <w:sz w:val="24"/>
          <w:szCs w:val="24"/>
        </w:rPr>
        <w:t>成员：</w:t>
      </w:r>
      <w:r>
        <w:rPr>
          <w:rFonts w:hint="eastAsia" w:cs="仿宋_GB2312"/>
          <w:color w:val="000000"/>
          <w:kern w:val="0"/>
          <w:sz w:val="24"/>
          <w:szCs w:val="24"/>
        </w:rPr>
        <w:t>黄彦程  钱照霖  刘春成  桂锐同  张荣德  李石庆</w:t>
      </w:r>
    </w:p>
    <w:p>
      <w:pPr>
        <w:pStyle w:val="89"/>
        <w:spacing w:beforeLines="0"/>
        <w:ind w:firstLine="480"/>
        <w:rPr>
          <w:rFonts w:hint="eastAsia"/>
          <w:color w:val="000000"/>
          <w:sz w:val="24"/>
          <w:lang w:val="en-US"/>
        </w:rPr>
      </w:pPr>
      <w:r>
        <w:rPr>
          <w:rFonts w:hint="eastAsia"/>
          <w:color w:val="000000"/>
          <w:sz w:val="24"/>
          <w:lang w:val="en-US"/>
        </w:rPr>
        <w:t>（2）实测小组定于2019年3月18日至3月20日进行实测。</w:t>
      </w:r>
    </w:p>
    <w:p>
      <w:pPr>
        <w:pStyle w:val="89"/>
        <w:spacing w:beforeLines="0"/>
        <w:ind w:firstLine="480"/>
        <w:rPr>
          <w:rFonts w:hint="eastAsia"/>
          <w:color w:val="000000"/>
          <w:sz w:val="24"/>
        </w:rPr>
      </w:pPr>
      <w:r>
        <w:rPr>
          <w:rFonts w:hint="eastAsia"/>
          <w:color w:val="000000"/>
          <w:sz w:val="24"/>
        </w:rPr>
        <w:t>实测小组对</w:t>
      </w:r>
      <w:r>
        <w:rPr>
          <w:color w:val="000000"/>
          <w:sz w:val="24"/>
        </w:rPr>
        <w:t>生产工序物料、能源、水</w:t>
      </w:r>
      <w:r>
        <w:rPr>
          <w:rFonts w:hint="eastAsia"/>
          <w:color w:val="000000"/>
          <w:sz w:val="24"/>
        </w:rPr>
        <w:t>的</w:t>
      </w:r>
      <w:r>
        <w:rPr>
          <w:color w:val="000000"/>
          <w:sz w:val="24"/>
        </w:rPr>
        <w:t>输入、输出</w:t>
      </w:r>
      <w:r>
        <w:rPr>
          <w:rFonts w:hint="eastAsia"/>
          <w:color w:val="000000"/>
          <w:sz w:val="24"/>
        </w:rPr>
        <w:t>相关</w:t>
      </w:r>
      <w:r>
        <w:rPr>
          <w:color w:val="000000"/>
          <w:sz w:val="24"/>
        </w:rPr>
        <w:t>计量仪器的配置</w:t>
      </w:r>
      <w:r>
        <w:rPr>
          <w:rFonts w:hint="eastAsia"/>
          <w:color w:val="000000"/>
          <w:sz w:val="24"/>
        </w:rPr>
        <w:t>、</w:t>
      </w:r>
      <w:r>
        <w:rPr>
          <w:color w:val="000000"/>
          <w:sz w:val="24"/>
        </w:rPr>
        <w:t>分布、使用</w:t>
      </w:r>
      <w:r>
        <w:rPr>
          <w:rFonts w:hint="eastAsia"/>
          <w:color w:val="000000"/>
          <w:sz w:val="24"/>
        </w:rPr>
        <w:t>等情况进行核查，校验监测仪器和计量器具等工作，没有完善的进行补充配置，为实测数据做好了充分准备。</w:t>
      </w:r>
    </w:p>
    <w:p>
      <w:pPr>
        <w:pStyle w:val="5"/>
        <w:spacing w:before="120" w:after="0" w:line="360" w:lineRule="auto"/>
        <w:rPr>
          <w:rFonts w:hint="eastAsia" w:ascii="宋体" w:hAnsi="宋体"/>
          <w:color w:val="000000"/>
          <w:sz w:val="28"/>
          <w:szCs w:val="28"/>
          <w:lang w:val="en-GB"/>
        </w:rPr>
      </w:pPr>
      <w:bookmarkStart w:id="377" w:name="_Toc23840"/>
      <w:r>
        <w:rPr>
          <w:rFonts w:hint="eastAsia" w:ascii="宋体" w:hAnsi="宋体"/>
          <w:color w:val="000000"/>
          <w:sz w:val="28"/>
          <w:szCs w:val="28"/>
          <w:lang w:val="en-GB"/>
        </w:rPr>
        <w:fldChar w:fldCharType="begin"/>
      </w:r>
      <w:r>
        <w:rPr>
          <w:rFonts w:hint="eastAsia" w:ascii="宋体" w:hAnsi="宋体"/>
          <w:color w:val="000000"/>
          <w:sz w:val="28"/>
          <w:szCs w:val="28"/>
          <w:lang w:val="en-GB"/>
        </w:rPr>
        <w:instrText xml:space="preserve"> HYPERLINK \l _Toc21846 </w:instrText>
      </w:r>
      <w:r>
        <w:rPr>
          <w:rFonts w:hint="eastAsia" w:ascii="宋体" w:hAnsi="宋体"/>
          <w:color w:val="000000"/>
          <w:sz w:val="28"/>
          <w:szCs w:val="28"/>
          <w:lang w:val="en-GB"/>
        </w:rPr>
        <w:fldChar w:fldCharType="separate"/>
      </w:r>
      <w:bookmarkStart w:id="378" w:name="_Toc453617009"/>
      <w:bookmarkStart w:id="379" w:name="_Toc23000902"/>
      <w:bookmarkStart w:id="380" w:name="_Toc415316058"/>
      <w:r>
        <w:rPr>
          <w:rFonts w:hint="eastAsia" w:ascii="宋体" w:hAnsi="宋体"/>
          <w:color w:val="000000"/>
          <w:sz w:val="28"/>
          <w:szCs w:val="28"/>
          <w:lang w:val="en-GB"/>
        </w:rPr>
        <w:t>3.2.2 实测输入输出物流</w:t>
      </w:r>
      <w:bookmarkEnd w:id="378"/>
      <w:bookmarkEnd w:id="379"/>
      <w:bookmarkEnd w:id="380"/>
      <w:r>
        <w:rPr>
          <w:rFonts w:hint="eastAsia" w:ascii="宋体" w:hAnsi="宋体"/>
          <w:color w:val="000000"/>
          <w:sz w:val="28"/>
          <w:szCs w:val="28"/>
          <w:lang w:val="en-GB"/>
        </w:rPr>
        <w:fldChar w:fldCharType="end"/>
      </w:r>
      <w:bookmarkEnd w:id="377"/>
    </w:p>
    <w:p>
      <w:pPr>
        <w:spacing w:line="360" w:lineRule="auto"/>
        <w:ind w:firstLine="480" w:firstLineChars="200"/>
        <w:rPr>
          <w:rFonts w:ascii="宋体" w:hAnsi="宋体"/>
          <w:color w:val="000000"/>
          <w:sz w:val="24"/>
        </w:rPr>
      </w:pPr>
      <w:r>
        <w:rPr>
          <w:color w:val="000000"/>
          <w:sz w:val="24"/>
        </w:rPr>
        <w:t>针对审核重点进行物料实测并对实测</w:t>
      </w:r>
      <w:r>
        <w:rPr>
          <w:rFonts w:hint="eastAsia"/>
          <w:color w:val="000000"/>
          <w:sz w:val="24"/>
        </w:rPr>
        <w:t>，</w:t>
      </w:r>
      <w:r>
        <w:rPr>
          <w:color w:val="000000"/>
          <w:sz w:val="24"/>
        </w:rPr>
        <w:t>编制物料平衡、水平衡、能源平衡，对物料流失和能源损失进行原因分析。</w:t>
      </w:r>
    </w:p>
    <w:p>
      <w:pPr>
        <w:spacing w:line="360" w:lineRule="auto"/>
        <w:ind w:firstLine="480" w:firstLineChars="200"/>
        <w:rPr>
          <w:rFonts w:hint="eastAsia" w:ascii="宋体" w:hAnsi="宋体"/>
          <w:color w:val="000000"/>
          <w:sz w:val="24"/>
        </w:rPr>
      </w:pPr>
      <w:r>
        <w:rPr>
          <w:rFonts w:hint="eastAsia" w:ascii="宋体" w:cs="宋体"/>
          <w:color w:val="000000"/>
          <w:sz w:val="24"/>
          <w:lang w:val="zh-CN"/>
        </w:rPr>
        <w:t>选矿生产中输入的物料有：</w:t>
      </w:r>
      <w:r>
        <w:rPr>
          <w:rFonts w:hint="eastAsia" w:ascii="宋体" w:hAnsi="宋体"/>
          <w:color w:val="000000"/>
          <w:kern w:val="0"/>
          <w:sz w:val="24"/>
          <w:szCs w:val="21"/>
        </w:rPr>
        <w:t>铅锌原矿、选矿辅助剂、循环水等</w:t>
      </w:r>
      <w:r>
        <w:rPr>
          <w:rFonts w:hint="eastAsia" w:ascii="宋体" w:cs="宋体"/>
          <w:color w:val="000000"/>
          <w:sz w:val="24"/>
          <w:lang w:val="zh-CN"/>
        </w:rPr>
        <w:t>；输出主要有：废水、废渣、循环水等。</w:t>
      </w:r>
      <w:r>
        <w:rPr>
          <w:rFonts w:hint="eastAsia"/>
          <w:color w:val="000000"/>
          <w:sz w:val="24"/>
        </w:rPr>
        <w:t>2019年3月18日至3月20日</w:t>
      </w:r>
      <w:r>
        <w:rPr>
          <w:rFonts w:hint="eastAsia" w:ascii="宋体" w:hAnsi="宋体"/>
          <w:color w:val="000000"/>
          <w:sz w:val="24"/>
        </w:rPr>
        <w:t>我们针对以上物料进行了三次实测，各测点实测方法见表</w:t>
      </w:r>
      <w:r>
        <w:rPr>
          <w:rFonts w:ascii="宋体" w:hAnsi="宋体"/>
          <w:color w:val="000000"/>
          <w:sz w:val="24"/>
        </w:rPr>
        <w:t>3—</w:t>
      </w:r>
      <w:r>
        <w:rPr>
          <w:rFonts w:hint="eastAsia" w:ascii="宋体" w:hAnsi="宋体"/>
          <w:color w:val="000000"/>
          <w:sz w:val="24"/>
        </w:rPr>
        <w:t>3，实测数据见表3</w:t>
      </w:r>
      <w:r>
        <w:rPr>
          <w:rFonts w:ascii="宋体" w:hAnsi="宋体"/>
          <w:color w:val="000000"/>
          <w:sz w:val="24"/>
        </w:rPr>
        <w:t>—</w:t>
      </w:r>
      <w:r>
        <w:rPr>
          <w:rFonts w:hint="eastAsia" w:ascii="宋体" w:hAnsi="宋体"/>
          <w:color w:val="000000"/>
          <w:sz w:val="24"/>
        </w:rPr>
        <w:t>4。</w:t>
      </w:r>
    </w:p>
    <w:p>
      <w:pPr>
        <w:spacing w:line="360" w:lineRule="auto"/>
        <w:ind w:firstLine="480" w:firstLineChars="200"/>
        <w:rPr>
          <w:rFonts w:hint="eastAsia" w:ascii="宋体" w:hAnsi="宋体"/>
          <w:color w:val="000000"/>
          <w:sz w:val="24"/>
        </w:rPr>
      </w:pPr>
    </w:p>
    <w:p>
      <w:pPr>
        <w:spacing w:line="400" w:lineRule="exact"/>
        <w:jc w:val="center"/>
        <w:rPr>
          <w:rFonts w:hint="eastAsia" w:ascii="宋体" w:hAnsi="宋体"/>
          <w:b/>
          <w:color w:val="000000"/>
          <w:sz w:val="24"/>
          <w:szCs w:val="32"/>
        </w:rPr>
      </w:pPr>
      <w:r>
        <w:rPr>
          <w:rFonts w:hint="eastAsia" w:ascii="宋体" w:hAnsi="宋体"/>
          <w:b/>
          <w:color w:val="000000"/>
          <w:sz w:val="24"/>
        </w:rPr>
        <w:t xml:space="preserve">表3-3       </w:t>
      </w:r>
      <w:r>
        <w:rPr>
          <w:rFonts w:hint="eastAsia" w:ascii="宋体" w:cs="宋体"/>
          <w:b/>
          <w:color w:val="000000"/>
          <w:sz w:val="24"/>
          <w:lang w:val="zh-CN"/>
        </w:rPr>
        <w:t>选矿厂</w:t>
      </w:r>
      <w:r>
        <w:rPr>
          <w:rFonts w:hint="eastAsia" w:ascii="宋体" w:hAnsi="宋体"/>
          <w:b/>
          <w:color w:val="000000"/>
          <w:sz w:val="24"/>
          <w:szCs w:val="32"/>
        </w:rPr>
        <w:t>各测点实测方法</w:t>
      </w:r>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7"/>
        <w:gridCol w:w="1413"/>
        <w:gridCol w:w="3041"/>
        <w:gridCol w:w="1188"/>
        <w:gridCol w:w="24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序号</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监测项目</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监测点</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频次</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测试方法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原矿量</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破碎机入口</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过磅、统计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2</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新鲜水</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加水流量计</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在线仪表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3</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循环水</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加水流量计</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在线仪表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4</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药剂用量</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药剂搅拌槽</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领取量、统计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5</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铅精矿量</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铅过滤</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实测统计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6</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锌精矿量</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锌过滤</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实测统计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7</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尾渣</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重选工段末</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实测流量/计算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90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8</w:t>
            </w:r>
          </w:p>
        </w:tc>
        <w:tc>
          <w:tcPr>
            <w:tcW w:w="144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尾水</w:t>
            </w:r>
          </w:p>
        </w:tc>
        <w:tc>
          <w:tcPr>
            <w:tcW w:w="3114"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重选工段末</w:t>
            </w:r>
          </w:p>
        </w:tc>
        <w:tc>
          <w:tcPr>
            <w:tcW w:w="120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 次/8h</w:t>
            </w:r>
          </w:p>
        </w:tc>
        <w:tc>
          <w:tcPr>
            <w:tcW w:w="2520"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实测流量/计算</w:t>
            </w:r>
          </w:p>
        </w:tc>
      </w:tr>
    </w:tbl>
    <w:p>
      <w:pPr>
        <w:spacing w:line="360" w:lineRule="auto"/>
        <w:ind w:firstLine="480" w:firstLineChars="200"/>
        <w:rPr>
          <w:rFonts w:hint="eastAsia" w:ascii="宋体" w:hAnsi="宋体"/>
          <w:color w:val="000000"/>
          <w:sz w:val="24"/>
        </w:rPr>
      </w:pPr>
      <w:r>
        <w:rPr>
          <w:rFonts w:hint="eastAsia" w:ascii="宋体" w:hAnsi="宋体"/>
          <w:color w:val="000000"/>
          <w:sz w:val="24"/>
        </w:rPr>
        <w:t>实测计划说明：公司从 2019 年 3 月 18日早 8 点开始进行统计，每 8 小时（一个班次）进行统计汇总一次。为期三天，统计后，对三天数据取平均值。</w:t>
      </w:r>
    </w:p>
    <w:p>
      <w:pPr>
        <w:spacing w:before="120" w:beforeLines="50" w:after="120" w:afterLines="50"/>
        <w:jc w:val="center"/>
        <w:rPr>
          <w:rFonts w:hint="eastAsia" w:ascii="宋体" w:hAnsi="宋体"/>
          <w:b/>
          <w:color w:val="000000"/>
          <w:sz w:val="24"/>
          <w:szCs w:val="32"/>
        </w:rPr>
      </w:pPr>
      <w:r>
        <w:rPr>
          <w:rFonts w:hint="eastAsia" w:ascii="宋体" w:hAnsi="宋体"/>
          <w:b/>
          <w:color w:val="000000"/>
          <w:sz w:val="24"/>
        </w:rPr>
        <w:t xml:space="preserve">表3-4      </w:t>
      </w:r>
      <w:r>
        <w:rPr>
          <w:rFonts w:hint="eastAsia" w:ascii="宋体" w:cs="宋体"/>
          <w:b/>
          <w:color w:val="000000"/>
          <w:sz w:val="24"/>
          <w:lang w:val="zh-CN"/>
        </w:rPr>
        <w:t>选矿厂</w:t>
      </w:r>
      <w:r>
        <w:rPr>
          <w:rFonts w:hint="eastAsia" w:ascii="宋体" w:hAnsi="宋体"/>
          <w:b/>
          <w:color w:val="000000"/>
          <w:sz w:val="24"/>
          <w:szCs w:val="32"/>
        </w:rPr>
        <w:t>各测点实测数据</w:t>
      </w:r>
    </w:p>
    <w:tbl>
      <w:tblPr>
        <w:tblStyle w:val="35"/>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0"/>
        <w:gridCol w:w="1904"/>
        <w:gridCol w:w="805"/>
        <w:gridCol w:w="1148"/>
        <w:gridCol w:w="1148"/>
        <w:gridCol w:w="1148"/>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blHeader/>
        </w:trPr>
        <w:tc>
          <w:tcPr>
            <w:tcW w:w="1270"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类别</w:t>
            </w:r>
          </w:p>
        </w:tc>
        <w:tc>
          <w:tcPr>
            <w:tcW w:w="1904"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项目名称</w:t>
            </w:r>
          </w:p>
        </w:tc>
        <w:tc>
          <w:tcPr>
            <w:tcW w:w="805"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单位</w:t>
            </w:r>
          </w:p>
        </w:tc>
        <w:tc>
          <w:tcPr>
            <w:tcW w:w="5042" w:type="dxa"/>
            <w:gridSpan w:val="4"/>
            <w:noWrap w:val="0"/>
            <w:vAlign w:val="center"/>
          </w:tcPr>
          <w:p>
            <w:pPr>
              <w:jc w:val="center"/>
              <w:rPr>
                <w:rFonts w:hint="eastAsia" w:ascii="宋体" w:hAnsi="宋体"/>
                <w:color w:val="000000"/>
                <w:szCs w:val="21"/>
              </w:rPr>
            </w:pPr>
            <w:r>
              <w:rPr>
                <w:rFonts w:hint="eastAsia" w:ascii="宋体" w:hAnsi="宋体"/>
                <w:color w:val="000000"/>
                <w:kern w:val="0"/>
                <w:szCs w:val="21"/>
                <w:lang w:val="zh-CN"/>
              </w:rPr>
              <w:t>实测数据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blHeader/>
        </w:trPr>
        <w:tc>
          <w:tcPr>
            <w:tcW w:w="1270" w:type="dxa"/>
            <w:vMerge w:val="continue"/>
            <w:noWrap w:val="0"/>
            <w:vAlign w:val="center"/>
          </w:tcPr>
          <w:p>
            <w:pPr>
              <w:jc w:val="center"/>
              <w:rPr>
                <w:rFonts w:hint="eastAsia" w:ascii="宋体" w:hAnsi="宋体"/>
                <w:bCs/>
                <w:color w:val="000000"/>
                <w:szCs w:val="21"/>
              </w:rPr>
            </w:pPr>
          </w:p>
        </w:tc>
        <w:tc>
          <w:tcPr>
            <w:tcW w:w="1904" w:type="dxa"/>
            <w:vMerge w:val="continue"/>
            <w:noWrap w:val="0"/>
            <w:vAlign w:val="center"/>
          </w:tcPr>
          <w:p>
            <w:pPr>
              <w:jc w:val="center"/>
              <w:rPr>
                <w:rFonts w:hint="eastAsia" w:ascii="宋体" w:hAnsi="宋体"/>
                <w:bCs/>
                <w:color w:val="000000"/>
                <w:szCs w:val="21"/>
              </w:rPr>
            </w:pPr>
          </w:p>
        </w:tc>
        <w:tc>
          <w:tcPr>
            <w:tcW w:w="805" w:type="dxa"/>
            <w:vMerge w:val="continue"/>
            <w:noWrap w:val="0"/>
            <w:vAlign w:val="center"/>
          </w:tcPr>
          <w:p>
            <w:pPr>
              <w:jc w:val="center"/>
              <w:rPr>
                <w:rFonts w:hint="eastAsia" w:ascii="宋体" w:hAnsi="宋体"/>
                <w:bCs/>
                <w:color w:val="000000"/>
                <w:szCs w:val="21"/>
              </w:rPr>
            </w:pPr>
          </w:p>
        </w:tc>
        <w:tc>
          <w:tcPr>
            <w:tcW w:w="1148"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kern w:val="0"/>
                <w:szCs w:val="21"/>
                <w:lang w:val="zh-CN"/>
              </w:rPr>
              <w:t>3月18日</w:t>
            </w:r>
          </w:p>
        </w:tc>
        <w:tc>
          <w:tcPr>
            <w:tcW w:w="1148"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3月</w:t>
            </w:r>
            <w:r>
              <w:rPr>
                <w:rFonts w:hint="eastAsia" w:ascii="宋体" w:hAnsi="宋体"/>
                <w:color w:val="000000"/>
                <w:szCs w:val="21"/>
              </w:rPr>
              <w:t>19</w:t>
            </w:r>
            <w:r>
              <w:rPr>
                <w:rFonts w:hint="eastAsia" w:ascii="宋体" w:hAnsi="宋体"/>
                <w:color w:val="000000"/>
                <w:szCs w:val="21"/>
                <w:lang w:val="zh-CN"/>
              </w:rPr>
              <w:t>日</w:t>
            </w:r>
          </w:p>
        </w:tc>
        <w:tc>
          <w:tcPr>
            <w:tcW w:w="1148"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3月</w:t>
            </w:r>
            <w:r>
              <w:rPr>
                <w:rFonts w:hint="eastAsia" w:ascii="宋体" w:hAnsi="宋体"/>
                <w:color w:val="000000"/>
                <w:szCs w:val="21"/>
              </w:rPr>
              <w:t>2</w:t>
            </w:r>
            <w:r>
              <w:rPr>
                <w:rFonts w:hint="eastAsia" w:ascii="宋体" w:hAnsi="宋体"/>
                <w:color w:val="000000"/>
                <w:szCs w:val="21"/>
                <w:lang w:val="zh-CN"/>
              </w:rPr>
              <w:t>0日</w:t>
            </w:r>
          </w:p>
        </w:tc>
        <w:tc>
          <w:tcPr>
            <w:tcW w:w="1598"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kern w:val="0"/>
                <w:szCs w:val="21"/>
                <w:lang w:val="zh-CN"/>
              </w:rPr>
              <w:t>平均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restart"/>
            <w:noWrap w:val="0"/>
            <w:vAlign w:val="center"/>
          </w:tcPr>
          <w:p>
            <w:pPr>
              <w:autoSpaceDE w:val="0"/>
              <w:autoSpaceDN w:val="0"/>
              <w:adjustRightInd w:val="0"/>
              <w:jc w:val="center"/>
              <w:rPr>
                <w:rFonts w:hint="eastAsia" w:ascii="宋体" w:cs="宋体"/>
                <w:color w:val="000000"/>
                <w:szCs w:val="21"/>
                <w:lang w:val="zh-CN"/>
              </w:rPr>
            </w:pPr>
            <w:r>
              <w:rPr>
                <w:rFonts w:hint="eastAsia" w:ascii="宋体" w:cs="宋体"/>
                <w:color w:val="000000"/>
                <w:szCs w:val="21"/>
                <w:lang w:val="zh-CN"/>
              </w:rPr>
              <w:t>输入物料</w:t>
            </w:r>
          </w:p>
        </w:tc>
        <w:tc>
          <w:tcPr>
            <w:tcW w:w="1904" w:type="dxa"/>
            <w:noWrap w:val="0"/>
            <w:vAlign w:val="center"/>
          </w:tcPr>
          <w:p>
            <w:pPr>
              <w:autoSpaceDE w:val="0"/>
              <w:autoSpaceDN w:val="0"/>
              <w:jc w:val="center"/>
              <w:rPr>
                <w:rFonts w:hint="eastAsia" w:ascii="宋体"/>
                <w:color w:val="000000"/>
                <w:lang w:val="zh-CN"/>
              </w:rPr>
            </w:pPr>
            <w:r>
              <w:rPr>
                <w:rFonts w:hint="eastAsia" w:ascii="宋体"/>
                <w:color w:val="000000"/>
                <w:lang w:val="zh-CN"/>
              </w:rPr>
              <w:t>原矿</w:t>
            </w:r>
          </w:p>
        </w:tc>
        <w:tc>
          <w:tcPr>
            <w:tcW w:w="805" w:type="dxa"/>
            <w:noWrap w:val="0"/>
            <w:vAlign w:val="center"/>
          </w:tcPr>
          <w:p>
            <w:pPr>
              <w:autoSpaceDE w:val="0"/>
              <w:autoSpaceDN w:val="0"/>
              <w:jc w:val="center"/>
              <w:rPr>
                <w:rFonts w:hint="eastAsia" w:ascii="宋体"/>
                <w:color w:val="000000"/>
                <w:lang w:val="zh-CN"/>
              </w:rPr>
            </w:pPr>
            <w:r>
              <w:rPr>
                <w:rFonts w:hint="eastAsia" w:ascii="宋体"/>
                <w:color w:val="000000"/>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255</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263</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262</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260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center"/>
          </w:tcPr>
          <w:p>
            <w:pPr>
              <w:jc w:val="center"/>
              <w:rPr>
                <w:rFonts w:hint="eastAsia" w:ascii="宋体" w:hAnsi="宋体"/>
                <w:color w:val="000000"/>
                <w:szCs w:val="21"/>
                <w:lang w:val="zh-CN"/>
              </w:rPr>
            </w:pPr>
          </w:p>
        </w:tc>
        <w:tc>
          <w:tcPr>
            <w:tcW w:w="1904" w:type="dxa"/>
            <w:noWrap w:val="0"/>
            <w:vAlign w:val="center"/>
          </w:tcPr>
          <w:p>
            <w:pPr>
              <w:autoSpaceDE w:val="0"/>
              <w:autoSpaceDN w:val="0"/>
              <w:adjustRightInd w:val="0"/>
              <w:jc w:val="center"/>
              <w:rPr>
                <w:rFonts w:hint="eastAsia" w:ascii="宋体" w:cs="宋体"/>
                <w:color w:val="000000"/>
                <w:szCs w:val="21"/>
                <w:lang w:val="zh-CN"/>
              </w:rPr>
            </w:pPr>
            <w:r>
              <w:rPr>
                <w:rFonts w:hint="eastAsia" w:ascii="宋体" w:cs="宋体"/>
                <w:color w:val="000000"/>
                <w:szCs w:val="21"/>
                <w:lang w:val="zh-CN"/>
              </w:rPr>
              <w:t>原矿含铅</w:t>
            </w:r>
          </w:p>
        </w:tc>
        <w:tc>
          <w:tcPr>
            <w:tcW w:w="805" w:type="dxa"/>
            <w:noWrap w:val="0"/>
            <w:vAlign w:val="center"/>
          </w:tcPr>
          <w:p>
            <w:pPr>
              <w:autoSpaceDE w:val="0"/>
              <w:autoSpaceDN w:val="0"/>
              <w:jc w:val="center"/>
              <w:rPr>
                <w:rFonts w:hint="eastAsia" w:ascii="宋体"/>
                <w:color w:val="000000"/>
                <w:lang w:val="zh-CN"/>
              </w:rPr>
            </w:pPr>
            <w:r>
              <w:rPr>
                <w:rFonts w:hint="eastAsia" w:ascii="宋体"/>
                <w:color w:val="000000"/>
                <w:lang w:val="zh-CN"/>
              </w:rPr>
              <w: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5.5</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5.5</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5.5</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center"/>
          </w:tcPr>
          <w:p>
            <w:pPr>
              <w:jc w:val="center"/>
              <w:rPr>
                <w:rFonts w:hint="eastAsia" w:ascii="宋体" w:hAnsi="宋体"/>
                <w:color w:val="000000"/>
                <w:szCs w:val="21"/>
                <w:lang w:val="zh-CN"/>
              </w:rPr>
            </w:pPr>
          </w:p>
        </w:tc>
        <w:tc>
          <w:tcPr>
            <w:tcW w:w="1904" w:type="dxa"/>
            <w:noWrap w:val="0"/>
            <w:vAlign w:val="center"/>
          </w:tcPr>
          <w:p>
            <w:pPr>
              <w:autoSpaceDE w:val="0"/>
              <w:autoSpaceDN w:val="0"/>
              <w:adjustRightInd w:val="0"/>
              <w:jc w:val="center"/>
              <w:rPr>
                <w:rFonts w:hint="eastAsia" w:ascii="宋体" w:cs="宋体"/>
                <w:color w:val="000000"/>
                <w:szCs w:val="21"/>
                <w:lang w:val="zh-CN"/>
              </w:rPr>
            </w:pPr>
            <w:r>
              <w:rPr>
                <w:rFonts w:hint="eastAsia" w:ascii="宋体" w:hAnsi="宋体"/>
                <w:color w:val="000000"/>
                <w:szCs w:val="21"/>
                <w:lang w:val="zh-CN"/>
              </w:rPr>
              <w:t>原矿含锌</w:t>
            </w:r>
          </w:p>
        </w:tc>
        <w:tc>
          <w:tcPr>
            <w:tcW w:w="805" w:type="dxa"/>
            <w:noWrap w:val="0"/>
            <w:vAlign w:val="center"/>
          </w:tcPr>
          <w:p>
            <w:pPr>
              <w:autoSpaceDE w:val="0"/>
              <w:autoSpaceDN w:val="0"/>
              <w:jc w:val="center"/>
              <w:rPr>
                <w:rFonts w:hint="eastAsia" w:ascii="宋体"/>
                <w:color w:val="000000"/>
                <w:lang w:val="zh-CN"/>
              </w:rPr>
            </w:pPr>
            <w:r>
              <w:rPr>
                <w:rFonts w:hint="eastAsia" w:ascii="宋体"/>
                <w:color w:val="000000"/>
                <w:lang w:val="zh-CN"/>
              </w:rPr>
              <w: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13.45</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13.5</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13.49</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13.48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center"/>
          </w:tcPr>
          <w:p>
            <w:pPr>
              <w:jc w:val="center"/>
              <w:rPr>
                <w:rFonts w:hint="eastAsia" w:ascii="宋体" w:hAnsi="宋体"/>
                <w:color w:val="000000"/>
                <w:szCs w:val="21"/>
                <w:lang w:val="zh-CN"/>
              </w:rPr>
            </w:pPr>
          </w:p>
        </w:tc>
        <w:tc>
          <w:tcPr>
            <w:tcW w:w="1904" w:type="dxa"/>
            <w:noWrap w:val="0"/>
            <w:vAlign w:val="center"/>
          </w:tcPr>
          <w:p>
            <w:pPr>
              <w:autoSpaceDE w:val="0"/>
              <w:autoSpaceDN w:val="0"/>
              <w:adjustRightInd w:val="0"/>
              <w:jc w:val="center"/>
              <w:rPr>
                <w:rFonts w:hint="eastAsia" w:ascii="宋体" w:cs="宋体"/>
                <w:color w:val="000000"/>
                <w:szCs w:val="21"/>
                <w:lang w:val="zh-CN"/>
              </w:rPr>
            </w:pPr>
            <w:r>
              <w:rPr>
                <w:rFonts w:hint="eastAsia" w:ascii="宋体" w:cs="宋体"/>
                <w:color w:val="000000"/>
                <w:szCs w:val="21"/>
                <w:lang w:val="zh-CN"/>
              </w:rPr>
              <w:t>新鲜水</w:t>
            </w:r>
          </w:p>
        </w:tc>
        <w:tc>
          <w:tcPr>
            <w:tcW w:w="805" w:type="dxa"/>
            <w:noWrap w:val="0"/>
            <w:vAlign w:val="center"/>
          </w:tcPr>
          <w:p>
            <w:pPr>
              <w:autoSpaceDE w:val="0"/>
              <w:autoSpaceDN w:val="0"/>
              <w:jc w:val="center"/>
              <w:rPr>
                <w:rFonts w:hint="eastAsia" w:ascii="宋体"/>
                <w:color w:val="000000"/>
                <w:lang w:val="zh-CN"/>
              </w:rPr>
            </w:pPr>
            <w:r>
              <w:rPr>
                <w:rFonts w:hint="eastAsia" w:ascii="宋体"/>
                <w:color w:val="000000"/>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177</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182</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181</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center"/>
          </w:tcPr>
          <w:p>
            <w:pPr>
              <w:jc w:val="center"/>
              <w:rPr>
                <w:rFonts w:hint="eastAsia" w:ascii="宋体" w:hAnsi="宋体"/>
                <w:color w:val="000000"/>
                <w:szCs w:val="21"/>
                <w:lang w:val="zh-CN"/>
              </w:rPr>
            </w:pPr>
          </w:p>
        </w:tc>
        <w:tc>
          <w:tcPr>
            <w:tcW w:w="1904" w:type="dxa"/>
            <w:noWrap w:val="0"/>
            <w:vAlign w:val="center"/>
          </w:tcPr>
          <w:p>
            <w:pPr>
              <w:autoSpaceDE w:val="0"/>
              <w:autoSpaceDN w:val="0"/>
              <w:adjustRightInd w:val="0"/>
              <w:jc w:val="center"/>
              <w:rPr>
                <w:rFonts w:hint="eastAsia" w:ascii="宋体" w:cs="宋体"/>
                <w:color w:val="000000"/>
                <w:szCs w:val="21"/>
                <w:lang w:val="zh-CN"/>
              </w:rPr>
            </w:pPr>
            <w:r>
              <w:rPr>
                <w:rFonts w:hint="eastAsia" w:ascii="宋体" w:cs="宋体"/>
                <w:color w:val="000000"/>
                <w:szCs w:val="21"/>
                <w:lang w:val="zh-CN"/>
              </w:rPr>
              <w:t>硫酸铜</w:t>
            </w:r>
          </w:p>
        </w:tc>
        <w:tc>
          <w:tcPr>
            <w:tcW w:w="805" w:type="dxa"/>
            <w:noWrap w:val="0"/>
            <w:vAlign w:val="center"/>
          </w:tcPr>
          <w:p>
            <w:pPr>
              <w:autoSpaceDE w:val="0"/>
              <w:autoSpaceDN w:val="0"/>
              <w:jc w:val="center"/>
              <w:rPr>
                <w:rFonts w:hint="eastAsia" w:ascii="宋体"/>
                <w:color w:val="000000"/>
                <w:lang w:val="zh-CN"/>
              </w:rPr>
            </w:pPr>
            <w:r>
              <w:rPr>
                <w:rFonts w:hint="eastAsia" w:ascii="宋体"/>
                <w:color w:val="000000"/>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0.24</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0.24</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0.24</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0.24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center"/>
          </w:tcPr>
          <w:p>
            <w:pPr>
              <w:jc w:val="center"/>
              <w:rPr>
                <w:rFonts w:hint="eastAsia" w:ascii="宋体" w:hAnsi="宋体"/>
                <w:color w:val="000000"/>
                <w:szCs w:val="21"/>
                <w:lang w:val="zh-CN"/>
              </w:rPr>
            </w:pPr>
          </w:p>
        </w:tc>
        <w:tc>
          <w:tcPr>
            <w:tcW w:w="1904" w:type="dxa"/>
            <w:noWrap w:val="0"/>
            <w:vAlign w:val="center"/>
          </w:tcPr>
          <w:p>
            <w:pPr>
              <w:autoSpaceDE w:val="0"/>
              <w:autoSpaceDN w:val="0"/>
              <w:adjustRightInd w:val="0"/>
              <w:jc w:val="center"/>
              <w:rPr>
                <w:rFonts w:hint="eastAsia" w:ascii="宋体" w:cs="宋体"/>
                <w:color w:val="000000"/>
                <w:szCs w:val="21"/>
                <w:lang w:val="zh-CN"/>
              </w:rPr>
            </w:pPr>
            <w:r>
              <w:rPr>
                <w:rFonts w:hint="eastAsia" w:ascii="宋体" w:cs="宋体"/>
                <w:color w:val="000000"/>
                <w:szCs w:val="21"/>
                <w:lang w:val="zh-CN"/>
              </w:rPr>
              <w:t>黄药</w:t>
            </w:r>
          </w:p>
        </w:tc>
        <w:tc>
          <w:tcPr>
            <w:tcW w:w="805" w:type="dxa"/>
            <w:noWrap w:val="0"/>
            <w:vAlign w:val="center"/>
          </w:tcPr>
          <w:p>
            <w:pPr>
              <w:autoSpaceDE w:val="0"/>
              <w:autoSpaceDN w:val="0"/>
              <w:jc w:val="center"/>
              <w:rPr>
                <w:rFonts w:hint="eastAsia" w:ascii="宋体"/>
                <w:color w:val="000000"/>
                <w:lang w:val="zh-CN"/>
              </w:rPr>
            </w:pPr>
            <w:r>
              <w:rPr>
                <w:rFonts w:hint="eastAsia" w:ascii="宋体"/>
                <w:color w:val="000000"/>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0.11</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0.11</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0.11</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center"/>
          </w:tcPr>
          <w:p>
            <w:pPr>
              <w:jc w:val="center"/>
              <w:rPr>
                <w:rFonts w:hint="eastAsia" w:ascii="宋体" w:hAnsi="宋体"/>
                <w:color w:val="000000"/>
                <w:szCs w:val="21"/>
                <w:lang w:val="zh-CN"/>
              </w:rPr>
            </w:pPr>
          </w:p>
        </w:tc>
        <w:tc>
          <w:tcPr>
            <w:tcW w:w="1904" w:type="dxa"/>
            <w:noWrap w:val="0"/>
            <w:vAlign w:val="center"/>
          </w:tcPr>
          <w:p>
            <w:pPr>
              <w:autoSpaceDE w:val="0"/>
              <w:autoSpaceDN w:val="0"/>
              <w:adjustRightInd w:val="0"/>
              <w:jc w:val="center"/>
              <w:rPr>
                <w:rFonts w:hint="eastAsia" w:ascii="宋体" w:cs="宋体"/>
                <w:color w:val="000000"/>
                <w:szCs w:val="21"/>
                <w:lang w:val="zh-CN"/>
              </w:rPr>
            </w:pPr>
            <w:r>
              <w:rPr>
                <w:rFonts w:hint="eastAsia" w:ascii="宋体" w:cs="宋体"/>
                <w:color w:val="000000"/>
                <w:szCs w:val="21"/>
                <w:lang w:val="zh-CN"/>
              </w:rPr>
              <w:t>循环水</w:t>
            </w:r>
          </w:p>
        </w:tc>
        <w:tc>
          <w:tcPr>
            <w:tcW w:w="805" w:type="dxa"/>
            <w:noWrap w:val="0"/>
            <w:vAlign w:val="center"/>
          </w:tcPr>
          <w:p>
            <w:pPr>
              <w:autoSpaceDE w:val="0"/>
              <w:autoSpaceDN w:val="0"/>
              <w:jc w:val="center"/>
              <w:rPr>
                <w:rFonts w:hint="eastAsia" w:ascii="宋体"/>
                <w:color w:val="000000"/>
                <w:lang w:val="zh-CN"/>
              </w:rPr>
            </w:pPr>
            <w:r>
              <w:rPr>
                <w:rFonts w:hint="eastAsia" w:ascii="宋体"/>
                <w:color w:val="000000"/>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restart"/>
            <w:noWrap w:val="0"/>
            <w:vAlign w:val="top"/>
          </w:tcPr>
          <w:p>
            <w:pPr>
              <w:jc w:val="center"/>
              <w:rPr>
                <w:rFonts w:hint="eastAsia" w:ascii="宋体" w:hAnsi="宋体"/>
                <w:bCs/>
                <w:color w:val="000000"/>
                <w:szCs w:val="21"/>
              </w:rPr>
            </w:pPr>
          </w:p>
          <w:p>
            <w:pPr>
              <w:jc w:val="center"/>
              <w:rPr>
                <w:rFonts w:hint="eastAsia" w:ascii="宋体" w:hAnsi="宋体"/>
                <w:bCs/>
                <w:color w:val="000000"/>
                <w:szCs w:val="21"/>
              </w:rPr>
            </w:pPr>
          </w:p>
          <w:p>
            <w:pPr>
              <w:jc w:val="center"/>
              <w:rPr>
                <w:rFonts w:hint="eastAsia" w:ascii="宋体" w:hAnsi="宋体"/>
                <w:bCs/>
                <w:color w:val="000000"/>
                <w:szCs w:val="21"/>
              </w:rPr>
            </w:pPr>
          </w:p>
          <w:p>
            <w:pPr>
              <w:jc w:val="center"/>
              <w:rPr>
                <w:rFonts w:hint="eastAsia" w:ascii="宋体" w:hAnsi="宋体"/>
                <w:bCs/>
                <w:color w:val="000000"/>
                <w:szCs w:val="21"/>
              </w:rPr>
            </w:pPr>
          </w:p>
          <w:p>
            <w:pPr>
              <w:jc w:val="center"/>
              <w:rPr>
                <w:rFonts w:hint="eastAsia" w:ascii="宋体" w:hAnsi="宋体"/>
                <w:bCs/>
                <w:color w:val="000000"/>
                <w:szCs w:val="21"/>
              </w:rPr>
            </w:pPr>
            <w:r>
              <w:rPr>
                <w:rFonts w:hint="eastAsia" w:ascii="宋体" w:hAnsi="宋体"/>
                <w:bCs/>
                <w:color w:val="000000"/>
                <w:szCs w:val="21"/>
              </w:rPr>
              <w:t>输出物料</w:t>
            </w:r>
          </w:p>
        </w:tc>
        <w:tc>
          <w:tcPr>
            <w:tcW w:w="1904" w:type="dxa"/>
            <w:noWrap w:val="0"/>
            <w:vAlign w:val="center"/>
          </w:tcPr>
          <w:p>
            <w:pPr>
              <w:widowControl/>
              <w:jc w:val="center"/>
              <w:rPr>
                <w:rFonts w:hint="eastAsia" w:ascii="宋体" w:hAnsi="宋体"/>
                <w:color w:val="000000"/>
                <w:szCs w:val="21"/>
              </w:rPr>
            </w:pPr>
            <w:r>
              <w:rPr>
                <w:rFonts w:hint="eastAsia" w:ascii="宋体" w:hAnsi="宋体"/>
                <w:color w:val="000000"/>
                <w:szCs w:val="21"/>
              </w:rPr>
              <w:t>尾矿渣（含水）</w:t>
            </w:r>
          </w:p>
        </w:tc>
        <w:tc>
          <w:tcPr>
            <w:tcW w:w="805"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375.49</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386.11</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385.03</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382.85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center"/>
          </w:tcPr>
          <w:p>
            <w:pPr>
              <w:widowControl/>
              <w:jc w:val="center"/>
              <w:rPr>
                <w:rFonts w:hint="eastAsia" w:ascii="宋体" w:hAnsi="宋体"/>
                <w:color w:val="000000"/>
                <w:szCs w:val="21"/>
              </w:rPr>
            </w:pPr>
            <w:r>
              <w:rPr>
                <w:rFonts w:hint="eastAsia" w:ascii="宋体" w:hAnsi="宋体"/>
                <w:bCs/>
                <w:color w:val="000000"/>
                <w:szCs w:val="21"/>
              </w:rPr>
              <w:t>循环水</w:t>
            </w:r>
          </w:p>
        </w:tc>
        <w:tc>
          <w:tcPr>
            <w:tcW w:w="805"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center"/>
          </w:tcPr>
          <w:p>
            <w:pPr>
              <w:widowControl/>
              <w:jc w:val="center"/>
              <w:rPr>
                <w:rFonts w:hint="eastAsia" w:ascii="宋体" w:hAnsi="宋体"/>
                <w:bCs/>
                <w:color w:val="000000"/>
                <w:szCs w:val="21"/>
              </w:rPr>
            </w:pPr>
            <w:r>
              <w:rPr>
                <w:rFonts w:hint="eastAsia" w:ascii="宋体" w:hAnsi="宋体"/>
                <w:bCs/>
                <w:color w:val="000000"/>
                <w:szCs w:val="21"/>
              </w:rPr>
              <w:t>生产用水损耗</w:t>
            </w:r>
          </w:p>
        </w:tc>
        <w:tc>
          <w:tcPr>
            <w:tcW w:w="805" w:type="dxa"/>
            <w:noWrap w:val="0"/>
            <w:vAlign w:val="center"/>
          </w:tcPr>
          <w:p>
            <w:pPr>
              <w:autoSpaceDE w:val="0"/>
              <w:autoSpaceDN w:val="0"/>
              <w:jc w:val="center"/>
              <w:rPr>
                <w:rFonts w:hint="eastAsia" w:ascii="宋体" w:hAnsi="宋体"/>
                <w:color w:val="000000"/>
                <w:szCs w:val="21"/>
                <w:lang w:val="zh-CN"/>
              </w:rPr>
            </w:pP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9</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11</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10</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铅精矿(含铅)</w:t>
            </w:r>
          </w:p>
        </w:tc>
        <w:tc>
          <w:tcPr>
            <w:tcW w:w="805"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12.3</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12.68</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12.64</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12.54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center"/>
          </w:tcPr>
          <w:p>
            <w:pPr>
              <w:widowControl/>
              <w:jc w:val="center"/>
              <w:rPr>
                <w:rFonts w:hint="eastAsia" w:ascii="宋体" w:hAnsi="宋体" w:cs="宋体"/>
                <w:color w:val="000000"/>
                <w:kern w:val="0"/>
                <w:szCs w:val="21"/>
              </w:rPr>
            </w:pPr>
            <w:r>
              <w:rPr>
                <w:rFonts w:hint="eastAsia" w:ascii="宋体" w:hAnsi="宋体"/>
                <w:color w:val="000000"/>
                <w:szCs w:val="21"/>
              </w:rPr>
              <w:t>尾矿渣含铅</w:t>
            </w:r>
          </w:p>
        </w:tc>
        <w:tc>
          <w:tcPr>
            <w:tcW w:w="805" w:type="dxa"/>
            <w:noWrap w:val="0"/>
            <w:vAlign w:val="center"/>
          </w:tcPr>
          <w:p>
            <w:pPr>
              <w:autoSpaceDE w:val="0"/>
              <w:autoSpaceDN w:val="0"/>
              <w:jc w:val="center"/>
              <w:rPr>
                <w:rFonts w:hint="eastAsia" w:ascii="宋体" w:hAnsi="宋体"/>
                <w:color w:val="000000"/>
                <w:szCs w:val="21"/>
                <w:lang w:val="zh-CN"/>
              </w:rPr>
            </w:pP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1.6</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1.65</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1.64</w:t>
            </w:r>
          </w:p>
        </w:tc>
        <w:tc>
          <w:tcPr>
            <w:tcW w:w="1598" w:type="dxa"/>
            <w:noWrap w:val="0"/>
            <w:vAlign w:val="top"/>
          </w:tcPr>
          <w:p>
            <w:pPr>
              <w:jc w:val="center"/>
              <w:rPr>
                <w:rFonts w:hint="eastAsia" w:ascii="宋体" w:hAnsi="宋体"/>
                <w:color w:val="000000"/>
                <w:szCs w:val="21"/>
              </w:rPr>
            </w:pPr>
            <w:r>
              <w:rPr>
                <w:rFonts w:hint="eastAsia" w:ascii="宋体" w:hAnsi="宋体"/>
                <w:color w:val="000000"/>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center"/>
          </w:tcPr>
          <w:p>
            <w:pPr>
              <w:widowControl/>
              <w:jc w:val="center"/>
              <w:rPr>
                <w:rFonts w:hint="eastAsia" w:ascii="宋体" w:hAnsi="宋体" w:cs="宋体"/>
                <w:color w:val="000000"/>
                <w:kern w:val="0"/>
                <w:szCs w:val="21"/>
              </w:rPr>
            </w:pPr>
            <w:r>
              <w:rPr>
                <w:rFonts w:hint="eastAsia" w:ascii="宋体" w:hAnsi="宋体"/>
                <w:color w:val="000000"/>
                <w:szCs w:val="21"/>
              </w:rPr>
              <w:t>尾矿水含铅</w:t>
            </w:r>
          </w:p>
        </w:tc>
        <w:tc>
          <w:tcPr>
            <w:tcW w:w="805"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0.13</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0.13</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0.13</w:t>
            </w:r>
          </w:p>
        </w:tc>
        <w:tc>
          <w:tcPr>
            <w:tcW w:w="1598" w:type="dxa"/>
            <w:noWrap w:val="0"/>
            <w:vAlign w:val="top"/>
          </w:tcPr>
          <w:p>
            <w:pPr>
              <w:jc w:val="center"/>
              <w:rPr>
                <w:rFonts w:hint="eastAsia" w:ascii="宋体" w:hAnsi="宋体"/>
                <w:bCs/>
                <w:color w:val="000000"/>
                <w:szCs w:val="21"/>
              </w:rPr>
            </w:pPr>
            <w:r>
              <w:rPr>
                <w:rFonts w:hint="eastAsia" w:ascii="宋体" w:hAnsi="宋体"/>
                <w:color w:val="000000"/>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center"/>
          </w:tcPr>
          <w:p>
            <w:pPr>
              <w:widowControl/>
              <w:jc w:val="center"/>
              <w:rPr>
                <w:rFonts w:hint="eastAsia" w:ascii="宋体" w:hAnsi="宋体" w:cs="宋体"/>
                <w:color w:val="000000"/>
                <w:kern w:val="0"/>
                <w:szCs w:val="21"/>
              </w:rPr>
            </w:pPr>
            <w:r>
              <w:rPr>
                <w:rFonts w:hint="eastAsia" w:ascii="宋体" w:hAnsi="宋体" w:cs="宋体"/>
                <w:color w:val="000000"/>
                <w:kern w:val="0"/>
                <w:szCs w:val="21"/>
              </w:rPr>
              <w:t>锌精矿(含锌)</w:t>
            </w:r>
          </w:p>
        </w:tc>
        <w:tc>
          <w:tcPr>
            <w:tcW w:w="805"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30.02</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30.96</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30.85</w:t>
            </w:r>
          </w:p>
        </w:tc>
        <w:tc>
          <w:tcPr>
            <w:tcW w:w="1598" w:type="dxa"/>
            <w:noWrap w:val="0"/>
            <w:vAlign w:val="top"/>
          </w:tcPr>
          <w:p>
            <w:pPr>
              <w:jc w:val="center"/>
              <w:rPr>
                <w:rFonts w:hint="eastAsia" w:ascii="宋体" w:hAnsi="宋体"/>
                <w:bCs/>
                <w:color w:val="000000"/>
                <w:szCs w:val="21"/>
              </w:rPr>
            </w:pPr>
            <w:r>
              <w:rPr>
                <w:rFonts w:hint="eastAsia" w:ascii="宋体" w:hAnsi="宋体"/>
                <w:bCs/>
                <w:color w:val="000000"/>
                <w:szCs w:val="21"/>
              </w:rPr>
              <w:t>30.61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尾矿渣含锌</w:t>
            </w:r>
          </w:p>
        </w:tc>
        <w:tc>
          <w:tcPr>
            <w:tcW w:w="805" w:type="dxa"/>
            <w:noWrap w:val="0"/>
            <w:vAlign w:val="center"/>
          </w:tcPr>
          <w:p>
            <w:pPr>
              <w:autoSpaceDE w:val="0"/>
              <w:autoSpaceDN w:val="0"/>
              <w:jc w:val="center"/>
              <w:rPr>
                <w:rFonts w:hint="eastAsia" w:ascii="宋体" w:hAnsi="宋体"/>
                <w:color w:val="000000"/>
                <w:szCs w:val="21"/>
                <w:lang w:val="zh-CN"/>
              </w:rPr>
            </w:pPr>
            <w:r>
              <w:rPr>
                <w:rFonts w:hint="eastAsia" w:ascii="宋体" w:hAnsi="宋体"/>
                <w:color w:val="000000"/>
                <w:szCs w:val="21"/>
                <w:lang w:val="zh-CN"/>
              </w:rPr>
              <w:t>t</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4.09</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4.22</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4.2</w:t>
            </w:r>
          </w:p>
        </w:tc>
        <w:tc>
          <w:tcPr>
            <w:tcW w:w="1598"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9" w:hRule="atLeast"/>
        </w:trPr>
        <w:tc>
          <w:tcPr>
            <w:tcW w:w="1270" w:type="dxa"/>
            <w:vMerge w:val="continue"/>
            <w:noWrap w:val="0"/>
            <w:vAlign w:val="top"/>
          </w:tcPr>
          <w:p>
            <w:pPr>
              <w:jc w:val="center"/>
              <w:rPr>
                <w:rFonts w:hint="eastAsia" w:ascii="宋体" w:hAnsi="宋体"/>
                <w:bCs/>
                <w:color w:val="000000"/>
                <w:szCs w:val="21"/>
              </w:rPr>
            </w:pPr>
          </w:p>
        </w:tc>
        <w:tc>
          <w:tcPr>
            <w:tcW w:w="1904"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尾矿水含锌</w:t>
            </w:r>
          </w:p>
        </w:tc>
        <w:tc>
          <w:tcPr>
            <w:tcW w:w="805" w:type="dxa"/>
            <w:noWrap w:val="0"/>
            <w:vAlign w:val="top"/>
          </w:tcPr>
          <w:p>
            <w:pPr>
              <w:spacing w:line="320" w:lineRule="exact"/>
              <w:jc w:val="center"/>
              <w:rPr>
                <w:rFonts w:hint="eastAsia" w:ascii="宋体" w:hAnsi="宋体"/>
                <w:color w:val="000000"/>
                <w:szCs w:val="21"/>
              </w:rPr>
            </w:pP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0.26</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0.27</w:t>
            </w:r>
          </w:p>
        </w:tc>
        <w:tc>
          <w:tcPr>
            <w:tcW w:w="1148" w:type="dxa"/>
            <w:noWrap w:val="0"/>
            <w:vAlign w:val="top"/>
          </w:tcPr>
          <w:p>
            <w:pPr>
              <w:jc w:val="center"/>
              <w:rPr>
                <w:rFonts w:hint="eastAsia" w:ascii="宋体" w:hAnsi="宋体"/>
                <w:bCs/>
                <w:color w:val="000000"/>
                <w:szCs w:val="21"/>
              </w:rPr>
            </w:pPr>
            <w:r>
              <w:rPr>
                <w:rFonts w:hint="eastAsia" w:ascii="宋体" w:hAnsi="宋体"/>
                <w:bCs/>
                <w:color w:val="000000"/>
                <w:szCs w:val="21"/>
              </w:rPr>
              <w:t>0.27</w:t>
            </w:r>
          </w:p>
        </w:tc>
        <w:tc>
          <w:tcPr>
            <w:tcW w:w="1598"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0.27</w:t>
            </w:r>
          </w:p>
        </w:tc>
      </w:tr>
    </w:tbl>
    <w:p>
      <w:pPr>
        <w:spacing w:before="240" w:beforeLines="100" w:line="360" w:lineRule="auto"/>
        <w:ind w:firstLine="480" w:firstLineChars="200"/>
        <w:rPr>
          <w:rFonts w:hint="eastAsia" w:ascii="宋体" w:hAnsi="宋体"/>
          <w:color w:val="000000"/>
          <w:sz w:val="24"/>
          <w:szCs w:val="24"/>
        </w:rPr>
      </w:pPr>
      <w:r>
        <w:rPr>
          <w:rFonts w:hint="eastAsia" w:ascii="宋体" w:hAnsi="宋体"/>
          <w:color w:val="000000"/>
          <w:sz w:val="24"/>
          <w:szCs w:val="24"/>
        </w:rPr>
        <w:t>说明：1、原矿含铅5.5%，含锌13.48%。2、铅精矿品位60%，锌精矿品位65%。</w:t>
      </w:r>
    </w:p>
    <w:p>
      <w:pPr>
        <w:pStyle w:val="5"/>
        <w:spacing w:before="120" w:after="120" w:line="360" w:lineRule="auto"/>
        <w:rPr>
          <w:rFonts w:hint="eastAsia" w:ascii="宋体" w:hAnsi="宋体"/>
          <w:color w:val="000000"/>
          <w:sz w:val="28"/>
          <w:szCs w:val="28"/>
          <w:lang w:val="en-GB"/>
        </w:rPr>
      </w:pPr>
      <w:bookmarkStart w:id="381" w:name="_Toc14962"/>
      <w:bookmarkStart w:id="382" w:name="_Toc415316059"/>
      <w:bookmarkStart w:id="383" w:name="_Toc453617010"/>
      <w:bookmarkStart w:id="384" w:name="_Toc23000903"/>
      <w:r>
        <w:rPr>
          <w:rFonts w:hint="eastAsia" w:ascii="宋体" w:hAnsi="宋体"/>
          <w:color w:val="000000"/>
          <w:sz w:val="28"/>
          <w:szCs w:val="28"/>
          <w:lang w:val="en-GB"/>
        </w:rPr>
        <w:t>3.2.3 重点车间物料平衡</w:t>
      </w:r>
      <w:bookmarkEnd w:id="381"/>
      <w:bookmarkEnd w:id="382"/>
      <w:bookmarkEnd w:id="383"/>
      <w:bookmarkEnd w:id="384"/>
    </w:p>
    <w:p>
      <w:pPr>
        <w:pStyle w:val="89"/>
        <w:spacing w:beforeLines="0"/>
        <w:ind w:firstLine="480"/>
        <w:rPr>
          <w:rFonts w:hint="eastAsia"/>
          <w:color w:val="000000"/>
          <w:sz w:val="24"/>
        </w:rPr>
      </w:pPr>
      <w:r>
        <w:rPr>
          <w:rFonts w:hint="eastAsia"/>
          <w:color w:val="000000"/>
          <w:sz w:val="24"/>
        </w:rPr>
        <w:t>（1）建立物料平衡</w:t>
      </w:r>
    </w:p>
    <w:p>
      <w:pPr>
        <w:pStyle w:val="89"/>
        <w:spacing w:beforeLines="0"/>
        <w:ind w:firstLine="480"/>
        <w:rPr>
          <w:rFonts w:hint="eastAsia"/>
          <w:color w:val="000000"/>
          <w:sz w:val="24"/>
        </w:rPr>
      </w:pPr>
      <w:r>
        <w:rPr>
          <w:rFonts w:hint="eastAsia"/>
          <w:color w:val="000000"/>
          <w:sz w:val="24"/>
        </w:rPr>
        <w:t>根据物料平衡原理及实测数据，绘制审核重点物料平衡图，审核重点物料平衡见图 3-3。</w:t>
      </w:r>
    </w:p>
    <w:p>
      <w:pPr>
        <w:rPr>
          <w:rFonts w:hint="eastAsia"/>
          <w:b/>
          <w:color w:val="000000"/>
          <w:sz w:val="28"/>
          <w:szCs w:val="28"/>
        </w:rPr>
      </w:pPr>
      <w:r>
        <w:rPr>
          <w:color w:val="000000"/>
          <w:lang/>
        </w:rPr>
        <mc:AlternateContent>
          <mc:Choice Requires="wpg">
            <w:drawing>
              <wp:anchor distT="0" distB="0" distL="114300" distR="114300" simplePos="0" relativeHeight="251673600" behindDoc="0" locked="0" layoutInCell="1" allowOverlap="1">
                <wp:simplePos x="0" y="0"/>
                <wp:positionH relativeFrom="column">
                  <wp:posOffset>685800</wp:posOffset>
                </wp:positionH>
                <wp:positionV relativeFrom="paragraph">
                  <wp:posOffset>198755</wp:posOffset>
                </wp:positionV>
                <wp:extent cx="5031105" cy="2674620"/>
                <wp:effectExtent l="4445" t="6350" r="0" b="0"/>
                <wp:wrapNone/>
                <wp:docPr id="130" name="组合 6862"/>
                <wp:cNvGraphicFramePr/>
                <a:graphic xmlns:a="http://schemas.openxmlformats.org/drawingml/2006/main">
                  <a:graphicData uri="http://schemas.microsoft.com/office/word/2010/wordprocessingGroup">
                    <wpg:wgp>
                      <wpg:cNvGrpSpPr/>
                      <wpg:grpSpPr>
                        <a:xfrm>
                          <a:off x="0" y="0"/>
                          <a:ext cx="5031105" cy="2674620"/>
                          <a:chOff x="3035" y="3861"/>
                          <a:chExt cx="7923" cy="4265"/>
                        </a:xfrm>
                      </wpg:grpSpPr>
                      <wps:wsp>
                        <wps:cNvPr id="108" name="Line 1229"/>
                        <wps:cNvSpPr/>
                        <wps:spPr>
                          <a:xfrm>
                            <a:off x="7178" y="6254"/>
                            <a:ext cx="720" cy="0"/>
                          </a:xfrm>
                          <a:prstGeom prst="line">
                            <a:avLst/>
                          </a:prstGeom>
                          <a:ln w="12700" cap="flat" cmpd="sng">
                            <a:solidFill>
                              <a:srgbClr val="000000"/>
                            </a:solidFill>
                            <a:prstDash val="solid"/>
                            <a:headEnd type="none" w="med" len="med"/>
                            <a:tailEnd type="triangle" w="med" len="med"/>
                          </a:ln>
                        </wps:spPr>
                        <wps:bodyPr upright="1"/>
                      </wps:wsp>
                      <wps:wsp>
                        <wps:cNvPr id="109" name="Rectangle 1230"/>
                        <wps:cNvSpPr/>
                        <wps:spPr>
                          <a:xfrm>
                            <a:off x="3038" y="4538"/>
                            <a:ext cx="1803" cy="415"/>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rPr>
                              </w:pPr>
                              <w:r>
                                <w:rPr>
                                  <w:rFonts w:hint="eastAsia" w:ascii="宋体" w:hAnsi="宋体"/>
                                  <w:kern w:val="0"/>
                                  <w:szCs w:val="21"/>
                                </w:rPr>
                                <w:t>选矿药剂0.35</w:t>
                              </w:r>
                            </w:p>
                          </w:txbxContent>
                        </wps:txbx>
                        <wps:bodyPr wrap="square" upright="1"/>
                      </wps:wsp>
                      <wps:wsp>
                        <wps:cNvPr id="110" name="Text Box 1231"/>
                        <wps:cNvSpPr txBox="1"/>
                        <wps:spPr>
                          <a:xfrm>
                            <a:off x="9338" y="5474"/>
                            <a:ext cx="1620" cy="426"/>
                          </a:xfrm>
                          <a:prstGeom prst="rect">
                            <a:avLst/>
                          </a:prstGeom>
                          <a:noFill/>
                          <a:ln w="12700">
                            <a:noFill/>
                          </a:ln>
                        </wps:spPr>
                        <wps:txbx>
                          <w:txbxContent>
                            <w:p>
                              <w:pPr>
                                <w:rPr>
                                  <w:rFonts w:hint="eastAsia"/>
                                </w:rPr>
                              </w:pPr>
                            </w:p>
                          </w:txbxContent>
                        </wps:txbx>
                        <wps:bodyPr wrap="square" upright="1"/>
                      </wps:wsp>
                      <wps:wsp>
                        <wps:cNvPr id="111" name="Line 1232"/>
                        <wps:cNvSpPr/>
                        <wps:spPr>
                          <a:xfrm>
                            <a:off x="4475" y="4881"/>
                            <a:ext cx="1081" cy="1"/>
                          </a:xfrm>
                          <a:prstGeom prst="line">
                            <a:avLst/>
                          </a:prstGeom>
                          <a:ln w="12700" cap="flat" cmpd="sng">
                            <a:solidFill>
                              <a:srgbClr val="000000"/>
                            </a:solidFill>
                            <a:prstDash val="solid"/>
                            <a:headEnd type="none" w="med" len="med"/>
                            <a:tailEnd type="triangle" w="med" len="med"/>
                          </a:ln>
                        </wps:spPr>
                        <wps:bodyPr upright="1"/>
                      </wps:wsp>
                      <wps:wsp>
                        <wps:cNvPr id="112" name="Rectangle 1233"/>
                        <wps:cNvSpPr/>
                        <wps:spPr>
                          <a:xfrm>
                            <a:off x="3215" y="3945"/>
                            <a:ext cx="1710" cy="415"/>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rPr>
                              </w:pPr>
                              <w:r>
                                <w:rPr>
                                  <w:rFonts w:hint="eastAsia" w:ascii="宋体" w:hAnsi="宋体"/>
                                  <w:kern w:val="0"/>
                                  <w:szCs w:val="21"/>
                                </w:rPr>
                                <w:t>原矿260</w:t>
                              </w:r>
                            </w:p>
                          </w:txbxContent>
                        </wps:txbx>
                        <wps:bodyPr wrap="square" upright="1"/>
                      </wps:wsp>
                      <wps:wsp>
                        <wps:cNvPr id="113" name="Line 1235"/>
                        <wps:cNvSpPr/>
                        <wps:spPr>
                          <a:xfrm>
                            <a:off x="4475" y="4257"/>
                            <a:ext cx="1080" cy="1"/>
                          </a:xfrm>
                          <a:prstGeom prst="line">
                            <a:avLst/>
                          </a:prstGeom>
                          <a:ln w="12700" cap="flat" cmpd="sng">
                            <a:solidFill>
                              <a:srgbClr val="000000"/>
                            </a:solidFill>
                            <a:prstDash val="solid"/>
                            <a:headEnd type="none" w="med" len="med"/>
                            <a:tailEnd type="triangle" w="med" len="med"/>
                          </a:ln>
                        </wps:spPr>
                        <wps:bodyPr upright="1"/>
                      </wps:wsp>
                      <wps:wsp>
                        <wps:cNvPr id="114" name="Text Box 1236"/>
                        <wps:cNvSpPr txBox="1"/>
                        <wps:spPr>
                          <a:xfrm>
                            <a:off x="5561" y="3861"/>
                            <a:ext cx="1617" cy="3017"/>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b/>
                                  <w:sz w:val="32"/>
                                  <w:szCs w:val="32"/>
                                </w:rPr>
                              </w:pPr>
                            </w:p>
                            <w:p>
                              <w:pPr>
                                <w:jc w:val="center"/>
                                <w:rPr>
                                  <w:rFonts w:hint="eastAsia"/>
                                  <w:bCs/>
                                  <w:sz w:val="44"/>
                                  <w:szCs w:val="44"/>
                                </w:rPr>
                              </w:pPr>
                              <w:r>
                                <w:rPr>
                                  <w:rFonts w:hint="eastAsia"/>
                                  <w:bCs/>
                                  <w:sz w:val="44"/>
                                  <w:szCs w:val="44"/>
                                </w:rPr>
                                <w:t>选</w:t>
                              </w:r>
                            </w:p>
                            <w:p>
                              <w:pPr>
                                <w:jc w:val="center"/>
                                <w:rPr>
                                  <w:rFonts w:hint="eastAsia"/>
                                  <w:bCs/>
                                  <w:sz w:val="44"/>
                                  <w:szCs w:val="44"/>
                                </w:rPr>
                              </w:pPr>
                              <w:r>
                                <w:rPr>
                                  <w:rFonts w:hint="eastAsia"/>
                                  <w:bCs/>
                                  <w:sz w:val="44"/>
                                  <w:szCs w:val="44"/>
                                </w:rPr>
                                <w:t>矿</w:t>
                              </w:r>
                            </w:p>
                            <w:p>
                              <w:pPr>
                                <w:jc w:val="center"/>
                                <w:rPr>
                                  <w:rFonts w:hint="eastAsia"/>
                                  <w:bCs/>
                                  <w:sz w:val="44"/>
                                  <w:szCs w:val="44"/>
                                </w:rPr>
                              </w:pPr>
                              <w:r>
                                <w:rPr>
                                  <w:rFonts w:hint="eastAsia"/>
                                  <w:bCs/>
                                  <w:sz w:val="44"/>
                                  <w:szCs w:val="44"/>
                                </w:rPr>
                                <w:t>厂</w:t>
                              </w:r>
                            </w:p>
                          </w:txbxContent>
                        </wps:txbx>
                        <wps:bodyPr wrap="square" upright="1"/>
                      </wps:wsp>
                      <wps:wsp>
                        <wps:cNvPr id="115" name="Rectangle 1237"/>
                        <wps:cNvSpPr/>
                        <wps:spPr>
                          <a:xfrm>
                            <a:off x="7898" y="5942"/>
                            <a:ext cx="1800" cy="45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rPr>
                              </w:pPr>
                              <w:r>
                                <w:rPr>
                                  <w:rFonts w:hint="eastAsia"/>
                                </w:rPr>
                                <w:t>鲜水损耗10</w:t>
                              </w:r>
                            </w:p>
                          </w:txbxContent>
                        </wps:txbx>
                        <wps:bodyPr wrap="square" upright="1"/>
                      </wps:wsp>
                      <wps:wsp>
                        <wps:cNvPr id="116" name="Text Box 1238"/>
                        <wps:cNvSpPr txBox="1"/>
                        <wps:spPr>
                          <a:xfrm>
                            <a:off x="3038" y="5318"/>
                            <a:ext cx="1443" cy="416"/>
                          </a:xfrm>
                          <a:prstGeom prst="rect">
                            <a:avLst/>
                          </a:prstGeom>
                          <a:noFill/>
                          <a:ln w="12700">
                            <a:noFill/>
                          </a:ln>
                        </wps:spPr>
                        <wps:txbx>
                          <w:txbxContent>
                            <w:p>
                              <w:pPr>
                                <w:rPr>
                                  <w:rFonts w:hint="eastAsia"/>
                                </w:rPr>
                              </w:pPr>
                              <w:r>
                                <w:rPr>
                                  <w:rFonts w:hint="eastAsia" w:ascii="宋体" w:hAnsi="宋体"/>
                                  <w:kern w:val="0"/>
                                  <w:szCs w:val="21"/>
                                </w:rPr>
                                <w:t>新鲜水180</w:t>
                              </w:r>
                            </w:p>
                          </w:txbxContent>
                        </wps:txbx>
                        <wps:bodyPr wrap="square" upright="1"/>
                      </wps:wsp>
                      <wps:wsp>
                        <wps:cNvPr id="117" name="Text Box 1239"/>
                        <wps:cNvSpPr txBox="1"/>
                        <wps:spPr>
                          <a:xfrm>
                            <a:off x="7898" y="5006"/>
                            <a:ext cx="2340" cy="569"/>
                          </a:xfrm>
                          <a:prstGeom prst="rect">
                            <a:avLst/>
                          </a:prstGeom>
                          <a:noFill/>
                          <a:ln w="12700">
                            <a:noFill/>
                          </a:ln>
                        </wps:spPr>
                        <wps:txbx>
                          <w:txbxContent>
                            <w:p>
                              <w:pPr>
                                <w:rPr>
                                  <w:rFonts w:hint="eastAsia"/>
                                  <w:color w:val="000000"/>
                                </w:rPr>
                              </w:pPr>
                              <w:r>
                                <w:rPr>
                                  <w:rFonts w:hint="eastAsia" w:ascii="宋体" w:hAnsi="宋体"/>
                                  <w:color w:val="000000"/>
                                  <w:szCs w:val="21"/>
                                </w:rPr>
                                <w:t>尾矿渣（含水</w:t>
                              </w:r>
                              <w:r>
                                <w:rPr>
                                  <w:rFonts w:ascii="宋体" w:hAnsi="宋体"/>
                                  <w:color w:val="000000"/>
                                  <w:szCs w:val="21"/>
                                </w:rPr>
                                <w:t>）</w:t>
                              </w:r>
                              <w:r>
                                <w:rPr>
                                  <w:rFonts w:hint="eastAsia" w:ascii="宋体" w:hAnsi="宋体"/>
                                  <w:color w:val="000000"/>
                                  <w:szCs w:val="21"/>
                                </w:rPr>
                                <w:t>372.85</w:t>
                              </w:r>
                            </w:p>
                          </w:txbxContent>
                        </wps:txbx>
                        <wps:bodyPr wrap="square" upright="1"/>
                      </wps:wsp>
                      <wps:wsp>
                        <wps:cNvPr id="118" name="Line 1240"/>
                        <wps:cNvSpPr/>
                        <wps:spPr>
                          <a:xfrm>
                            <a:off x="6278" y="6878"/>
                            <a:ext cx="1" cy="599"/>
                          </a:xfrm>
                          <a:prstGeom prst="line">
                            <a:avLst/>
                          </a:prstGeom>
                          <a:ln w="12700" cap="flat" cmpd="sng">
                            <a:solidFill>
                              <a:srgbClr val="000000"/>
                            </a:solidFill>
                            <a:prstDash val="solid"/>
                            <a:headEnd type="none" w="med" len="med"/>
                            <a:tailEnd type="triangle" w="med" len="med"/>
                          </a:ln>
                        </wps:spPr>
                        <wps:bodyPr upright="1"/>
                      </wps:wsp>
                      <wps:wsp>
                        <wps:cNvPr id="119" name="Text Box 1241"/>
                        <wps:cNvSpPr txBox="1"/>
                        <wps:spPr>
                          <a:xfrm>
                            <a:off x="4838" y="7658"/>
                            <a:ext cx="1620" cy="468"/>
                          </a:xfrm>
                          <a:prstGeom prst="rect">
                            <a:avLst/>
                          </a:prstGeom>
                          <a:noFill/>
                          <a:ln w="12700">
                            <a:noFill/>
                          </a:ln>
                        </wps:spPr>
                        <wps:txbx>
                          <w:txbxContent>
                            <w:p>
                              <w:pPr>
                                <w:rPr>
                                  <w:rFonts w:hint="eastAsia"/>
                                </w:rPr>
                              </w:pPr>
                              <w:r>
                                <w:rPr>
                                  <w:rFonts w:hint="eastAsia"/>
                                </w:rPr>
                                <w:t>铅精矿12.54</w:t>
                              </w:r>
                            </w:p>
                          </w:txbxContent>
                        </wps:txbx>
                        <wps:bodyPr wrap="square" upright="1"/>
                      </wps:wsp>
                      <wps:wsp>
                        <wps:cNvPr id="120" name="Line 1246"/>
                        <wps:cNvSpPr/>
                        <wps:spPr>
                          <a:xfrm>
                            <a:off x="4475" y="5505"/>
                            <a:ext cx="1080" cy="0"/>
                          </a:xfrm>
                          <a:prstGeom prst="line">
                            <a:avLst/>
                          </a:prstGeom>
                          <a:ln w="12700" cap="flat" cmpd="sng">
                            <a:solidFill>
                              <a:srgbClr val="000000"/>
                            </a:solidFill>
                            <a:prstDash val="solid"/>
                            <a:headEnd type="none" w="med" len="med"/>
                            <a:tailEnd type="triangle" w="med" len="med"/>
                          </a:ln>
                        </wps:spPr>
                        <wps:bodyPr upright="1"/>
                      </wps:wsp>
                      <wps:wsp>
                        <wps:cNvPr id="121" name="Line 1247"/>
                        <wps:cNvSpPr/>
                        <wps:spPr>
                          <a:xfrm>
                            <a:off x="7178" y="5318"/>
                            <a:ext cx="720" cy="0"/>
                          </a:xfrm>
                          <a:prstGeom prst="line">
                            <a:avLst/>
                          </a:prstGeom>
                          <a:ln w="12700" cap="flat" cmpd="sng">
                            <a:solidFill>
                              <a:srgbClr val="000000"/>
                            </a:solidFill>
                            <a:prstDash val="solid"/>
                            <a:headEnd type="none" w="med" len="med"/>
                            <a:tailEnd type="triangle" w="med" len="med"/>
                          </a:ln>
                        </wps:spPr>
                        <wps:bodyPr upright="1"/>
                      </wps:wsp>
                      <wps:wsp>
                        <wps:cNvPr id="122" name="Rectangle 1249"/>
                        <wps:cNvSpPr/>
                        <wps:spPr>
                          <a:xfrm>
                            <a:off x="8078" y="6566"/>
                            <a:ext cx="2294" cy="458"/>
                          </a:xfrm>
                          <a:prstGeom prst="rect">
                            <a:avLst/>
                          </a:prstGeom>
                          <a:solidFill>
                            <a:srgbClr val="FFFFFF"/>
                          </a:solidFill>
                          <a:ln w="12700" cap="flat" cmpd="sng">
                            <a:solidFill>
                              <a:srgbClr val="FFFFFF"/>
                            </a:solidFill>
                            <a:prstDash val="solid"/>
                            <a:miter/>
                            <a:headEnd type="none" w="med" len="med"/>
                            <a:tailEnd type="none" w="med" len="med"/>
                          </a:ln>
                        </wps:spPr>
                        <wps:txbx>
                          <w:txbxContent>
                            <w:p>
                              <w:pPr>
                                <w:rPr>
                                  <w:rFonts w:hint="eastAsia"/>
                                </w:rPr>
                              </w:pPr>
                            </w:p>
                          </w:txbxContent>
                        </wps:txbx>
                        <wps:bodyPr wrap="square" upright="1"/>
                      </wps:wsp>
                      <wps:wsp>
                        <wps:cNvPr id="123" name="Line 1354"/>
                        <wps:cNvSpPr/>
                        <wps:spPr>
                          <a:xfrm>
                            <a:off x="4475" y="6255"/>
                            <a:ext cx="1080" cy="0"/>
                          </a:xfrm>
                          <a:prstGeom prst="line">
                            <a:avLst/>
                          </a:prstGeom>
                          <a:ln w="12700" cap="flat" cmpd="sng">
                            <a:solidFill>
                              <a:srgbClr val="000000"/>
                            </a:solidFill>
                            <a:prstDash val="solid"/>
                            <a:headEnd type="none" w="med" len="med"/>
                            <a:tailEnd type="triangle" w="med" len="med"/>
                          </a:ln>
                        </wps:spPr>
                        <wps:bodyPr upright="1"/>
                      </wps:wsp>
                      <wps:wsp>
                        <wps:cNvPr id="124" name="Text Box 1355"/>
                        <wps:cNvSpPr txBox="1"/>
                        <wps:spPr>
                          <a:xfrm>
                            <a:off x="3035" y="6099"/>
                            <a:ext cx="1710" cy="572"/>
                          </a:xfrm>
                          <a:prstGeom prst="rect">
                            <a:avLst/>
                          </a:prstGeom>
                          <a:noFill/>
                          <a:ln w="12700">
                            <a:noFill/>
                          </a:ln>
                        </wps:spPr>
                        <wps:txbx>
                          <w:txbxContent>
                            <w:p>
                              <w:pPr>
                                <w:rPr>
                                  <w:rFonts w:hint="eastAsia"/>
                                </w:rPr>
                              </w:pPr>
                              <w:r>
                                <w:rPr>
                                  <w:rFonts w:hint="eastAsia" w:ascii="宋体" w:hAnsi="宋体"/>
                                  <w:kern w:val="0"/>
                                  <w:szCs w:val="21"/>
                                </w:rPr>
                                <w:t>循环水620</w:t>
                              </w:r>
                            </w:p>
                          </w:txbxContent>
                        </wps:txbx>
                        <wps:bodyPr wrap="square" upright="1"/>
                      </wps:wsp>
                      <wps:wsp>
                        <wps:cNvPr id="125" name="Line 1356"/>
                        <wps:cNvSpPr/>
                        <wps:spPr>
                          <a:xfrm>
                            <a:off x="6818" y="6878"/>
                            <a:ext cx="1" cy="624"/>
                          </a:xfrm>
                          <a:prstGeom prst="line">
                            <a:avLst/>
                          </a:prstGeom>
                          <a:ln w="12700" cap="flat" cmpd="sng">
                            <a:solidFill>
                              <a:srgbClr val="000000"/>
                            </a:solidFill>
                            <a:prstDash val="solid"/>
                            <a:headEnd type="none" w="med" len="med"/>
                            <a:tailEnd type="triangle" w="med" len="med"/>
                          </a:ln>
                        </wps:spPr>
                        <wps:bodyPr upright="1"/>
                      </wps:wsp>
                      <wps:wsp>
                        <wps:cNvPr id="126" name="Text Box 1847"/>
                        <wps:cNvSpPr txBox="1"/>
                        <wps:spPr>
                          <a:xfrm>
                            <a:off x="6638" y="7658"/>
                            <a:ext cx="1620" cy="468"/>
                          </a:xfrm>
                          <a:prstGeom prst="rect">
                            <a:avLst/>
                          </a:prstGeom>
                          <a:noFill/>
                          <a:ln w="12700">
                            <a:noFill/>
                          </a:ln>
                        </wps:spPr>
                        <wps:txbx>
                          <w:txbxContent>
                            <w:p>
                              <w:pPr>
                                <w:rPr>
                                  <w:rFonts w:hint="eastAsia"/>
                                </w:rPr>
                              </w:pPr>
                              <w:r>
                                <w:rPr>
                                  <w:rFonts w:hint="eastAsia"/>
                                </w:rPr>
                                <w:t>锌精矿30.61</w:t>
                              </w:r>
                            </w:p>
                          </w:txbxContent>
                        </wps:txbx>
                        <wps:bodyPr wrap="square" upright="1"/>
                      </wps:wsp>
                      <wps:wsp>
                        <wps:cNvPr id="127" name="直线 6859"/>
                        <wps:cNvSpPr/>
                        <wps:spPr>
                          <a:xfrm>
                            <a:off x="4478" y="6254"/>
                            <a:ext cx="0" cy="936"/>
                          </a:xfrm>
                          <a:prstGeom prst="line">
                            <a:avLst/>
                          </a:prstGeom>
                          <a:ln w="9525" cap="flat" cmpd="sng">
                            <a:solidFill>
                              <a:srgbClr val="000000"/>
                            </a:solidFill>
                            <a:prstDash val="solid"/>
                            <a:headEnd type="none" w="med" len="med"/>
                            <a:tailEnd type="none" w="med" len="med"/>
                          </a:ln>
                        </wps:spPr>
                        <wps:bodyPr upright="1"/>
                      </wps:wsp>
                      <wps:wsp>
                        <wps:cNvPr id="128" name="直线 6860"/>
                        <wps:cNvSpPr/>
                        <wps:spPr>
                          <a:xfrm>
                            <a:off x="4478" y="7190"/>
                            <a:ext cx="1440" cy="0"/>
                          </a:xfrm>
                          <a:prstGeom prst="line">
                            <a:avLst/>
                          </a:prstGeom>
                          <a:ln w="9525" cap="flat" cmpd="sng">
                            <a:solidFill>
                              <a:srgbClr val="000000"/>
                            </a:solidFill>
                            <a:prstDash val="solid"/>
                            <a:headEnd type="none" w="med" len="med"/>
                            <a:tailEnd type="none" w="med" len="med"/>
                          </a:ln>
                        </wps:spPr>
                        <wps:bodyPr upright="1"/>
                      </wps:wsp>
                      <wps:wsp>
                        <wps:cNvPr id="129" name="直线 6861"/>
                        <wps:cNvSpPr/>
                        <wps:spPr>
                          <a:xfrm flipH="1">
                            <a:off x="5918" y="6878"/>
                            <a:ext cx="0" cy="312"/>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6862" o:spid="_x0000_s1026" o:spt="203" style="position:absolute;left:0pt;margin-left:54pt;margin-top:15.65pt;height:210.6pt;width:396.15pt;z-index:251673600;mso-width-relative:page;mso-height-relative:page;" coordorigin="3035,3861" coordsize="7923,4265" o:gfxdata="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">
                <o:lock v:ext="edit" aspectratio="f"/>
                <v:line id="Line 1229" o:spid="_x0000_s1026" o:spt="20" style="position:absolute;left:7178;top:6254;height:0;width:720;" filled="f" stroked="t" coordsize="21600,21600" o:gfxdata="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fcG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rect id="Rectangle 1230" o:spid="_x0000_s1026" o:spt="1" style="position:absolute;left:3038;top:4538;height:415;width:1803;" fillcolor="#FFFFFF" filled="t" stroked="t" coordsize="21600,21600" o:gfxdata="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NMGr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rPr>
                        </w:pPr>
                        <w:r>
                          <w:rPr>
                            <w:rFonts w:hint="eastAsia" w:ascii="宋体" w:hAnsi="宋体"/>
                            <w:kern w:val="0"/>
                            <w:szCs w:val="21"/>
                          </w:rPr>
                          <w:t>选矿药剂0.35</w:t>
                        </w:r>
                      </w:p>
                    </w:txbxContent>
                  </v:textbox>
                </v:rect>
                <v:shape id="Text Box 1231" o:spid="_x0000_s1026" o:spt="202" type="#_x0000_t202" style="position:absolute;left:9338;top:5474;height:426;width:1620;" filled="f" stroked="f" coordsize="21600,21600" o:gfxdata="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Jtkx74A&#10;AADcAAAADwAAAAAAAAABACAAAAAiAAAAZHJzL2Rvd25yZXYueG1sUEsBAhQAFAAAAAgAh07iQDMv&#10;BZ47AAAAOQAAABAAAAAAAAAAAQAgAAAADQEAAGRycy9zaGFwZXhtbC54bWxQSwUGAAAAAAYABgBb&#10;AQAAtwMAAAAA&#10;">
                  <v:fill on="f" focussize="0,0"/>
                  <v:stroke on="f" weight="1pt"/>
                  <v:imagedata o:title=""/>
                  <o:lock v:ext="edit" aspectratio="f"/>
                  <v:textbox>
                    <w:txbxContent>
                      <w:p>
                        <w:pPr>
                          <w:rPr>
                            <w:rFonts w:hint="eastAsia"/>
                          </w:rPr>
                        </w:pPr>
                      </w:p>
                    </w:txbxContent>
                  </v:textbox>
                </v:shape>
                <v:line id="Line 1232" o:spid="_x0000_s1026" o:spt="20" style="position:absolute;left:4475;top:4881;height:1;width:1081;" filled="f" stroked="t" coordsize="21600,21600" o:gfxdata="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57+7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Rectangle 1233" o:spid="_x0000_s1026" o:spt="1" style="position:absolute;left:3215;top:3945;height:415;width:1710;" fillcolor="#FFFFFF" filled="t" stroked="t" coordsize="21600,21600" o:gfxdata="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5Itr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rPr>
                        </w:pPr>
                        <w:r>
                          <w:rPr>
                            <w:rFonts w:hint="eastAsia" w:ascii="宋体" w:hAnsi="宋体"/>
                            <w:kern w:val="0"/>
                            <w:szCs w:val="21"/>
                          </w:rPr>
                          <w:t>原矿260</w:t>
                        </w:r>
                      </w:p>
                    </w:txbxContent>
                  </v:textbox>
                </v:rect>
                <v:line id="Line 1235" o:spid="_x0000_s1026" o:spt="20" style="position:absolute;left:4475;top:4257;height:1;width:1080;" filled="f" stroked="t" coordsize="21600,21600" o:gfxdata="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ADFAr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1236" o:spid="_x0000_s1026" o:spt="202" type="#_x0000_t202" style="position:absolute;left:5561;top:3861;height:3017;width:1617;" fillcolor="#FFFFFF" filled="t" stroked="t" coordsize="21600,21600" o:gfxdata="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a07f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rFonts w:hint="eastAsia"/>
                            <w:b/>
                            <w:sz w:val="32"/>
                            <w:szCs w:val="32"/>
                          </w:rPr>
                        </w:pPr>
                      </w:p>
                      <w:p>
                        <w:pPr>
                          <w:jc w:val="center"/>
                          <w:rPr>
                            <w:rFonts w:hint="eastAsia"/>
                            <w:bCs/>
                            <w:sz w:val="44"/>
                            <w:szCs w:val="44"/>
                          </w:rPr>
                        </w:pPr>
                        <w:r>
                          <w:rPr>
                            <w:rFonts w:hint="eastAsia"/>
                            <w:bCs/>
                            <w:sz w:val="44"/>
                            <w:szCs w:val="44"/>
                          </w:rPr>
                          <w:t>选</w:t>
                        </w:r>
                      </w:p>
                      <w:p>
                        <w:pPr>
                          <w:jc w:val="center"/>
                          <w:rPr>
                            <w:rFonts w:hint="eastAsia"/>
                            <w:bCs/>
                            <w:sz w:val="44"/>
                            <w:szCs w:val="44"/>
                          </w:rPr>
                        </w:pPr>
                        <w:r>
                          <w:rPr>
                            <w:rFonts w:hint="eastAsia"/>
                            <w:bCs/>
                            <w:sz w:val="44"/>
                            <w:szCs w:val="44"/>
                          </w:rPr>
                          <w:t>矿</w:t>
                        </w:r>
                      </w:p>
                      <w:p>
                        <w:pPr>
                          <w:jc w:val="center"/>
                          <w:rPr>
                            <w:rFonts w:hint="eastAsia"/>
                            <w:bCs/>
                            <w:sz w:val="44"/>
                            <w:szCs w:val="44"/>
                          </w:rPr>
                        </w:pPr>
                        <w:r>
                          <w:rPr>
                            <w:rFonts w:hint="eastAsia"/>
                            <w:bCs/>
                            <w:sz w:val="44"/>
                            <w:szCs w:val="44"/>
                          </w:rPr>
                          <w:t>厂</w:t>
                        </w:r>
                      </w:p>
                    </w:txbxContent>
                  </v:textbox>
                </v:shape>
                <v:rect id="Rectangle 1237" o:spid="_x0000_s1026" o:spt="1" style="position:absolute;left:7898;top:5942;height:458;width:1800;" fillcolor="#FFFFFF" filled="t" stroked="t" coordsize="21600,21600" o:gfxdata="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fQwr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rPr>
                        </w:pPr>
                        <w:r>
                          <w:rPr>
                            <w:rFonts w:hint="eastAsia"/>
                          </w:rPr>
                          <w:t>鲜水损耗10</w:t>
                        </w:r>
                      </w:p>
                    </w:txbxContent>
                  </v:textbox>
                </v:rect>
                <v:shape id="Text Box 1238" o:spid="_x0000_s1026" o:spt="202" type="#_x0000_t202" style="position:absolute;left:3038;top:5318;height:416;width:1443;" filled="f" stroked="f" coordsize="21600,21600" o:gfxdata="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w+WSi/&#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rPr>
                            <w:rFonts w:hint="eastAsia"/>
                          </w:rPr>
                        </w:pPr>
                        <w:r>
                          <w:rPr>
                            <w:rFonts w:hint="eastAsia" w:ascii="宋体" w:hAnsi="宋体"/>
                            <w:kern w:val="0"/>
                            <w:szCs w:val="21"/>
                          </w:rPr>
                          <w:t>新鲜水180</w:t>
                        </w:r>
                      </w:p>
                    </w:txbxContent>
                  </v:textbox>
                </v:shape>
                <v:shape id="Text Box 1239" o:spid="_x0000_s1026" o:spt="202" type="#_x0000_t202" style="position:absolute;left:7898;top:5006;height:569;width:2340;" filled="f" stroked="f" coordsize="21600,21600" o:gfxdata="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cvyz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rPr>
                            <w:rFonts w:hint="eastAsia"/>
                            <w:color w:val="000000"/>
                          </w:rPr>
                        </w:pPr>
                        <w:r>
                          <w:rPr>
                            <w:rFonts w:hint="eastAsia" w:ascii="宋体" w:hAnsi="宋体"/>
                            <w:color w:val="000000"/>
                            <w:szCs w:val="21"/>
                          </w:rPr>
                          <w:t>尾矿渣（含水</w:t>
                        </w:r>
                        <w:r>
                          <w:rPr>
                            <w:rFonts w:ascii="宋体" w:hAnsi="宋体"/>
                            <w:color w:val="000000"/>
                            <w:szCs w:val="21"/>
                          </w:rPr>
                          <w:t>）</w:t>
                        </w:r>
                        <w:r>
                          <w:rPr>
                            <w:rFonts w:hint="eastAsia" w:ascii="宋体" w:hAnsi="宋体"/>
                            <w:color w:val="000000"/>
                            <w:szCs w:val="21"/>
                          </w:rPr>
                          <w:t>372.85</w:t>
                        </w:r>
                      </w:p>
                    </w:txbxContent>
                  </v:textbox>
                </v:shape>
                <v:line id="Line 1240" o:spid="_x0000_s1026" o:spt="20" style="position:absolute;left:6278;top:6878;height:599;width:1;" filled="f" stroked="t" coordsize="21600,21600" o:gfxdata="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epFdz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shape id="Text Box 1241" o:spid="_x0000_s1026" o:spt="202" type="#_x0000_t202" style="position:absolute;left:4838;top:7658;height:468;width:1620;" filled="f" stroked="f" coordsize="21600,21600" o:gfxdata="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oc1a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rPr>
                            <w:rFonts w:hint="eastAsia"/>
                          </w:rPr>
                        </w:pPr>
                        <w:r>
                          <w:rPr>
                            <w:rFonts w:hint="eastAsia"/>
                          </w:rPr>
                          <w:t>铅精矿12.54</w:t>
                        </w:r>
                      </w:p>
                    </w:txbxContent>
                  </v:textbox>
                </v:shape>
                <v:line id="Line 1246" o:spid="_x0000_s1026" o:spt="20" style="position:absolute;left:4475;top:5505;height:0;width:1080;" filled="f" stroked="t" coordsize="21600,21600" o:gfxdata="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vpHI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247" o:spid="_x0000_s1026" o:spt="20" style="position:absolute;left:7178;top:5318;height:0;width:720;" filled="f" stroked="t" coordsize="21600,21600" o:gfxdata="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fI0U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rect id="Rectangle 1249" o:spid="_x0000_s1026" o:spt="1" style="position:absolute;left:8078;top:6566;height:458;width:2294;" fillcolor="#FFFFFF" filled="t" stroked="t" coordsize="21600,21600" o:gfxdata="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QKCC7sAAADc&#10;AAAADwAAAAAAAAABACAAAAAiAAAAZHJzL2Rvd25yZXYueG1sUEsBAhQAFAAAAAgAh07iQDMvBZ47&#10;AAAAOQAAABAAAAAAAAAAAQAgAAAACgEAAGRycy9zaGFwZXhtbC54bWxQSwUGAAAAAAYABgBbAQAA&#10;tAMAAAAA&#10;">
                  <v:fill on="t" focussize="0,0"/>
                  <v:stroke weight="1pt" color="#FFFFFF" joinstyle="miter"/>
                  <v:imagedata o:title=""/>
                  <o:lock v:ext="edit" aspectratio="f"/>
                  <v:textbox>
                    <w:txbxContent>
                      <w:p>
                        <w:pPr>
                          <w:rPr>
                            <w:rFonts w:hint="eastAsia"/>
                          </w:rPr>
                        </w:pPr>
                      </w:p>
                    </w:txbxContent>
                  </v:textbox>
                </v:rect>
                <v:line id="Line 1354" o:spid="_x0000_s1026" o:spt="20" style="position:absolute;left:4475;top:6255;height:0;width:1080;" filled="f" stroked="t" coordsize="21600,21600" o:gfxdata="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mwPv7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1355" o:spid="_x0000_s1026" o:spt="202" type="#_x0000_t202" style="position:absolute;left:3035;top:6099;height:572;width:1710;" filled="f" stroked="f" coordsize="21600,21600" o:gfxdata="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zKh5vQAA&#10;ANwAAAAPAAAAAAAAAAEAIAAAACIAAABkcnMvZG93bnJldi54bWxQSwECFAAUAAAACACHTuJAMy8F&#10;njsAAAA5AAAAEAAAAAAAAAABACAAAAAMAQAAZHJzL3NoYXBleG1sLnhtbFBLBQYAAAAABgAGAFsB&#10;AAC2AwAAAAA=&#10;">
                  <v:fill on="f" focussize="0,0"/>
                  <v:stroke on="f" weight="1pt"/>
                  <v:imagedata o:title=""/>
                  <o:lock v:ext="edit" aspectratio="f"/>
                  <v:textbox>
                    <w:txbxContent>
                      <w:p>
                        <w:pPr>
                          <w:rPr>
                            <w:rFonts w:hint="eastAsia"/>
                          </w:rPr>
                        </w:pPr>
                        <w:r>
                          <w:rPr>
                            <w:rFonts w:hint="eastAsia" w:ascii="宋体" w:hAnsi="宋体"/>
                            <w:kern w:val="0"/>
                            <w:szCs w:val="21"/>
                          </w:rPr>
                          <w:t>循环水620</w:t>
                        </w:r>
                      </w:p>
                    </w:txbxContent>
                  </v:textbox>
                </v:shape>
                <v:line id="Line 1356" o:spid="_x0000_s1026" o:spt="20" style="position:absolute;left:6818;top:6878;height:624;width:1;" filled="f" stroked="t" coordsize="21600,21600" o:gfxdata="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skyU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1847" o:spid="_x0000_s1026" o:spt="202" type="#_x0000_t202" style="position:absolute;left:6638;top:7658;height:468;width:1620;" filled="f" stroked="f" coordsize="21600,21600" o:gfxdata="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JSk5W/&#10;AAAA3AAAAA8AAAAAAAAAAQAgAAAAIgAAAGRycy9kb3ducmV2LnhtbFBLAQIUABQAAAAIAIdO4kAz&#10;LwWeOwAAADkAAAAQAAAAAAAAAAEAIAAAAA4BAABkcnMvc2hhcGV4bWwueG1sUEsFBgAAAAAGAAYA&#10;WwEAALgDAAAAAA==&#10;">
                  <v:fill on="f" focussize="0,0"/>
                  <v:stroke on="f" weight="1pt"/>
                  <v:imagedata o:title=""/>
                  <o:lock v:ext="edit" aspectratio="f"/>
                  <v:textbox>
                    <w:txbxContent>
                      <w:p>
                        <w:pPr>
                          <w:rPr>
                            <w:rFonts w:hint="eastAsia"/>
                          </w:rPr>
                        </w:pPr>
                        <w:r>
                          <w:rPr>
                            <w:rFonts w:hint="eastAsia"/>
                          </w:rPr>
                          <w:t>锌精矿30.61</w:t>
                        </w:r>
                      </w:p>
                    </w:txbxContent>
                  </v:textbox>
                </v:shape>
                <v:line id="直线 6859" o:spid="_x0000_s1026" o:spt="20" style="position:absolute;left:4478;top:6254;height:936;width:0;" filled="f" stroked="t" coordsize="21600,21600" o:gfxdata="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KFdM7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860" o:spid="_x0000_s1026" o:spt="20" style="position:absolute;left:4478;top:7190;height:0;width:1440;" filled="f" stroked="t" coordsize="21600,21600" o:gfxdata="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yUG/&#10;AAAA3AAAAA8AAAAAAAAAAQAgAAAAIgAAAGRycy9kb3ducmV2LnhtbFBLAQIUABQAAAAIAIdO4kAz&#10;LwWeOwAAADkAAAAQAAAAAAAAAAEAIAAAAA4BAABkcnMvc2hhcGV4bWwueG1sUEsFBgAAAAAGAAYA&#10;WwEAALgDAAAAAA==&#10;">
                  <v:fill on="f" focussize="0,0"/>
                  <v:stroke color="#000000" joinstyle="round"/>
                  <v:imagedata o:title=""/>
                  <o:lock v:ext="edit" aspectratio="f"/>
                </v:line>
                <v:line id="直线 6861" o:spid="_x0000_s1026" o:spt="20" style="position:absolute;left:5918;top:6878;flip:x;height:312;width:0;" filled="f" stroked="t" coordsize="21600,21600" o:gfxdata="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pMmIu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r>
        <w:rPr>
          <w:color w:val="000000"/>
          <w:sz w:val="30"/>
          <w:szCs w:val="30"/>
          <w:lang/>
        </w:rPr>
        <mc:AlternateContent>
          <mc:Choice Requires="wps">
            <w:drawing>
              <wp:anchor distT="0" distB="0" distL="114300" distR="114300" simplePos="0" relativeHeight="251672576" behindDoc="0" locked="0" layoutInCell="1" allowOverlap="1">
                <wp:simplePos x="0" y="0"/>
                <wp:positionH relativeFrom="column">
                  <wp:posOffset>5372100</wp:posOffset>
                </wp:positionH>
                <wp:positionV relativeFrom="paragraph">
                  <wp:posOffset>40640</wp:posOffset>
                </wp:positionV>
                <wp:extent cx="1028700" cy="297180"/>
                <wp:effectExtent l="0" t="0" r="0" b="0"/>
                <wp:wrapNone/>
                <wp:docPr id="107" name="Text Box 1357"/>
                <wp:cNvGraphicFramePr/>
                <a:graphic xmlns:a="http://schemas.openxmlformats.org/drawingml/2006/main">
                  <a:graphicData uri="http://schemas.microsoft.com/office/word/2010/wordprocessingShape">
                    <wps:wsp>
                      <wps:cNvSpPr txBox="1"/>
                      <wps:spPr>
                        <a:xfrm>
                          <a:off x="0" y="0"/>
                          <a:ext cx="1028700" cy="297180"/>
                        </a:xfrm>
                        <a:prstGeom prst="rect">
                          <a:avLst/>
                        </a:prstGeom>
                        <a:noFill/>
                        <a:ln>
                          <a:noFill/>
                        </a:ln>
                      </wps:spPr>
                      <wps:txbx>
                        <w:txbxContent>
                          <w:p>
                            <w:pPr>
                              <w:rPr>
                                <w:rFonts w:hint="eastAsia"/>
                              </w:rPr>
                            </w:pPr>
                          </w:p>
                        </w:txbxContent>
                      </wps:txbx>
                      <wps:bodyPr wrap="square" upright="1"/>
                    </wps:wsp>
                  </a:graphicData>
                </a:graphic>
              </wp:anchor>
            </w:drawing>
          </mc:Choice>
          <mc:Fallback>
            <w:pict>
              <v:shape id="Text Box 1357" o:spid="_x0000_s1026" o:spt="202" type="#_x0000_t202" style="position:absolute;left:0pt;margin-left:423pt;margin-top:3.2pt;height:23.4pt;width:81pt;z-index:251672576;mso-width-relative:page;mso-height-relative:page;" filled="f" stroked="f" coordsize="21600,21600" o:gfxdata="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NaZaIDWAAAACQEA&#10;AA8AAAAAAAAAAQAgAAAAIgAAAGRycy9kb3ducmV2LnhtbFBLAQIUABQAAAAIAIdO4kCmrVIpqgEA&#10;AGADAAAOAAAAAAAAAAEAIAAAACUBAABkcnMvZTJvRG9jLnhtbFBLBQYAAAAABgAGAFkBAABBBQAA&#10;AAA=&#10;">
                <v:fill on="f" focussize="0,0"/>
                <v:stroke on="f"/>
                <v:imagedata o:title=""/>
                <o:lock v:ext="edit" aspectratio="f"/>
                <v:textbox>
                  <w:txbxContent>
                    <w:p>
                      <w:pPr>
                        <w:rPr>
                          <w:rFonts w:hint="eastAsia"/>
                        </w:rPr>
                      </w:pPr>
                    </w:p>
                  </w:txbxContent>
                </v:textbox>
              </v:shape>
            </w:pict>
          </mc:Fallback>
        </mc:AlternateContent>
      </w:r>
    </w:p>
    <w:p>
      <w:pPr>
        <w:spacing w:line="460" w:lineRule="exact"/>
        <w:rPr>
          <w:rFonts w:hint="eastAsia" w:ascii="宋体" w:hAnsi="宋体"/>
          <w:color w:val="000000"/>
        </w:rPr>
      </w:pPr>
    </w:p>
    <w:p>
      <w:pPr>
        <w:spacing w:line="460" w:lineRule="exact"/>
        <w:rPr>
          <w:rFonts w:hint="eastAsia" w:ascii="宋体" w:hAnsi="宋体"/>
          <w:color w:val="000000"/>
        </w:rPr>
      </w:pPr>
    </w:p>
    <w:p>
      <w:pPr>
        <w:spacing w:line="460" w:lineRule="exact"/>
        <w:rPr>
          <w:rFonts w:hint="eastAsia" w:ascii="宋体" w:hAnsi="宋体"/>
          <w:color w:val="000000"/>
        </w:rPr>
      </w:pPr>
    </w:p>
    <w:p>
      <w:pPr>
        <w:spacing w:line="460" w:lineRule="exact"/>
        <w:rPr>
          <w:rFonts w:hint="eastAsia" w:ascii="宋体" w:hAnsi="宋体"/>
          <w:color w:val="000000"/>
        </w:rPr>
      </w:pPr>
    </w:p>
    <w:p>
      <w:pPr>
        <w:spacing w:line="460" w:lineRule="exact"/>
        <w:rPr>
          <w:rFonts w:hint="eastAsia" w:ascii="宋体" w:hAnsi="宋体"/>
          <w:color w:val="000000"/>
        </w:rPr>
      </w:pPr>
    </w:p>
    <w:p>
      <w:pPr>
        <w:spacing w:line="460" w:lineRule="exact"/>
        <w:rPr>
          <w:rFonts w:hint="eastAsia" w:ascii="宋体" w:hAnsi="宋体"/>
          <w:color w:val="000000"/>
        </w:rPr>
      </w:pPr>
    </w:p>
    <w:p>
      <w:pPr>
        <w:spacing w:line="460" w:lineRule="exact"/>
        <w:rPr>
          <w:rFonts w:hint="eastAsia" w:ascii="宋体" w:hAnsi="宋体"/>
          <w:color w:val="000000"/>
        </w:rPr>
      </w:pPr>
    </w:p>
    <w:p>
      <w:pPr>
        <w:spacing w:line="460" w:lineRule="exact"/>
        <w:rPr>
          <w:rFonts w:hint="eastAsia" w:ascii="宋体" w:hAnsi="宋体"/>
          <w:b/>
          <w:color w:val="000000"/>
          <w:sz w:val="30"/>
          <w:szCs w:val="30"/>
        </w:rPr>
      </w:pPr>
    </w:p>
    <w:p>
      <w:pPr>
        <w:spacing w:line="360" w:lineRule="auto"/>
        <w:rPr>
          <w:rFonts w:hint="eastAsia"/>
          <w:color w:val="000000"/>
          <w:sz w:val="24"/>
        </w:rPr>
      </w:pPr>
    </w:p>
    <w:p>
      <w:pPr>
        <w:spacing w:line="360" w:lineRule="auto"/>
        <w:rPr>
          <w:rFonts w:hint="eastAsia"/>
          <w:color w:val="000000"/>
          <w:sz w:val="24"/>
        </w:rPr>
      </w:pPr>
    </w:p>
    <w:p>
      <w:pPr>
        <w:tabs>
          <w:tab w:val="left" w:pos="5955"/>
        </w:tabs>
        <w:spacing w:line="360" w:lineRule="auto"/>
        <w:jc w:val="center"/>
        <w:rPr>
          <w:rFonts w:hint="eastAsia"/>
          <w:color w:val="000000"/>
          <w:sz w:val="24"/>
        </w:rPr>
      </w:pPr>
      <w:r>
        <w:rPr>
          <w:rFonts w:hint="eastAsia"/>
          <w:b/>
          <w:color w:val="000000"/>
          <w:sz w:val="24"/>
        </w:rPr>
        <w:t xml:space="preserve">图 3-3 审核重点物料平衡图 </w:t>
      </w:r>
      <w:r>
        <w:rPr>
          <w:rFonts w:hint="eastAsia"/>
          <w:color w:val="000000"/>
          <w:sz w:val="24"/>
        </w:rPr>
        <w:t>（单位t/d）</w:t>
      </w:r>
    </w:p>
    <w:p>
      <w:pPr>
        <w:tabs>
          <w:tab w:val="left" w:pos="5955"/>
        </w:tabs>
        <w:spacing w:line="240" w:lineRule="exact"/>
        <w:jc w:val="center"/>
        <w:rPr>
          <w:rFonts w:hint="eastAsia"/>
          <w:color w:val="000000"/>
          <w:sz w:val="24"/>
        </w:rPr>
      </w:pPr>
    </w:p>
    <w:p>
      <w:pPr>
        <w:tabs>
          <w:tab w:val="left" w:pos="5955"/>
        </w:tabs>
        <w:spacing w:line="240" w:lineRule="exact"/>
        <w:jc w:val="center"/>
        <w:rPr>
          <w:rFonts w:hint="eastAsia"/>
          <w:color w:val="000000"/>
          <w:sz w:val="24"/>
        </w:rPr>
      </w:pPr>
    </w:p>
    <w:p>
      <w:pPr>
        <w:tabs>
          <w:tab w:val="left" w:pos="5955"/>
        </w:tabs>
        <w:spacing w:line="360" w:lineRule="auto"/>
        <w:ind w:firstLine="480" w:firstLineChars="200"/>
        <w:rPr>
          <w:rFonts w:hint="eastAsia"/>
          <w:color w:val="000000"/>
          <w:sz w:val="24"/>
        </w:rPr>
      </w:pPr>
      <w:r>
        <w:rPr>
          <w:rFonts w:hint="eastAsia"/>
          <w:color w:val="000000"/>
          <w:sz w:val="24"/>
        </w:rPr>
        <w:t>从图 3-3 看出审核重点在三日的实测中输入物料平均1060.35t/d；输出物料平均1045t/d，输入输出相差15.35t/d，误差为1.45%，误差＜5%，平衡成立。误差主要是尾矿渣带水计算误差。</w:t>
      </w:r>
    </w:p>
    <w:p>
      <w:pPr>
        <w:pStyle w:val="89"/>
        <w:spacing w:beforeLines="0"/>
        <w:ind w:firstLine="480"/>
        <w:rPr>
          <w:rFonts w:hint="eastAsia"/>
          <w:color w:val="000000"/>
          <w:sz w:val="24"/>
        </w:rPr>
      </w:pPr>
      <w:r>
        <w:rPr>
          <w:rFonts w:hint="eastAsia"/>
          <w:color w:val="000000"/>
          <w:sz w:val="24"/>
        </w:rPr>
        <w:t>（2）建立水平衡</w:t>
      </w:r>
    </w:p>
    <w:p>
      <w:pPr>
        <w:pStyle w:val="89"/>
        <w:spacing w:beforeLines="0"/>
        <w:ind w:firstLine="480"/>
        <w:rPr>
          <w:rFonts w:hint="eastAsia"/>
          <w:color w:val="000000"/>
          <w:sz w:val="24"/>
        </w:rPr>
      </w:pPr>
      <w:r>
        <w:rPr>
          <w:rFonts w:hint="eastAsia"/>
          <w:color w:val="000000"/>
          <w:sz w:val="24"/>
        </w:rPr>
        <w:t>审核小组在审核过程中根据实测加估算的方法获取水平衡数据。实测数据见表 3-5。根据输入、输出水量数据，绘制审核重点水平衡，见图 3-4。</w:t>
      </w:r>
    </w:p>
    <w:p>
      <w:pPr>
        <w:pStyle w:val="89"/>
        <w:spacing w:beforeLines="0"/>
        <w:ind w:firstLine="482"/>
        <w:jc w:val="center"/>
        <w:outlineLvl w:val="0"/>
        <w:rPr>
          <w:rFonts w:hint="eastAsia"/>
          <w:b/>
          <w:color w:val="000000"/>
          <w:sz w:val="24"/>
        </w:rPr>
      </w:pPr>
      <w:r>
        <w:rPr>
          <w:rFonts w:hint="eastAsia"/>
          <w:b/>
          <w:color w:val="000000"/>
          <w:sz w:val="24"/>
        </w:rPr>
        <w:t>表 3-5 输入、输出水量数据表 单位：t/d</w:t>
      </w:r>
    </w:p>
    <w:tbl>
      <w:tblPr>
        <w:tblStyle w:val="36"/>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9"/>
        <w:gridCol w:w="3025"/>
        <w:gridCol w:w="767"/>
        <w:gridCol w:w="1085"/>
        <w:gridCol w:w="25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7" w:hRule="atLeast"/>
        </w:trPr>
        <w:tc>
          <w:tcPr>
            <w:tcW w:w="1609"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项目</w:t>
            </w: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监测内容</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单位</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平均监测值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0" w:hRule="atLeast"/>
        </w:trPr>
        <w:tc>
          <w:tcPr>
            <w:tcW w:w="1609" w:type="dxa"/>
            <w:vMerge w:val="restart"/>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输入</w:t>
            </w:r>
          </w:p>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补充水</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循环水</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0" w:hRule="atLeast"/>
        </w:trPr>
        <w:tc>
          <w:tcPr>
            <w:tcW w:w="1609" w:type="dxa"/>
            <w:vMerge w:val="restart"/>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输出</w:t>
            </w:r>
          </w:p>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球磨用水</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浮选用水</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铅精矿带走</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锌精矿带走</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浮选过程蒸发损耗</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vMerge w:val="restart"/>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进入尾矿沉淀池</w:t>
            </w:r>
          </w:p>
        </w:tc>
        <w:tc>
          <w:tcPr>
            <w:tcW w:w="767" w:type="dxa"/>
            <w:vMerge w:val="restart"/>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1085" w:type="dxa"/>
            <w:vMerge w:val="restart"/>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790</w:t>
            </w:r>
          </w:p>
        </w:tc>
        <w:tc>
          <w:tcPr>
            <w:tcW w:w="2513"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循环水620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vMerge w:val="continue"/>
            <w:noWrap w:val="0"/>
            <w:vAlign w:val="top"/>
          </w:tcPr>
          <w:p>
            <w:pPr>
              <w:spacing w:line="300" w:lineRule="exact"/>
              <w:jc w:val="center"/>
              <w:rPr>
                <w:rFonts w:hint="eastAsia" w:ascii="宋体" w:hAnsi="宋体"/>
                <w:color w:val="000000"/>
                <w:szCs w:val="21"/>
              </w:rPr>
            </w:pPr>
          </w:p>
        </w:tc>
        <w:tc>
          <w:tcPr>
            <w:tcW w:w="767" w:type="dxa"/>
            <w:vMerge w:val="continue"/>
            <w:noWrap w:val="0"/>
            <w:vAlign w:val="top"/>
          </w:tcPr>
          <w:p>
            <w:pPr>
              <w:spacing w:line="300" w:lineRule="exact"/>
              <w:jc w:val="center"/>
              <w:rPr>
                <w:rFonts w:hint="eastAsia" w:ascii="宋体" w:hAnsi="宋体"/>
                <w:color w:val="000000"/>
                <w:szCs w:val="21"/>
              </w:rPr>
            </w:pPr>
          </w:p>
        </w:tc>
        <w:tc>
          <w:tcPr>
            <w:tcW w:w="1085" w:type="dxa"/>
            <w:vMerge w:val="continue"/>
            <w:noWrap w:val="0"/>
            <w:vAlign w:val="top"/>
          </w:tcPr>
          <w:p>
            <w:pPr>
              <w:spacing w:line="300" w:lineRule="exact"/>
              <w:jc w:val="center"/>
              <w:rPr>
                <w:rFonts w:hint="eastAsia" w:ascii="宋体" w:hAnsi="宋体"/>
                <w:color w:val="000000"/>
                <w:szCs w:val="21"/>
              </w:rPr>
            </w:pPr>
          </w:p>
        </w:tc>
        <w:tc>
          <w:tcPr>
            <w:tcW w:w="2513"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随尾渣外排166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6" w:hRule="atLeast"/>
        </w:trPr>
        <w:tc>
          <w:tcPr>
            <w:tcW w:w="1609" w:type="dxa"/>
            <w:vMerge w:val="continue"/>
            <w:noWrap w:val="0"/>
            <w:vAlign w:val="top"/>
          </w:tcPr>
          <w:p>
            <w:pPr>
              <w:spacing w:line="300" w:lineRule="exact"/>
              <w:jc w:val="center"/>
              <w:rPr>
                <w:rFonts w:hint="eastAsia" w:ascii="宋体" w:hAnsi="宋体"/>
                <w:color w:val="000000"/>
                <w:szCs w:val="21"/>
              </w:rPr>
            </w:pPr>
          </w:p>
        </w:tc>
        <w:tc>
          <w:tcPr>
            <w:tcW w:w="3026"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沉砂池蒸发损耗</w:t>
            </w:r>
          </w:p>
        </w:tc>
        <w:tc>
          <w:tcPr>
            <w:tcW w:w="767" w:type="dxa"/>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t</w:t>
            </w:r>
          </w:p>
        </w:tc>
        <w:tc>
          <w:tcPr>
            <w:tcW w:w="3598" w:type="dxa"/>
            <w:gridSpan w:val="2"/>
            <w:noWrap w:val="0"/>
            <w:vAlign w:val="top"/>
          </w:tcPr>
          <w:p>
            <w:pPr>
              <w:spacing w:line="300" w:lineRule="exact"/>
              <w:jc w:val="center"/>
              <w:rPr>
                <w:rFonts w:hint="eastAsia" w:ascii="宋体" w:hAnsi="宋体"/>
                <w:color w:val="000000"/>
                <w:szCs w:val="21"/>
              </w:rPr>
            </w:pPr>
            <w:r>
              <w:rPr>
                <w:rFonts w:hint="eastAsia" w:ascii="宋体" w:hAnsi="宋体"/>
                <w:color w:val="000000"/>
                <w:szCs w:val="21"/>
              </w:rPr>
              <w:t>5</w:t>
            </w:r>
          </w:p>
        </w:tc>
      </w:tr>
    </w:tbl>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r>
        <w:rPr>
          <w:rFonts w:hint="eastAsia" w:ascii="宋体" w:hAnsi="宋体"/>
          <w:color w:val="000000"/>
          <w:sz w:val="24"/>
          <w:szCs w:val="24"/>
          <w:lang/>
        </w:rPr>
        <mc:AlternateContent>
          <mc:Choice Requires="wpg">
            <w:drawing>
              <wp:anchor distT="0" distB="0" distL="114300" distR="114300" simplePos="0" relativeHeight="251670528" behindDoc="0" locked="0" layoutInCell="1" allowOverlap="1">
                <wp:simplePos x="0" y="0"/>
                <wp:positionH relativeFrom="column">
                  <wp:posOffset>228600</wp:posOffset>
                </wp:positionH>
                <wp:positionV relativeFrom="paragraph">
                  <wp:posOffset>198120</wp:posOffset>
                </wp:positionV>
                <wp:extent cx="4800600" cy="2377440"/>
                <wp:effectExtent l="4445" t="4445" r="14605" b="18415"/>
                <wp:wrapNone/>
                <wp:docPr id="90" name="组合 6818"/>
                <wp:cNvGraphicFramePr/>
                <a:graphic xmlns:a="http://schemas.openxmlformats.org/drawingml/2006/main">
                  <a:graphicData uri="http://schemas.microsoft.com/office/word/2010/wordprocessingGroup">
                    <wpg:wgp>
                      <wpg:cNvGrpSpPr/>
                      <wpg:grpSpPr>
                        <a:xfrm>
                          <a:off x="0" y="0"/>
                          <a:ext cx="4800600" cy="2377440"/>
                          <a:chOff x="2498" y="2510"/>
                          <a:chExt cx="7560" cy="3120"/>
                        </a:xfrm>
                      </wpg:grpSpPr>
                      <wps:wsp>
                        <wps:cNvPr id="62" name="文本框 6771"/>
                        <wps:cNvSpPr txBox="1"/>
                        <wps:spPr>
                          <a:xfrm>
                            <a:off x="4658" y="2510"/>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球磨130</w:t>
                              </w:r>
                            </w:p>
                          </w:txbxContent>
                        </wps:txbx>
                        <wps:bodyPr wrap="square" lIns="0" tIns="0" rIns="0" bIns="0" upright="1"/>
                      </wps:wsp>
                      <wps:wsp>
                        <wps:cNvPr id="63" name="文本框 6772"/>
                        <wps:cNvSpPr txBox="1"/>
                        <wps:spPr>
                          <a:xfrm>
                            <a:off x="4658" y="3758"/>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精矿带走4</w:t>
                              </w:r>
                            </w:p>
                          </w:txbxContent>
                        </wps:txbx>
                        <wps:bodyPr wrap="square" lIns="0" tIns="0" rIns="0" bIns="0" upright="1"/>
                      </wps:wsp>
                      <wps:wsp>
                        <wps:cNvPr id="64" name="文本框 6773"/>
                        <wps:cNvSpPr txBox="1"/>
                        <wps:spPr>
                          <a:xfrm>
                            <a:off x="4658" y="4382"/>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蒸发1</w:t>
                              </w:r>
                            </w:p>
                          </w:txbxContent>
                        </wps:txbx>
                        <wps:bodyPr wrap="square" lIns="0" tIns="0" rIns="0" bIns="0" upright="1"/>
                      </wps:wsp>
                      <wps:wsp>
                        <wps:cNvPr id="65" name="文本框 6780"/>
                        <wps:cNvSpPr txBox="1"/>
                        <wps:spPr>
                          <a:xfrm>
                            <a:off x="8618" y="2822"/>
                            <a:ext cx="14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循环水620</w:t>
                              </w:r>
                            </w:p>
                          </w:txbxContent>
                        </wps:txbx>
                        <wps:bodyPr wrap="square" lIns="0" tIns="0" rIns="0" bIns="0" upright="1"/>
                      </wps:wsp>
                      <wps:wsp>
                        <wps:cNvPr id="66" name="文本框 6781"/>
                        <wps:cNvSpPr txBox="1"/>
                        <wps:spPr>
                          <a:xfrm>
                            <a:off x="8258" y="4850"/>
                            <a:ext cx="90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损耗5</w:t>
                              </w:r>
                            </w:p>
                          </w:txbxContent>
                        </wps:txbx>
                        <wps:bodyPr wrap="square" lIns="0" tIns="0" rIns="0" bIns="0" upright="1"/>
                      </wps:wsp>
                      <wps:wsp>
                        <wps:cNvPr id="67" name="文本框 6782"/>
                        <wps:cNvSpPr txBox="1"/>
                        <wps:spPr>
                          <a:xfrm>
                            <a:off x="4658" y="3134"/>
                            <a:ext cx="144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浮选45</w:t>
                              </w:r>
                            </w:p>
                          </w:txbxContent>
                        </wps:txbx>
                        <wps:bodyPr wrap="square" lIns="0" tIns="0" rIns="0" bIns="0" upright="1"/>
                      </wps:wsp>
                      <wps:wsp>
                        <wps:cNvPr id="68" name="文本框 6783"/>
                        <wps:cNvSpPr txBox="1"/>
                        <wps:spPr>
                          <a:xfrm>
                            <a:off x="6638" y="3134"/>
                            <a:ext cx="180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尾水进入重选工段</w:t>
                              </w:r>
                            </w:p>
                          </w:txbxContent>
                        </wps:txbx>
                        <wps:bodyPr wrap="square" lIns="0" tIns="0" rIns="0" bIns="0" upright="1"/>
                      </wps:wsp>
                      <wps:wsp>
                        <wps:cNvPr id="69" name="文本框 6785"/>
                        <wps:cNvSpPr txBox="1"/>
                        <wps:spPr>
                          <a:xfrm>
                            <a:off x="6458" y="5318"/>
                            <a:ext cx="19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进入尾水沉淀池</w:t>
                              </w:r>
                            </w:p>
                            <w:p>
                              <w:pPr>
                                <w:autoSpaceDE w:val="0"/>
                                <w:autoSpaceDN w:val="0"/>
                                <w:adjustRightInd w:val="0"/>
                                <w:jc w:val="center"/>
                                <w:rPr>
                                  <w:color w:val="000000"/>
                                  <w:lang w:val="zh-CN"/>
                                </w:rPr>
                              </w:pPr>
                            </w:p>
                          </w:txbxContent>
                        </wps:txbx>
                        <wps:bodyPr wrap="square" lIns="0" tIns="0" rIns="0" bIns="0" upright="1"/>
                      </wps:wsp>
                      <wps:wsp>
                        <wps:cNvPr id="70" name="文本框 6786"/>
                        <wps:cNvSpPr txBox="1"/>
                        <wps:spPr>
                          <a:xfrm>
                            <a:off x="6458" y="4382"/>
                            <a:ext cx="198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jc w:val="center"/>
                                <w:rPr>
                                  <w:rFonts w:hint="eastAsia"/>
                                </w:rPr>
                              </w:pPr>
                              <w:r>
                                <w:rPr>
                                  <w:rFonts w:hint="eastAsia"/>
                                </w:rPr>
                                <w:t>渣水分离</w:t>
                              </w:r>
                            </w:p>
                          </w:txbxContent>
                        </wps:txbx>
                        <wps:bodyPr wrap="square" lIns="0" tIns="0" rIns="0" bIns="0" upright="1"/>
                      </wps:wsp>
                      <wps:wsp>
                        <wps:cNvPr id="71" name="文本框 6787"/>
                        <wps:cNvSpPr txBox="1"/>
                        <wps:spPr>
                          <a:xfrm>
                            <a:off x="3398" y="3290"/>
                            <a:ext cx="720" cy="31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autoSpaceDE w:val="0"/>
                                <w:autoSpaceDN w:val="0"/>
                                <w:adjustRightInd w:val="0"/>
                                <w:jc w:val="center"/>
                                <w:rPr>
                                  <w:rFonts w:hint="eastAsia"/>
                                  <w:color w:val="000000"/>
                                  <w:lang w:val="zh-CN"/>
                                </w:rPr>
                              </w:pPr>
                              <w:r>
                                <w:rPr>
                                  <w:rFonts w:hint="eastAsia"/>
                                  <w:color w:val="000000"/>
                                  <w:lang w:val="zh-CN"/>
                                </w:rPr>
                                <w:t>选矿</w:t>
                              </w:r>
                            </w:p>
                          </w:txbxContent>
                        </wps:txbx>
                        <wps:bodyPr wrap="square" lIns="0" tIns="0" rIns="0" bIns="0" upright="1"/>
                      </wps:wsp>
                      <wps:wsp>
                        <wps:cNvPr id="72" name="文本框 6790"/>
                        <wps:cNvSpPr txBox="1"/>
                        <wps:spPr>
                          <a:xfrm>
                            <a:off x="2498" y="2510"/>
                            <a:ext cx="14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补充水180</w:t>
                              </w:r>
                            </w:p>
                          </w:txbxContent>
                        </wps:txbx>
                        <wps:bodyPr wrap="square" lIns="0" tIns="0" rIns="0" bIns="0" upright="1"/>
                      </wps:wsp>
                      <wps:wsp>
                        <wps:cNvPr id="73" name="文本框 6791"/>
                        <wps:cNvSpPr txBox="1"/>
                        <wps:spPr>
                          <a:xfrm>
                            <a:off x="8258" y="3914"/>
                            <a:ext cx="1440" cy="312"/>
                          </a:xfrm>
                          <a:prstGeom prst="rect">
                            <a:avLst/>
                          </a:prstGeom>
                          <a:solidFill>
                            <a:srgbClr val="FFFFFF"/>
                          </a:solidFill>
                          <a:ln w="9525" cap="flat" cmpd="sng">
                            <a:solidFill>
                              <a:srgbClr val="FFFFFF"/>
                            </a:solidFill>
                            <a:prstDash val="solid"/>
                            <a:miter/>
                            <a:headEnd type="none" w="med" len="med"/>
                            <a:tailEnd type="none" w="med" len="med"/>
                          </a:ln>
                        </wps:spPr>
                        <wps:txbx>
                          <w:txbxContent>
                            <w:p>
                              <w:pPr>
                                <w:autoSpaceDE w:val="0"/>
                                <w:autoSpaceDN w:val="0"/>
                                <w:adjustRightInd w:val="0"/>
                                <w:jc w:val="center"/>
                                <w:rPr>
                                  <w:color w:val="000000"/>
                                  <w:lang w:val="zh-CN"/>
                                </w:rPr>
                              </w:pPr>
                              <w:r>
                                <w:rPr>
                                  <w:rFonts w:hint="eastAsia"/>
                                  <w:color w:val="000000"/>
                                  <w:lang w:val="zh-CN"/>
                                </w:rPr>
                                <w:t>尾渣带走166</w:t>
                              </w:r>
                            </w:p>
                          </w:txbxContent>
                        </wps:txbx>
                        <wps:bodyPr wrap="square" lIns="0" tIns="0" rIns="0" bIns="0" upright="1"/>
                      </wps:wsp>
                      <wps:wsp>
                        <wps:cNvPr id="74" name="直线 6794"/>
                        <wps:cNvSpPr/>
                        <wps:spPr>
                          <a:xfrm>
                            <a:off x="3758" y="2822"/>
                            <a:ext cx="0" cy="468"/>
                          </a:xfrm>
                          <a:prstGeom prst="line">
                            <a:avLst/>
                          </a:prstGeom>
                          <a:ln w="9525" cap="flat" cmpd="sng">
                            <a:solidFill>
                              <a:srgbClr val="000000"/>
                            </a:solidFill>
                            <a:prstDash val="solid"/>
                            <a:headEnd type="none" w="med" len="med"/>
                            <a:tailEnd type="triangle" w="med" len="med"/>
                          </a:ln>
                        </wps:spPr>
                        <wps:bodyPr upright="1"/>
                      </wps:wsp>
                      <wps:wsp>
                        <wps:cNvPr id="75" name="直线 6795"/>
                        <wps:cNvSpPr/>
                        <wps:spPr>
                          <a:xfrm>
                            <a:off x="7358" y="2666"/>
                            <a:ext cx="0" cy="468"/>
                          </a:xfrm>
                          <a:prstGeom prst="line">
                            <a:avLst/>
                          </a:prstGeom>
                          <a:ln w="9525" cap="flat" cmpd="sng">
                            <a:solidFill>
                              <a:srgbClr val="000000"/>
                            </a:solidFill>
                            <a:prstDash val="solid"/>
                            <a:headEnd type="none" w="med" len="med"/>
                            <a:tailEnd type="triangle" w="med" len="med"/>
                          </a:ln>
                        </wps:spPr>
                        <wps:bodyPr upright="1"/>
                      </wps:wsp>
                      <wps:wsp>
                        <wps:cNvPr id="76" name="直线 6796"/>
                        <wps:cNvSpPr/>
                        <wps:spPr>
                          <a:xfrm>
                            <a:off x="4298" y="3290"/>
                            <a:ext cx="360" cy="0"/>
                          </a:xfrm>
                          <a:prstGeom prst="line">
                            <a:avLst/>
                          </a:prstGeom>
                          <a:ln w="9525" cap="flat" cmpd="sng">
                            <a:solidFill>
                              <a:srgbClr val="000000"/>
                            </a:solidFill>
                            <a:prstDash val="solid"/>
                            <a:headEnd type="none" w="med" len="med"/>
                            <a:tailEnd type="triangle" w="med" len="med"/>
                          </a:ln>
                        </wps:spPr>
                        <wps:bodyPr upright="1"/>
                      </wps:wsp>
                      <wps:wsp>
                        <wps:cNvPr id="77" name="直线 6797"/>
                        <wps:cNvSpPr/>
                        <wps:spPr>
                          <a:xfrm>
                            <a:off x="7358" y="4694"/>
                            <a:ext cx="0" cy="624"/>
                          </a:xfrm>
                          <a:prstGeom prst="line">
                            <a:avLst/>
                          </a:prstGeom>
                          <a:ln w="9525" cap="flat" cmpd="sng">
                            <a:solidFill>
                              <a:srgbClr val="000000"/>
                            </a:solidFill>
                            <a:prstDash val="solid"/>
                            <a:headEnd type="none" w="med" len="med"/>
                            <a:tailEnd type="triangle" w="med" len="med"/>
                          </a:ln>
                        </wps:spPr>
                        <wps:bodyPr upright="1"/>
                      </wps:wsp>
                      <wps:wsp>
                        <wps:cNvPr id="78" name="直线 6800"/>
                        <wps:cNvSpPr/>
                        <wps:spPr>
                          <a:xfrm>
                            <a:off x="4298" y="2666"/>
                            <a:ext cx="360" cy="0"/>
                          </a:xfrm>
                          <a:prstGeom prst="line">
                            <a:avLst/>
                          </a:prstGeom>
                          <a:ln w="9525" cap="flat" cmpd="sng">
                            <a:solidFill>
                              <a:srgbClr val="000000"/>
                            </a:solidFill>
                            <a:prstDash val="solid"/>
                            <a:headEnd type="none" w="med" len="med"/>
                            <a:tailEnd type="triangle" w="med" len="med"/>
                          </a:ln>
                        </wps:spPr>
                        <wps:bodyPr upright="1"/>
                      </wps:wsp>
                      <wps:wsp>
                        <wps:cNvPr id="79" name="直线 6801"/>
                        <wps:cNvSpPr/>
                        <wps:spPr>
                          <a:xfrm>
                            <a:off x="7358" y="3446"/>
                            <a:ext cx="0" cy="936"/>
                          </a:xfrm>
                          <a:prstGeom prst="line">
                            <a:avLst/>
                          </a:prstGeom>
                          <a:ln w="9525" cap="flat" cmpd="sng">
                            <a:solidFill>
                              <a:srgbClr val="000000"/>
                            </a:solidFill>
                            <a:prstDash val="solid"/>
                            <a:headEnd type="none" w="med" len="med"/>
                            <a:tailEnd type="triangle" w="med" len="med"/>
                          </a:ln>
                        </wps:spPr>
                        <wps:bodyPr upright="1"/>
                      </wps:wsp>
                      <wps:wsp>
                        <wps:cNvPr id="80" name="直线 6802"/>
                        <wps:cNvSpPr/>
                        <wps:spPr>
                          <a:xfrm>
                            <a:off x="4298" y="4538"/>
                            <a:ext cx="360" cy="0"/>
                          </a:xfrm>
                          <a:prstGeom prst="line">
                            <a:avLst/>
                          </a:prstGeom>
                          <a:ln w="9525" cap="flat" cmpd="sng">
                            <a:solidFill>
                              <a:srgbClr val="000000"/>
                            </a:solidFill>
                            <a:prstDash val="solid"/>
                            <a:headEnd type="none" w="med" len="med"/>
                            <a:tailEnd type="triangle" w="med" len="med"/>
                          </a:ln>
                        </wps:spPr>
                        <wps:bodyPr upright="1"/>
                      </wps:wsp>
                      <wps:wsp>
                        <wps:cNvPr id="81" name="直线 6805"/>
                        <wps:cNvSpPr/>
                        <wps:spPr>
                          <a:xfrm flipV="1">
                            <a:off x="8078" y="5006"/>
                            <a:ext cx="180" cy="312"/>
                          </a:xfrm>
                          <a:prstGeom prst="line">
                            <a:avLst/>
                          </a:prstGeom>
                          <a:ln w="9525" cap="flat" cmpd="sng">
                            <a:solidFill>
                              <a:srgbClr val="000000"/>
                            </a:solidFill>
                            <a:prstDash val="solid"/>
                            <a:headEnd type="none" w="med" len="med"/>
                            <a:tailEnd type="triangle" w="med" len="med"/>
                          </a:ln>
                        </wps:spPr>
                        <wps:bodyPr upright="1"/>
                      </wps:wsp>
                      <wps:wsp>
                        <wps:cNvPr id="82" name="直线 6806"/>
                        <wps:cNvSpPr/>
                        <wps:spPr>
                          <a:xfrm>
                            <a:off x="6098" y="3290"/>
                            <a:ext cx="540" cy="0"/>
                          </a:xfrm>
                          <a:prstGeom prst="line">
                            <a:avLst/>
                          </a:prstGeom>
                          <a:ln w="9525" cap="flat" cmpd="sng">
                            <a:solidFill>
                              <a:srgbClr val="000000"/>
                            </a:solidFill>
                            <a:prstDash val="solid"/>
                            <a:headEnd type="none" w="med" len="med"/>
                            <a:tailEnd type="triangle" w="med" len="med"/>
                          </a:ln>
                        </wps:spPr>
                        <wps:bodyPr upright="1"/>
                      </wps:wsp>
                      <wps:wsp>
                        <wps:cNvPr id="83" name="直线 6807"/>
                        <wps:cNvSpPr/>
                        <wps:spPr>
                          <a:xfrm>
                            <a:off x="4298" y="3914"/>
                            <a:ext cx="360" cy="0"/>
                          </a:xfrm>
                          <a:prstGeom prst="line">
                            <a:avLst/>
                          </a:prstGeom>
                          <a:ln w="9525" cap="flat" cmpd="sng">
                            <a:solidFill>
                              <a:srgbClr val="000000"/>
                            </a:solidFill>
                            <a:prstDash val="solid"/>
                            <a:headEnd type="none" w="med" len="med"/>
                            <a:tailEnd type="triangle" w="med" len="med"/>
                          </a:ln>
                        </wps:spPr>
                        <wps:bodyPr upright="1"/>
                      </wps:wsp>
                      <wps:wsp>
                        <wps:cNvPr id="84" name="直线 6810"/>
                        <wps:cNvSpPr/>
                        <wps:spPr>
                          <a:xfrm flipH="1">
                            <a:off x="8438" y="3290"/>
                            <a:ext cx="1440" cy="0"/>
                          </a:xfrm>
                          <a:prstGeom prst="line">
                            <a:avLst/>
                          </a:prstGeom>
                          <a:ln w="9525" cap="flat" cmpd="sng">
                            <a:solidFill>
                              <a:srgbClr val="000000"/>
                            </a:solidFill>
                            <a:prstDash val="solid"/>
                            <a:headEnd type="none" w="med" len="med"/>
                            <a:tailEnd type="triangle" w="med" len="med"/>
                          </a:ln>
                        </wps:spPr>
                        <wps:bodyPr upright="1"/>
                      </wps:wsp>
                      <wps:wsp>
                        <wps:cNvPr id="85" name="直线 6811"/>
                        <wps:cNvSpPr/>
                        <wps:spPr>
                          <a:xfrm flipV="1">
                            <a:off x="8078" y="4070"/>
                            <a:ext cx="180" cy="312"/>
                          </a:xfrm>
                          <a:prstGeom prst="line">
                            <a:avLst/>
                          </a:prstGeom>
                          <a:ln w="9525" cap="flat" cmpd="sng">
                            <a:solidFill>
                              <a:srgbClr val="000000"/>
                            </a:solidFill>
                            <a:prstDash val="solid"/>
                            <a:headEnd type="none" w="med" len="med"/>
                            <a:tailEnd type="triangle" w="med" len="med"/>
                          </a:ln>
                        </wps:spPr>
                        <wps:bodyPr upright="1"/>
                      </wps:wsp>
                      <wps:wsp>
                        <wps:cNvPr id="86" name="直线 6812"/>
                        <wps:cNvSpPr/>
                        <wps:spPr>
                          <a:xfrm flipV="1">
                            <a:off x="6098" y="2666"/>
                            <a:ext cx="1260" cy="0"/>
                          </a:xfrm>
                          <a:prstGeom prst="line">
                            <a:avLst/>
                          </a:prstGeom>
                          <a:ln w="9525" cap="flat" cmpd="sng">
                            <a:solidFill>
                              <a:srgbClr val="000000"/>
                            </a:solidFill>
                            <a:prstDash val="solid"/>
                            <a:headEnd type="none" w="med" len="med"/>
                            <a:tailEnd type="none" w="med" len="med"/>
                          </a:ln>
                        </wps:spPr>
                        <wps:bodyPr upright="1"/>
                      </wps:wsp>
                      <wps:wsp>
                        <wps:cNvPr id="87" name="直线 6813"/>
                        <wps:cNvSpPr/>
                        <wps:spPr>
                          <a:xfrm>
                            <a:off x="4298" y="2666"/>
                            <a:ext cx="0" cy="1872"/>
                          </a:xfrm>
                          <a:prstGeom prst="line">
                            <a:avLst/>
                          </a:prstGeom>
                          <a:ln w="9525" cap="flat" cmpd="sng">
                            <a:solidFill>
                              <a:srgbClr val="000000"/>
                            </a:solidFill>
                            <a:prstDash val="solid"/>
                            <a:headEnd type="none" w="med" len="med"/>
                            <a:tailEnd type="none" w="med" len="med"/>
                          </a:ln>
                        </wps:spPr>
                        <wps:bodyPr upright="1"/>
                      </wps:wsp>
                      <wps:wsp>
                        <wps:cNvPr id="88" name="直线 6816"/>
                        <wps:cNvSpPr/>
                        <wps:spPr>
                          <a:xfrm>
                            <a:off x="8438" y="5474"/>
                            <a:ext cx="1440" cy="0"/>
                          </a:xfrm>
                          <a:prstGeom prst="line">
                            <a:avLst/>
                          </a:prstGeom>
                          <a:ln w="9525" cap="flat" cmpd="sng">
                            <a:solidFill>
                              <a:srgbClr val="000000"/>
                            </a:solidFill>
                            <a:prstDash val="solid"/>
                            <a:headEnd type="none" w="med" len="med"/>
                            <a:tailEnd type="none" w="med" len="med"/>
                          </a:ln>
                        </wps:spPr>
                        <wps:bodyPr upright="1"/>
                      </wps:wsp>
                      <wps:wsp>
                        <wps:cNvPr id="89" name="直线 6817"/>
                        <wps:cNvSpPr/>
                        <wps:spPr>
                          <a:xfrm>
                            <a:off x="9878" y="3290"/>
                            <a:ext cx="0" cy="2184"/>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6818" o:spid="_x0000_s1026" o:spt="203" style="position:absolute;left:0pt;margin-left:18pt;margin-top:15.6pt;height:187.2pt;width:378pt;z-index:251670528;mso-width-relative:page;mso-height-relative:page;" coordorigin="2498,2510" coordsize="7560,3120" o:gfxdata="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AAAAAZHJzL1BLAQIUABQAAAAIAIdO4kD9pWgW2gAAAAkBAAAP&#10;AAAAAAAAAAEAIAAAACIAAABkcnMvZG93bnJldi54bWxQSwECFAAUAAAACACHTuJAYC+B398FAABK&#10;QgAADgAAAAAAAAABACAAAAApAQAAZHJzL2Uyb0RvYy54bWxQSwUGAAAAAAYABgBZAQAAegkAAAAA&#10;">
                <o:lock v:ext="edit" aspectratio="f"/>
                <v:shape id="文本框 6771" o:spid="_x0000_s1026" o:spt="202" type="#_x0000_t202" style="position:absolute;left:4658;top:2510;height:312;width:1440;" fillcolor="#FFFFFF" filled="t" stroked="t" coordsize="21600,21600" o:gfxdata="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Tb+2u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球磨130</w:t>
                        </w:r>
                      </w:p>
                    </w:txbxContent>
                  </v:textbox>
                </v:shape>
                <v:shape id="文本框 6772" o:spid="_x0000_s1026" o:spt="202" type="#_x0000_t202" style="position:absolute;left:4658;top:3758;height:312;width:1440;" fillcolor="#FFFFFF" filled="t" stroked="t" coordsize="21600,21600" o:gfxdata="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uXXvC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精矿带走4</w:t>
                        </w:r>
                      </w:p>
                    </w:txbxContent>
                  </v:textbox>
                </v:shape>
                <v:shape id="文本框 6773" o:spid="_x0000_s1026" o:spt="202" type="#_x0000_t202" style="position:absolute;left:4658;top:4382;height:312;width:1440;" fillcolor="#FFFFFF" filled="t" stroked="t" coordsize="21600,21600" o:gfxdata="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R+xoS8AAAA&#10;2wAAAA8AAAAAAAAAAQAgAAAAIgAAAGRycy9kb3ducmV2LnhtbFBLAQIUABQAAAAIAIdO4kAzLwWe&#10;OwAAADkAAAAQAAAAAAAAAAEAIAAAAAsBAABkcnMvc2hhcGV4bWwueG1sUEsFBgAAAAAGAAYAWwEA&#10;ALUD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蒸发1</w:t>
                        </w:r>
                      </w:p>
                    </w:txbxContent>
                  </v:textbox>
                </v:shape>
                <v:shape id="文本框 6780" o:spid="_x0000_s1026" o:spt="202" type="#_x0000_t202" style="position:absolute;left:8618;top:2822;height:312;width:1440;" fillcolor="#FFFFFF" filled="t" stroked="t" coordsize="21600,21600" o:gfxdata="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gJzrL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循环水620</w:t>
                        </w:r>
                      </w:p>
                    </w:txbxContent>
                  </v:textbox>
                </v:shape>
                <v:shape id="文本框 6781" o:spid="_x0000_s1026" o:spt="202" type="#_x0000_t202" style="position:absolute;left:8258;top:4850;height:312;width:900;" fillcolor="#FFFFFF" filled="t" stroked="t" coordsize="21600,21600" o:gfxdata="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tDt27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损耗5</w:t>
                        </w:r>
                      </w:p>
                    </w:txbxContent>
                  </v:textbox>
                </v:shape>
                <v:shape id="文本框 6782" o:spid="_x0000_s1026" o:spt="202" type="#_x0000_t202" style="position:absolute;left:4658;top:3134;height:312;width:1440;" fillcolor="#FFFFFF" filled="t" stroked="t" coordsize="21600,21600" o:gfxdata="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KxY87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浮选45</w:t>
                        </w:r>
                      </w:p>
                    </w:txbxContent>
                  </v:textbox>
                </v:shape>
                <v:shape id="文本框 6783" o:spid="_x0000_s1026" o:spt="202" type="#_x0000_t202" style="position:absolute;left:6638;top:3134;height:312;width:1800;" fillcolor="#FFFFFF" filled="t" stroked="t" coordsize="21600,21600" o:gfxdata="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UzzIG5AAAA2w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尾水进入重选工段</w:t>
                        </w:r>
                      </w:p>
                    </w:txbxContent>
                  </v:textbox>
                </v:shape>
                <v:shape id="文本框 6785" o:spid="_x0000_s1026" o:spt="202" type="#_x0000_t202" style="position:absolute;left:6458;top:5318;height:312;width:1980;" fillcolor="#FFFFFF" filled="t" stroked="t" coordsize="21600,21600" o:gfxdata="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n9pG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进入尾水沉淀池</w:t>
                        </w:r>
                      </w:p>
                      <w:p>
                        <w:pPr>
                          <w:autoSpaceDE w:val="0"/>
                          <w:autoSpaceDN w:val="0"/>
                          <w:adjustRightInd w:val="0"/>
                          <w:jc w:val="center"/>
                          <w:rPr>
                            <w:color w:val="000000"/>
                            <w:lang w:val="zh-CN"/>
                          </w:rPr>
                        </w:pPr>
                      </w:p>
                    </w:txbxContent>
                  </v:textbox>
                </v:shape>
                <v:shape id="文本框 6786" o:spid="_x0000_s1026" o:spt="202" type="#_x0000_t202" style="position:absolute;left:6458;top:4382;height:312;width:1980;" fillcolor="#FFFFFF" filled="t" stroked="t" coordsize="21600,21600" o:gfxdata="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pxWWr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0mm,0mm,0mm,0mm">
                    <w:txbxContent>
                      <w:p>
                        <w:pPr>
                          <w:jc w:val="center"/>
                          <w:rPr>
                            <w:rFonts w:hint="eastAsia"/>
                          </w:rPr>
                        </w:pPr>
                        <w:r>
                          <w:rPr>
                            <w:rFonts w:hint="eastAsia"/>
                          </w:rPr>
                          <w:t>渣水分离</w:t>
                        </w:r>
                      </w:p>
                    </w:txbxContent>
                  </v:textbox>
                </v:shape>
                <v:shape id="文本框 6787" o:spid="_x0000_s1026" o:spt="202" type="#_x0000_t202" style="position:absolute;left:3398;top:3290;height:312;width:720;" fillcolor="#FFFFFF" filled="t" stroked="t" coordsize="21600,21600" o:gfxdata="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0PPB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0mm,0mm,0mm">
                    <w:txbxContent>
                      <w:p>
                        <w:pPr>
                          <w:autoSpaceDE w:val="0"/>
                          <w:autoSpaceDN w:val="0"/>
                          <w:adjustRightInd w:val="0"/>
                          <w:jc w:val="center"/>
                          <w:rPr>
                            <w:rFonts w:hint="eastAsia"/>
                            <w:color w:val="000000"/>
                            <w:lang w:val="zh-CN"/>
                          </w:rPr>
                        </w:pPr>
                        <w:r>
                          <w:rPr>
                            <w:rFonts w:hint="eastAsia"/>
                            <w:color w:val="000000"/>
                            <w:lang w:val="zh-CN"/>
                          </w:rPr>
                          <w:t>选矿</w:t>
                        </w:r>
                      </w:p>
                    </w:txbxContent>
                  </v:textbox>
                </v:shape>
                <v:shape id="文本框 6790" o:spid="_x0000_s1026" o:spt="202" type="#_x0000_t202" style="position:absolute;left:2498;top:2510;height:312;width:1440;" fillcolor="#FFFFFF" filled="t" stroked="t" coordsize="21600,21600" o:gfxdata="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Mn0F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补充水180</w:t>
                        </w:r>
                      </w:p>
                    </w:txbxContent>
                  </v:textbox>
                </v:shape>
                <v:shape id="文本框 6791" o:spid="_x0000_s1026" o:spt="202" type="#_x0000_t202" style="position:absolute;left:8258;top:3914;height:312;width:1440;" fillcolor="#FFFFFF" filled="t" stroked="t" coordsize="21600,21600" o:gfxdata="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37Ynr4A&#10;AADbAAAADwAAAAAAAAABACAAAAAiAAAAZHJzL2Rvd25yZXYueG1sUEsBAhQAFAAAAAgAh07iQDMv&#10;BZ47AAAAOQAAABAAAAAAAAAAAQAgAAAADQEAAGRycy9zaGFwZXhtbC54bWxQSwUGAAAAAAYABgBb&#10;AQAAtwMAAAAA&#10;">
                  <v:fill on="t" focussize="0,0"/>
                  <v:stroke color="#FFFFFF" joinstyle="miter"/>
                  <v:imagedata o:title=""/>
                  <o:lock v:ext="edit" aspectratio="f"/>
                  <v:textbox inset="0mm,0mm,0mm,0mm">
                    <w:txbxContent>
                      <w:p>
                        <w:pPr>
                          <w:autoSpaceDE w:val="0"/>
                          <w:autoSpaceDN w:val="0"/>
                          <w:adjustRightInd w:val="0"/>
                          <w:jc w:val="center"/>
                          <w:rPr>
                            <w:color w:val="000000"/>
                            <w:lang w:val="zh-CN"/>
                          </w:rPr>
                        </w:pPr>
                        <w:r>
                          <w:rPr>
                            <w:rFonts w:hint="eastAsia"/>
                            <w:color w:val="000000"/>
                            <w:lang w:val="zh-CN"/>
                          </w:rPr>
                          <w:t>尾渣带走166</w:t>
                        </w:r>
                      </w:p>
                    </w:txbxContent>
                  </v:textbox>
                </v:shape>
                <v:line id="直线 6794" o:spid="_x0000_s1026" o:spt="20" style="position:absolute;left:3758;top:2822;height:468;width:0;" filled="f" stroked="t" coordsize="21600,21600" o:gfxdata="UEsDBAoAAAAAAIdO4kAAAAAAAAAAAAAAAAAEAAAAZHJzL1BLAwQUAAAACACHTuJAy00fCL8AAADb&#10;AAAADwAAAGRycy9kb3ducmV2LnhtbEWPT2vCQBTE7wW/w/KE3uomUmq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tNHwi/&#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795" o:spid="_x0000_s1026" o:spt="20" style="position:absolute;left:7358;top:2666;height:468;width:0;" filled="f" stroked="t" coordsize="21600,21600" o:gfxdata="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QBupO/&#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796" o:spid="_x0000_s1026" o:spt="20" style="position:absolute;left:4298;top:3290;height:0;width:360;" filled="f" stroked="t" coordsize="21600,21600" o:gfxdata="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Mk5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797" o:spid="_x0000_s1026" o:spt="20" style="position:absolute;left:7358;top:4694;height:624;width:0;" filled="f" stroked="t" coordsize="21600,21600" o:gfxdata="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ufgX+/&#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800" o:spid="_x0000_s1026" o:spt="20" style="position:absolute;left:4298;top:2666;height:0;width:360;" filled="f" stroked="t" coordsize="21600,21600" o:gfxdata="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gAVD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801" o:spid="_x0000_s1026" o:spt="20" style="position:absolute;left:7358;top:3446;height:936;width:0;" filled="f" stroked="t" coordsize="21600,21600" o:gfxdata="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VMs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802" o:spid="_x0000_s1026" o:spt="20" style="position:absolute;left:4298;top:4538;height:0;width:360;" filled="f" stroked="t" coordsize="21600,21600" o:gfxdata="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aNpLL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line>
                <v:line id="直线 6805" o:spid="_x0000_s1026" o:spt="20" style="position:absolute;left:8078;top:5006;flip:y;height:312;width:180;" filled="f" stroked="t" coordsize="21600,21600" o:gfxdata="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Tqa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06" o:spid="_x0000_s1026" o:spt="20" style="position:absolute;left:6098;top:3290;height:0;width:540;" filled="f" stroked="t" coordsize="21600,21600" o:gfxdata="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j1Sw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07" o:spid="_x0000_s1026" o:spt="20" style="position:absolute;left:4298;top:3914;height:0;width:360;" filled="f" stroked="t" coordsize="21600,21600" o:gfxdata="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x91u/&#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line>
                <v:line id="直线 6810" o:spid="_x0000_s1026" o:spt="20" style="position:absolute;left:8438;top:3290;flip:x;height:0;width:1440;" filled="f" stroked="t" coordsize="21600,21600" o:gfxdata="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NJ8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11" o:spid="_x0000_s1026" o:spt="20" style="position:absolute;left:8078;top:4070;flip:y;height:312;width:180;" filled="f" stroked="t" coordsize="21600,21600" o:gfxdata="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w/s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line>
                <v:line id="直线 6812" o:spid="_x0000_s1026" o:spt="20" style="position:absolute;left:6098;top:2666;flip:y;height:0;width:1260;" filled="f" stroked="t" coordsize="21600,21600" o:gfxdata="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p1G6r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813" o:spid="_x0000_s1026" o:spt="20" style="position:absolute;left:4298;top:2666;height:1872;width:0;" filled="f" stroked="t" coordsize="21600,21600" o:gfxdata="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f3Vu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线 6816" o:spid="_x0000_s1026" o:spt="20" style="position:absolute;left:8438;top:5474;height:0;width:1440;" filled="f" stroked="t" coordsize="21600,21600" o:gfxdata="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UBJKbsAAADb&#10;AAAADwAAAAAAAAABACAAAAAiAAAAZHJzL2Rvd25yZXYueG1sUEsBAhQAFAAAAAgAh07iQDMvBZ47&#10;AAAAOQAAABAAAAAAAAAAAQAgAAAACgEAAGRycy9zaGFwZXhtbC54bWxQSwUGAAAAAAYABgBbAQAA&#10;tAMAAAAA&#10;">
                  <v:fill on="f" focussize="0,0"/>
                  <v:stroke color="#000000" joinstyle="round"/>
                  <v:imagedata o:title=""/>
                  <o:lock v:ext="edit" aspectratio="f"/>
                </v:line>
                <v:line id="直线 6817" o:spid="_x0000_s1026" o:spt="20" style="position:absolute;left:9878;top:3290;height:2184;width:0;" filled="f" stroked="t" coordsize="21600,21600" o:gfxdata="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4M7LK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group>
            </w:pict>
          </mc:Fallback>
        </mc:AlternateContent>
      </w: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spacing w:line="240" w:lineRule="exact"/>
        <w:ind w:firstLine="480" w:firstLineChars="200"/>
        <w:rPr>
          <w:rFonts w:hint="eastAsia" w:ascii="宋体" w:hAnsi="宋体"/>
          <w:color w:val="000000"/>
          <w:sz w:val="24"/>
          <w:szCs w:val="24"/>
        </w:rPr>
      </w:pPr>
    </w:p>
    <w:p>
      <w:pPr>
        <w:tabs>
          <w:tab w:val="left" w:pos="5955"/>
        </w:tabs>
        <w:spacing w:line="360" w:lineRule="auto"/>
        <w:jc w:val="center"/>
        <w:rPr>
          <w:rFonts w:hint="eastAsia"/>
          <w:b/>
          <w:color w:val="000000"/>
          <w:sz w:val="24"/>
          <w:szCs w:val="24"/>
        </w:rPr>
      </w:pPr>
      <w:r>
        <w:rPr>
          <w:rFonts w:hint="eastAsia"/>
          <w:b/>
          <w:color w:val="000000"/>
          <w:sz w:val="24"/>
          <w:szCs w:val="24"/>
        </w:rPr>
        <w:t>图 3-4 审核重点水平衡图 （单位</w:t>
      </w:r>
      <w:r>
        <w:rPr>
          <w:rFonts w:hint="eastAsia"/>
          <w:color w:val="000000"/>
          <w:sz w:val="24"/>
          <w:szCs w:val="24"/>
        </w:rPr>
        <w:t>t/d</w:t>
      </w:r>
      <w:r>
        <w:rPr>
          <w:rFonts w:hint="eastAsia"/>
          <w:b/>
          <w:color w:val="000000"/>
          <w:sz w:val="24"/>
          <w:szCs w:val="24"/>
        </w:rPr>
        <w:t>）</w:t>
      </w:r>
    </w:p>
    <w:p>
      <w:pPr>
        <w:tabs>
          <w:tab w:val="left" w:pos="5955"/>
        </w:tabs>
        <w:spacing w:line="360" w:lineRule="auto"/>
        <w:jc w:val="center"/>
        <w:rPr>
          <w:rFonts w:hint="eastAsia"/>
          <w:b/>
          <w:color w:val="000000"/>
          <w:sz w:val="24"/>
          <w:szCs w:val="24"/>
        </w:rPr>
      </w:pPr>
    </w:p>
    <w:p>
      <w:pPr>
        <w:tabs>
          <w:tab w:val="left" w:pos="5955"/>
        </w:tabs>
        <w:spacing w:line="360" w:lineRule="auto"/>
        <w:ind w:firstLine="480" w:firstLineChars="200"/>
        <w:rPr>
          <w:rFonts w:hint="eastAsia"/>
          <w:color w:val="000000"/>
          <w:sz w:val="24"/>
        </w:rPr>
      </w:pPr>
      <w:r>
        <w:rPr>
          <w:rFonts w:hint="eastAsia"/>
          <w:color w:val="000000"/>
          <w:sz w:val="24"/>
        </w:rPr>
        <w:t>从图 3-4 看出审核重点在三日的实测中输入水量平均800t</w:t>
      </w:r>
      <w:r>
        <w:rPr>
          <w:rFonts w:hint="eastAsia"/>
          <w:color w:val="000000"/>
          <w:sz w:val="24"/>
          <w:szCs w:val="24"/>
        </w:rPr>
        <w:t xml:space="preserve"> /d</w:t>
      </w:r>
      <w:r>
        <w:rPr>
          <w:rFonts w:hint="eastAsia"/>
          <w:color w:val="000000"/>
          <w:sz w:val="24"/>
        </w:rPr>
        <w:t>；输出796t</w:t>
      </w:r>
      <w:r>
        <w:rPr>
          <w:rFonts w:hint="eastAsia"/>
          <w:color w:val="000000"/>
          <w:sz w:val="24"/>
          <w:szCs w:val="24"/>
        </w:rPr>
        <w:t xml:space="preserve"> /d</w:t>
      </w:r>
      <w:r>
        <w:rPr>
          <w:rFonts w:hint="eastAsia"/>
          <w:color w:val="000000"/>
          <w:sz w:val="24"/>
        </w:rPr>
        <w:t>，输入输出相差4t/d，误差为0.5%，误差＜5%，平衡成立。误差主要是尾矿渣带水计算误差。</w:t>
      </w:r>
    </w:p>
    <w:p>
      <w:pPr>
        <w:pStyle w:val="89"/>
        <w:spacing w:beforeLines="0"/>
        <w:ind w:firstLine="480"/>
        <w:rPr>
          <w:rFonts w:hint="eastAsia"/>
          <w:color w:val="000000"/>
          <w:sz w:val="24"/>
        </w:rPr>
      </w:pPr>
      <w:r>
        <w:rPr>
          <w:rFonts w:hint="eastAsia"/>
          <w:color w:val="000000"/>
          <w:sz w:val="24"/>
        </w:rPr>
        <w:t>（3）建立能源平衡</w:t>
      </w:r>
    </w:p>
    <w:p>
      <w:pPr>
        <w:pStyle w:val="89"/>
        <w:spacing w:beforeLines="0"/>
        <w:ind w:firstLine="480"/>
        <w:rPr>
          <w:rFonts w:hint="eastAsia"/>
          <w:color w:val="000000"/>
          <w:sz w:val="24"/>
        </w:rPr>
      </w:pPr>
      <w:r>
        <w:rPr>
          <w:rFonts w:hint="eastAsia"/>
          <w:color w:val="000000"/>
          <w:sz w:val="24"/>
        </w:rPr>
        <w:t>审核小组根据实测在线电仪表用电数据。实测数据见表 3-6。根据输入、输出量数据，绘制审核重点能源平衡，见图 3-5。</w:t>
      </w:r>
    </w:p>
    <w:p>
      <w:pPr>
        <w:spacing w:line="360" w:lineRule="auto"/>
        <w:ind w:firstLine="482" w:firstLineChars="200"/>
        <w:jc w:val="center"/>
        <w:rPr>
          <w:rFonts w:hint="eastAsia" w:ascii="宋体" w:hAnsi="宋体"/>
          <w:b/>
          <w:color w:val="000000"/>
          <w:sz w:val="24"/>
          <w:szCs w:val="24"/>
        </w:rPr>
      </w:pPr>
      <w:r>
        <w:rPr>
          <w:rFonts w:hint="eastAsia" w:ascii="宋体" w:hAnsi="宋体"/>
          <w:b/>
          <w:color w:val="000000"/>
          <w:sz w:val="24"/>
          <w:szCs w:val="24"/>
        </w:rPr>
        <w:t>表 3-6 输入、输出电量数据表</w:t>
      </w:r>
    </w:p>
    <w:tbl>
      <w:tblPr>
        <w:tblStyle w:val="3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5"/>
        <w:gridCol w:w="2695"/>
        <w:gridCol w:w="2556"/>
        <w:gridCol w:w="20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5" w:hRule="atLeast"/>
        </w:trPr>
        <w:tc>
          <w:tcPr>
            <w:tcW w:w="115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项目</w:t>
            </w: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监测内容</w:t>
            </w:r>
          </w:p>
        </w:tc>
        <w:tc>
          <w:tcPr>
            <w:tcW w:w="2556"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单位</w:t>
            </w:r>
          </w:p>
        </w:tc>
        <w:tc>
          <w:tcPr>
            <w:tcW w:w="2073"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平均监测值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5" w:hRule="atLeast"/>
        </w:trPr>
        <w:tc>
          <w:tcPr>
            <w:tcW w:w="115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输入</w:t>
            </w: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输入电表</w:t>
            </w:r>
          </w:p>
        </w:tc>
        <w:tc>
          <w:tcPr>
            <w:tcW w:w="2556" w:type="dxa"/>
            <w:noWrap w:val="0"/>
            <w:vAlign w:val="top"/>
          </w:tcPr>
          <w:p>
            <w:pPr>
              <w:spacing w:line="320" w:lineRule="exact"/>
              <w:jc w:val="center"/>
              <w:rPr>
                <w:color w:val="000000"/>
                <w:szCs w:val="21"/>
              </w:rPr>
            </w:pPr>
            <w:r>
              <w:rPr>
                <w:rFonts w:hint="eastAsia" w:ascii="宋体" w:hAnsi="宋体"/>
                <w:color w:val="000000"/>
                <w:szCs w:val="21"/>
              </w:rPr>
              <w:t>kWh/d</w:t>
            </w:r>
          </w:p>
        </w:tc>
        <w:tc>
          <w:tcPr>
            <w:tcW w:w="2073"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7978-7907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75" w:hRule="atLeast"/>
        </w:trPr>
        <w:tc>
          <w:tcPr>
            <w:tcW w:w="1155" w:type="dxa"/>
            <w:vMerge w:val="restart"/>
            <w:noWrap w:val="0"/>
            <w:vAlign w:val="top"/>
          </w:tcPr>
          <w:p>
            <w:pPr>
              <w:spacing w:line="320" w:lineRule="exact"/>
              <w:ind w:firstLine="420" w:firstLineChars="200"/>
              <w:rPr>
                <w:rFonts w:hint="eastAsia" w:ascii="宋体" w:hAnsi="宋体"/>
                <w:color w:val="000000"/>
                <w:szCs w:val="21"/>
              </w:rPr>
            </w:pPr>
          </w:p>
          <w:p>
            <w:pPr>
              <w:spacing w:line="320" w:lineRule="exact"/>
              <w:ind w:firstLine="420" w:firstLineChars="200"/>
              <w:rPr>
                <w:rFonts w:hint="eastAsia" w:ascii="宋体" w:hAnsi="宋体"/>
                <w:color w:val="000000"/>
                <w:szCs w:val="21"/>
              </w:rPr>
            </w:pPr>
            <w:r>
              <w:rPr>
                <w:rFonts w:hint="eastAsia" w:ascii="宋体" w:hAnsi="宋体"/>
                <w:color w:val="000000"/>
                <w:szCs w:val="21"/>
              </w:rPr>
              <w:t>输出</w:t>
            </w:r>
          </w:p>
          <w:p>
            <w:pPr>
              <w:spacing w:line="320" w:lineRule="exact"/>
              <w:jc w:val="center"/>
              <w:rPr>
                <w:rFonts w:hint="eastAsia" w:ascii="宋体" w:hAnsi="宋体"/>
                <w:color w:val="000000"/>
                <w:szCs w:val="21"/>
              </w:rPr>
            </w:pP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破碎</w:t>
            </w:r>
          </w:p>
        </w:tc>
        <w:tc>
          <w:tcPr>
            <w:tcW w:w="2556" w:type="dxa"/>
            <w:noWrap w:val="0"/>
            <w:vAlign w:val="top"/>
          </w:tcPr>
          <w:p>
            <w:pPr>
              <w:spacing w:line="320" w:lineRule="exact"/>
              <w:jc w:val="center"/>
              <w:rPr>
                <w:color w:val="000000"/>
                <w:szCs w:val="21"/>
              </w:rPr>
            </w:pPr>
            <w:r>
              <w:rPr>
                <w:rFonts w:hint="eastAsia" w:ascii="宋体" w:hAnsi="宋体"/>
                <w:color w:val="000000"/>
                <w:szCs w:val="21"/>
              </w:rPr>
              <w:t>kWh/d</w:t>
            </w:r>
          </w:p>
        </w:tc>
        <w:tc>
          <w:tcPr>
            <w:tcW w:w="2073" w:type="dxa"/>
            <w:noWrap w:val="0"/>
            <w:vAlign w:val="top"/>
          </w:tcPr>
          <w:p>
            <w:pPr>
              <w:spacing w:line="320" w:lineRule="exact"/>
              <w:jc w:val="center"/>
              <w:rPr>
                <w:rFonts w:hint="eastAsia"/>
                <w:color w:val="000000"/>
                <w:szCs w:val="21"/>
              </w:rPr>
            </w:pPr>
            <w:r>
              <w:rPr>
                <w:rFonts w:hint="eastAsia"/>
                <w:color w:val="000000"/>
                <w:szCs w:val="21"/>
              </w:rPr>
              <w:t>463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 w:hRule="atLeast"/>
        </w:trPr>
        <w:tc>
          <w:tcPr>
            <w:tcW w:w="1155" w:type="dxa"/>
            <w:vMerge w:val="continue"/>
            <w:noWrap w:val="0"/>
            <w:vAlign w:val="top"/>
          </w:tcPr>
          <w:p>
            <w:pPr>
              <w:spacing w:line="320" w:lineRule="exact"/>
              <w:jc w:val="center"/>
              <w:rPr>
                <w:rFonts w:hint="eastAsia" w:ascii="宋体" w:hAnsi="宋体"/>
                <w:color w:val="000000"/>
                <w:szCs w:val="21"/>
              </w:rPr>
            </w:pP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磨矿</w:t>
            </w:r>
          </w:p>
        </w:tc>
        <w:tc>
          <w:tcPr>
            <w:tcW w:w="2556" w:type="dxa"/>
            <w:noWrap w:val="0"/>
            <w:vAlign w:val="top"/>
          </w:tcPr>
          <w:p>
            <w:pPr>
              <w:spacing w:line="320" w:lineRule="exact"/>
              <w:jc w:val="center"/>
              <w:rPr>
                <w:color w:val="000000"/>
                <w:szCs w:val="21"/>
              </w:rPr>
            </w:pPr>
            <w:r>
              <w:rPr>
                <w:rFonts w:hint="eastAsia" w:ascii="宋体" w:hAnsi="宋体"/>
                <w:color w:val="000000"/>
                <w:szCs w:val="21"/>
              </w:rPr>
              <w:t>kWh/d</w:t>
            </w:r>
          </w:p>
        </w:tc>
        <w:tc>
          <w:tcPr>
            <w:tcW w:w="2073" w:type="dxa"/>
            <w:noWrap w:val="0"/>
            <w:vAlign w:val="top"/>
          </w:tcPr>
          <w:p>
            <w:pPr>
              <w:autoSpaceDE w:val="0"/>
              <w:autoSpaceDN w:val="0"/>
              <w:adjustRightInd w:val="0"/>
              <w:spacing w:line="320" w:lineRule="exact"/>
              <w:jc w:val="center"/>
              <w:rPr>
                <w:rFonts w:hint="eastAsia" w:cs="宋体"/>
                <w:bCs/>
                <w:color w:val="000000"/>
                <w:szCs w:val="21"/>
              </w:rPr>
            </w:pPr>
            <w:r>
              <w:rPr>
                <w:rFonts w:hint="eastAsia" w:cs="宋体"/>
                <w:bCs/>
                <w:color w:val="000000"/>
                <w:szCs w:val="21"/>
              </w:rPr>
              <w:t>3626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 w:hRule="atLeast"/>
        </w:trPr>
        <w:tc>
          <w:tcPr>
            <w:tcW w:w="1155" w:type="dxa"/>
            <w:vMerge w:val="continue"/>
            <w:noWrap w:val="0"/>
            <w:vAlign w:val="top"/>
          </w:tcPr>
          <w:p>
            <w:pPr>
              <w:spacing w:line="320" w:lineRule="exact"/>
              <w:jc w:val="center"/>
              <w:rPr>
                <w:rFonts w:hint="eastAsia" w:ascii="宋体" w:hAnsi="宋体"/>
                <w:color w:val="000000"/>
                <w:szCs w:val="21"/>
              </w:rPr>
            </w:pP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分级</w:t>
            </w:r>
          </w:p>
        </w:tc>
        <w:tc>
          <w:tcPr>
            <w:tcW w:w="2556" w:type="dxa"/>
            <w:noWrap w:val="0"/>
            <w:vAlign w:val="top"/>
          </w:tcPr>
          <w:p>
            <w:pPr>
              <w:spacing w:line="320" w:lineRule="exact"/>
              <w:jc w:val="center"/>
              <w:rPr>
                <w:color w:val="000000"/>
                <w:szCs w:val="21"/>
              </w:rPr>
            </w:pPr>
            <w:r>
              <w:rPr>
                <w:rFonts w:hint="eastAsia" w:ascii="宋体" w:hAnsi="宋体"/>
                <w:color w:val="000000"/>
                <w:szCs w:val="21"/>
              </w:rPr>
              <w:t>kWh/d</w:t>
            </w:r>
          </w:p>
        </w:tc>
        <w:tc>
          <w:tcPr>
            <w:tcW w:w="2073"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159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 w:hRule="atLeast"/>
        </w:trPr>
        <w:tc>
          <w:tcPr>
            <w:tcW w:w="1155" w:type="dxa"/>
            <w:vMerge w:val="continue"/>
            <w:noWrap w:val="0"/>
            <w:vAlign w:val="top"/>
          </w:tcPr>
          <w:p>
            <w:pPr>
              <w:spacing w:line="320" w:lineRule="exact"/>
              <w:jc w:val="center"/>
              <w:rPr>
                <w:rFonts w:hint="eastAsia" w:ascii="宋体" w:hAnsi="宋体"/>
                <w:color w:val="000000"/>
                <w:szCs w:val="21"/>
              </w:rPr>
            </w:pP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浮选</w:t>
            </w:r>
          </w:p>
        </w:tc>
        <w:tc>
          <w:tcPr>
            <w:tcW w:w="2556" w:type="dxa"/>
            <w:noWrap w:val="0"/>
            <w:vAlign w:val="top"/>
          </w:tcPr>
          <w:p>
            <w:pPr>
              <w:spacing w:line="320" w:lineRule="exact"/>
              <w:jc w:val="center"/>
              <w:rPr>
                <w:color w:val="000000"/>
                <w:szCs w:val="21"/>
              </w:rPr>
            </w:pPr>
            <w:r>
              <w:rPr>
                <w:rFonts w:hint="eastAsia" w:ascii="宋体" w:hAnsi="宋体"/>
                <w:color w:val="000000"/>
                <w:szCs w:val="21"/>
              </w:rPr>
              <w:t>kWh/d</w:t>
            </w:r>
          </w:p>
        </w:tc>
        <w:tc>
          <w:tcPr>
            <w:tcW w:w="2073" w:type="dxa"/>
            <w:noWrap w:val="0"/>
            <w:vAlign w:val="top"/>
          </w:tcPr>
          <w:p>
            <w:pPr>
              <w:autoSpaceDE w:val="0"/>
              <w:autoSpaceDN w:val="0"/>
              <w:adjustRightInd w:val="0"/>
              <w:spacing w:line="320" w:lineRule="exact"/>
              <w:jc w:val="center"/>
              <w:rPr>
                <w:rFonts w:hint="eastAsia" w:cs="宋体"/>
                <w:bCs/>
                <w:color w:val="000000"/>
                <w:szCs w:val="21"/>
              </w:rPr>
            </w:pPr>
            <w:r>
              <w:rPr>
                <w:rFonts w:hint="eastAsia" w:cs="宋体"/>
                <w:bCs/>
                <w:color w:val="000000"/>
                <w:szCs w:val="21"/>
              </w:rPr>
              <w:t>2847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 w:hRule="atLeast"/>
        </w:trPr>
        <w:tc>
          <w:tcPr>
            <w:tcW w:w="1155" w:type="dxa"/>
            <w:vMerge w:val="continue"/>
            <w:noWrap w:val="0"/>
            <w:vAlign w:val="top"/>
          </w:tcPr>
          <w:p>
            <w:pPr>
              <w:spacing w:line="320" w:lineRule="exact"/>
              <w:jc w:val="center"/>
              <w:rPr>
                <w:rFonts w:hint="eastAsia" w:ascii="宋体" w:hAnsi="宋体"/>
                <w:color w:val="000000"/>
                <w:szCs w:val="21"/>
              </w:rPr>
            </w:pP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重选工段</w:t>
            </w:r>
          </w:p>
        </w:tc>
        <w:tc>
          <w:tcPr>
            <w:tcW w:w="2556" w:type="dxa"/>
            <w:noWrap w:val="0"/>
            <w:vAlign w:val="top"/>
          </w:tcPr>
          <w:p>
            <w:pPr>
              <w:spacing w:line="320" w:lineRule="exact"/>
              <w:jc w:val="center"/>
              <w:rPr>
                <w:color w:val="000000"/>
                <w:szCs w:val="21"/>
              </w:rPr>
            </w:pPr>
            <w:r>
              <w:rPr>
                <w:rFonts w:hint="eastAsia" w:ascii="宋体" w:hAnsi="宋体"/>
                <w:color w:val="000000"/>
                <w:szCs w:val="21"/>
              </w:rPr>
              <w:t>kWh/d</w:t>
            </w:r>
          </w:p>
        </w:tc>
        <w:tc>
          <w:tcPr>
            <w:tcW w:w="2073"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354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 w:hRule="atLeast"/>
        </w:trPr>
        <w:tc>
          <w:tcPr>
            <w:tcW w:w="1155" w:type="dxa"/>
            <w:vMerge w:val="continue"/>
            <w:noWrap w:val="0"/>
            <w:vAlign w:val="top"/>
          </w:tcPr>
          <w:p>
            <w:pPr>
              <w:spacing w:line="320" w:lineRule="exact"/>
              <w:jc w:val="center"/>
              <w:rPr>
                <w:rFonts w:hint="eastAsia" w:ascii="宋体" w:hAnsi="宋体"/>
                <w:color w:val="000000"/>
                <w:szCs w:val="21"/>
              </w:rPr>
            </w:pPr>
          </w:p>
        </w:tc>
        <w:tc>
          <w:tcPr>
            <w:tcW w:w="2695"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其他（搅拌、给矿）</w:t>
            </w:r>
          </w:p>
        </w:tc>
        <w:tc>
          <w:tcPr>
            <w:tcW w:w="2556" w:type="dxa"/>
            <w:noWrap w:val="0"/>
            <w:vAlign w:val="top"/>
          </w:tcPr>
          <w:p>
            <w:pPr>
              <w:spacing w:line="320" w:lineRule="exact"/>
              <w:jc w:val="center"/>
              <w:rPr>
                <w:color w:val="000000"/>
                <w:szCs w:val="21"/>
              </w:rPr>
            </w:pPr>
            <w:r>
              <w:rPr>
                <w:rFonts w:hint="eastAsia" w:ascii="宋体" w:hAnsi="宋体"/>
                <w:color w:val="000000"/>
                <w:szCs w:val="21"/>
              </w:rPr>
              <w:t>kWh/d</w:t>
            </w:r>
          </w:p>
        </w:tc>
        <w:tc>
          <w:tcPr>
            <w:tcW w:w="2073"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458</w:t>
            </w:r>
          </w:p>
        </w:tc>
      </w:tr>
    </w:tbl>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80" w:firstLineChars="200"/>
        <w:rPr>
          <w:rFonts w:hint="eastAsia" w:ascii="宋体" w:hAnsi="宋体"/>
          <w:color w:val="000000"/>
          <w:sz w:val="24"/>
          <w:szCs w:val="24"/>
        </w:rPr>
      </w:pPr>
    </w:p>
    <w:p>
      <w:pPr>
        <w:spacing w:line="320" w:lineRule="exact"/>
        <w:ind w:firstLine="420" w:firstLineChars="200"/>
        <w:rPr>
          <w:rFonts w:hint="eastAsia" w:ascii="宋体" w:hAnsi="宋体"/>
          <w:color w:val="000000"/>
          <w:sz w:val="24"/>
          <w:szCs w:val="24"/>
        </w:rPr>
      </w:pPr>
      <w:r>
        <w:rPr>
          <w:color w:val="000000"/>
          <w:lang/>
        </w:rPr>
        <mc:AlternateContent>
          <mc:Choice Requires="wpg">
            <w:drawing>
              <wp:anchor distT="0" distB="0" distL="114300" distR="114300" simplePos="0" relativeHeight="251671552" behindDoc="0" locked="0" layoutInCell="1" allowOverlap="1">
                <wp:simplePos x="0" y="0"/>
                <wp:positionH relativeFrom="column">
                  <wp:posOffset>571500</wp:posOffset>
                </wp:positionH>
                <wp:positionV relativeFrom="paragraph">
                  <wp:posOffset>-5080</wp:posOffset>
                </wp:positionV>
                <wp:extent cx="4686300" cy="1981200"/>
                <wp:effectExtent l="0" t="6350" r="0" b="12700"/>
                <wp:wrapNone/>
                <wp:docPr id="106" name="组合 6835"/>
                <wp:cNvGraphicFramePr/>
                <a:graphic xmlns:a="http://schemas.openxmlformats.org/drawingml/2006/main">
                  <a:graphicData uri="http://schemas.microsoft.com/office/word/2010/wordprocessingGroup">
                    <wpg:wgp>
                      <wpg:cNvGrpSpPr/>
                      <wpg:grpSpPr>
                        <a:xfrm>
                          <a:off x="0" y="0"/>
                          <a:ext cx="4686300" cy="1981200"/>
                          <a:chOff x="3398" y="10564"/>
                          <a:chExt cx="7380" cy="3208"/>
                        </a:xfrm>
                      </wpg:grpSpPr>
                      <wps:wsp>
                        <wps:cNvPr id="91" name="Text Box 1218"/>
                        <wps:cNvSpPr txBox="1"/>
                        <wps:spPr>
                          <a:xfrm>
                            <a:off x="3398" y="10963"/>
                            <a:ext cx="1440" cy="468"/>
                          </a:xfrm>
                          <a:prstGeom prst="rect">
                            <a:avLst/>
                          </a:prstGeom>
                          <a:solidFill>
                            <a:srgbClr val="FFFFFF"/>
                          </a:solidFill>
                          <a:ln w="12700">
                            <a:noFill/>
                          </a:ln>
                        </wps:spPr>
                        <wps:txbx>
                          <w:txbxContent>
                            <w:p>
                              <w:pPr>
                                <w:rPr>
                                  <w:rFonts w:hint="eastAsia"/>
                                </w:rPr>
                              </w:pPr>
                              <w:r>
                                <w:rPr>
                                  <w:rFonts w:hint="eastAsia"/>
                                </w:rPr>
                                <w:t>电7978kwh</w:t>
                              </w:r>
                            </w:p>
                          </w:txbxContent>
                        </wps:txbx>
                        <wps:bodyPr wrap="square" lIns="0" tIns="0" rIns="0" bIns="0" upright="1"/>
                      </wps:wsp>
                      <wps:wsp>
                        <wps:cNvPr id="92" name="Line 1219"/>
                        <wps:cNvSpPr/>
                        <wps:spPr>
                          <a:xfrm>
                            <a:off x="4658" y="11032"/>
                            <a:ext cx="720" cy="0"/>
                          </a:xfrm>
                          <a:prstGeom prst="line">
                            <a:avLst/>
                          </a:prstGeom>
                          <a:ln w="12700" cap="flat" cmpd="sng">
                            <a:solidFill>
                              <a:srgbClr val="000000"/>
                            </a:solidFill>
                            <a:prstDash val="solid"/>
                            <a:headEnd type="none" w="med" len="med"/>
                            <a:tailEnd type="triangle" w="med" len="med"/>
                          </a:ln>
                        </wps:spPr>
                        <wps:bodyPr upright="1"/>
                      </wps:wsp>
                      <wps:wsp>
                        <wps:cNvPr id="93" name="Text Box 1221"/>
                        <wps:cNvSpPr txBox="1"/>
                        <wps:spPr>
                          <a:xfrm>
                            <a:off x="7898" y="10651"/>
                            <a:ext cx="2700" cy="498"/>
                          </a:xfrm>
                          <a:prstGeom prst="rect">
                            <a:avLst/>
                          </a:prstGeom>
                          <a:solidFill>
                            <a:srgbClr val="FFFFFF"/>
                          </a:solidFill>
                          <a:ln w="12700">
                            <a:noFill/>
                          </a:ln>
                        </wps:spPr>
                        <wps:txbx>
                          <w:txbxContent>
                            <w:p>
                              <w:pPr>
                                <w:rPr>
                                  <w:rFonts w:hint="eastAsia"/>
                                </w:rPr>
                              </w:pPr>
                              <w:r>
                                <w:rPr>
                                  <w:rFonts w:hint="eastAsia"/>
                                </w:rPr>
                                <w:t>破碎工段耗电463</w:t>
                              </w:r>
                            </w:p>
                          </w:txbxContent>
                        </wps:txbx>
                        <wps:bodyPr wrap="square" lIns="0" tIns="0" rIns="0" bIns="0" upright="1"/>
                      </wps:wsp>
                      <wps:wsp>
                        <wps:cNvPr id="94" name="Text Box 1222"/>
                        <wps:cNvSpPr txBox="1"/>
                        <wps:spPr>
                          <a:xfrm>
                            <a:off x="7898" y="11246"/>
                            <a:ext cx="2520" cy="468"/>
                          </a:xfrm>
                          <a:prstGeom prst="rect">
                            <a:avLst/>
                          </a:prstGeom>
                          <a:solidFill>
                            <a:srgbClr val="FFFFFF"/>
                          </a:solidFill>
                          <a:ln w="12700">
                            <a:noFill/>
                          </a:ln>
                        </wps:spPr>
                        <wps:txbx>
                          <w:txbxContent>
                            <w:p>
                              <w:pPr>
                                <w:autoSpaceDE w:val="0"/>
                                <w:autoSpaceDN w:val="0"/>
                                <w:adjustRightInd w:val="0"/>
                                <w:rPr>
                                  <w:rFonts w:hint="eastAsia" w:cs="宋体"/>
                                  <w:bCs/>
                                  <w:color w:val="000000"/>
                                  <w:szCs w:val="18"/>
                                </w:rPr>
                              </w:pPr>
                              <w:r>
                                <w:rPr>
                                  <w:rFonts w:hint="eastAsia" w:cs="宋体"/>
                                  <w:bCs/>
                                  <w:color w:val="000000"/>
                                  <w:szCs w:val="18"/>
                                </w:rPr>
                                <w:t>球磨工段耗电3626</w:t>
                              </w:r>
                            </w:p>
                          </w:txbxContent>
                        </wps:txbx>
                        <wps:bodyPr wrap="square" lIns="0" tIns="0" rIns="0" bIns="0" upright="1"/>
                      </wps:wsp>
                      <wps:wsp>
                        <wps:cNvPr id="95" name="Text Box 1224"/>
                        <wps:cNvSpPr txBox="1"/>
                        <wps:spPr>
                          <a:xfrm>
                            <a:off x="7898" y="11870"/>
                            <a:ext cx="1800" cy="342"/>
                          </a:xfrm>
                          <a:prstGeom prst="rect">
                            <a:avLst/>
                          </a:prstGeom>
                          <a:solidFill>
                            <a:srgbClr val="FFFFFF"/>
                          </a:solidFill>
                          <a:ln w="12700">
                            <a:noFill/>
                          </a:ln>
                        </wps:spPr>
                        <wps:txbx>
                          <w:txbxContent>
                            <w:p>
                              <w:pPr>
                                <w:rPr>
                                  <w:rFonts w:hint="eastAsia"/>
                                </w:rPr>
                              </w:pPr>
                              <w:r>
                                <w:rPr>
                                  <w:rFonts w:hint="eastAsia" w:cs="宋体"/>
                                  <w:bCs/>
                                  <w:color w:val="000000"/>
                                  <w:szCs w:val="18"/>
                                </w:rPr>
                                <w:t>分级工段耗电159</w:t>
                              </w:r>
                            </w:p>
                          </w:txbxContent>
                        </wps:txbx>
                        <wps:bodyPr wrap="square" lIns="0" tIns="0" rIns="0" bIns="0" upright="1"/>
                      </wps:wsp>
                      <wps:wsp>
                        <wps:cNvPr id="96" name="Text Box 1225"/>
                        <wps:cNvSpPr txBox="1"/>
                        <wps:spPr>
                          <a:xfrm>
                            <a:off x="5378" y="10564"/>
                            <a:ext cx="1971" cy="312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b/>
                                  <w:bCs/>
                                  <w:sz w:val="44"/>
                                  <w:szCs w:val="44"/>
                                </w:rPr>
                              </w:pPr>
                            </w:p>
                            <w:p>
                              <w:pPr>
                                <w:jc w:val="center"/>
                                <w:rPr>
                                  <w:rFonts w:hint="eastAsia"/>
                                  <w:bCs/>
                                  <w:sz w:val="44"/>
                                  <w:szCs w:val="44"/>
                                </w:rPr>
                              </w:pPr>
                              <w:r>
                                <w:rPr>
                                  <w:rFonts w:hint="eastAsia"/>
                                  <w:bCs/>
                                  <w:sz w:val="44"/>
                                  <w:szCs w:val="44"/>
                                </w:rPr>
                                <w:t>选</w:t>
                              </w:r>
                            </w:p>
                            <w:p>
                              <w:pPr>
                                <w:jc w:val="center"/>
                                <w:rPr>
                                  <w:rFonts w:hint="eastAsia"/>
                                  <w:bCs/>
                                  <w:sz w:val="44"/>
                                  <w:szCs w:val="44"/>
                                </w:rPr>
                              </w:pPr>
                              <w:r>
                                <w:rPr>
                                  <w:rFonts w:hint="eastAsia"/>
                                  <w:bCs/>
                                  <w:sz w:val="44"/>
                                  <w:szCs w:val="44"/>
                                </w:rPr>
                                <w:t>矿</w:t>
                              </w:r>
                            </w:p>
                            <w:p>
                              <w:pPr>
                                <w:ind w:firstLine="660" w:firstLineChars="150"/>
                                <w:rPr>
                                  <w:rFonts w:hint="eastAsia"/>
                                  <w:szCs w:val="32"/>
                                </w:rPr>
                              </w:pPr>
                              <w:r>
                                <w:rPr>
                                  <w:rFonts w:hint="eastAsia"/>
                                  <w:bCs/>
                                  <w:sz w:val="44"/>
                                  <w:szCs w:val="44"/>
                                </w:rPr>
                                <w:t>厂</w:t>
                              </w:r>
                            </w:p>
                          </w:txbxContent>
                        </wps:txbx>
                        <wps:bodyPr wrap="square" upright="1"/>
                      </wps:wsp>
                      <wps:wsp>
                        <wps:cNvPr id="97" name="Text Box 1226"/>
                        <wps:cNvSpPr txBox="1"/>
                        <wps:spPr>
                          <a:xfrm>
                            <a:off x="7898" y="12494"/>
                            <a:ext cx="2880" cy="312"/>
                          </a:xfrm>
                          <a:prstGeom prst="rect">
                            <a:avLst/>
                          </a:prstGeom>
                          <a:solidFill>
                            <a:srgbClr val="FFFFFF"/>
                          </a:solidFill>
                          <a:ln w="12700">
                            <a:noFill/>
                          </a:ln>
                        </wps:spPr>
                        <wps:txbx>
                          <w:txbxContent>
                            <w:p>
                              <w:pPr>
                                <w:autoSpaceDE w:val="0"/>
                                <w:autoSpaceDN w:val="0"/>
                                <w:adjustRightInd w:val="0"/>
                                <w:rPr>
                                  <w:rFonts w:hint="eastAsia" w:cs="宋体"/>
                                  <w:bCs/>
                                  <w:color w:val="000000"/>
                                  <w:szCs w:val="21"/>
                                </w:rPr>
                              </w:pPr>
                              <w:r>
                                <w:rPr>
                                  <w:rFonts w:hint="eastAsia" w:cs="宋体"/>
                                  <w:bCs/>
                                  <w:color w:val="000000"/>
                                  <w:szCs w:val="21"/>
                                </w:rPr>
                                <w:t>浮选工段耗电2847</w:t>
                              </w:r>
                            </w:p>
                          </w:txbxContent>
                        </wps:txbx>
                        <wps:bodyPr wrap="square" lIns="0" tIns="0" rIns="0" bIns="0" upright="1"/>
                      </wps:wsp>
                      <wps:wsp>
                        <wps:cNvPr id="98" name="Text Box 1228"/>
                        <wps:cNvSpPr txBox="1"/>
                        <wps:spPr>
                          <a:xfrm>
                            <a:off x="7898" y="12962"/>
                            <a:ext cx="2160" cy="342"/>
                          </a:xfrm>
                          <a:prstGeom prst="rect">
                            <a:avLst/>
                          </a:prstGeom>
                          <a:solidFill>
                            <a:srgbClr val="FFFFFF"/>
                          </a:solidFill>
                          <a:ln w="12700">
                            <a:noFill/>
                          </a:ln>
                        </wps:spPr>
                        <wps:txbx>
                          <w:txbxContent>
                            <w:p>
                              <w:pPr>
                                <w:rPr>
                                  <w:rFonts w:hint="eastAsia"/>
                                </w:rPr>
                              </w:pPr>
                              <w:r>
                                <w:rPr>
                                  <w:rFonts w:hint="eastAsia"/>
                                </w:rPr>
                                <w:t>重选工段耗电354</w:t>
                              </w:r>
                            </w:p>
                          </w:txbxContent>
                        </wps:txbx>
                        <wps:bodyPr wrap="square" lIns="0" tIns="0" rIns="0" bIns="0" upright="1"/>
                      </wps:wsp>
                      <wps:wsp>
                        <wps:cNvPr id="99" name="Line 1358"/>
                        <wps:cNvSpPr/>
                        <wps:spPr>
                          <a:xfrm flipV="1">
                            <a:off x="7358" y="10807"/>
                            <a:ext cx="540" cy="1"/>
                          </a:xfrm>
                          <a:prstGeom prst="line">
                            <a:avLst/>
                          </a:prstGeom>
                          <a:ln w="12700" cap="flat" cmpd="sng">
                            <a:solidFill>
                              <a:srgbClr val="000000"/>
                            </a:solidFill>
                            <a:prstDash val="solid"/>
                            <a:headEnd type="none" w="med" len="med"/>
                            <a:tailEnd type="triangle" w="med" len="med"/>
                          </a:ln>
                        </wps:spPr>
                        <wps:bodyPr upright="1"/>
                      </wps:wsp>
                      <wps:wsp>
                        <wps:cNvPr id="100" name="Line 1360"/>
                        <wps:cNvSpPr/>
                        <wps:spPr>
                          <a:xfrm flipV="1">
                            <a:off x="7358" y="12026"/>
                            <a:ext cx="540" cy="1"/>
                          </a:xfrm>
                          <a:prstGeom prst="line">
                            <a:avLst/>
                          </a:prstGeom>
                          <a:ln w="12700" cap="flat" cmpd="sng">
                            <a:solidFill>
                              <a:srgbClr val="000000"/>
                            </a:solidFill>
                            <a:prstDash val="solid"/>
                            <a:headEnd type="none" w="med" len="med"/>
                            <a:tailEnd type="triangle" w="med" len="med"/>
                          </a:ln>
                        </wps:spPr>
                        <wps:bodyPr upright="1"/>
                      </wps:wsp>
                      <wps:wsp>
                        <wps:cNvPr id="101" name="Line 1362"/>
                        <wps:cNvSpPr/>
                        <wps:spPr>
                          <a:xfrm flipV="1">
                            <a:off x="7358" y="11402"/>
                            <a:ext cx="540" cy="1"/>
                          </a:xfrm>
                          <a:prstGeom prst="line">
                            <a:avLst/>
                          </a:prstGeom>
                          <a:ln w="12700" cap="flat" cmpd="sng">
                            <a:solidFill>
                              <a:srgbClr val="000000"/>
                            </a:solidFill>
                            <a:prstDash val="solid"/>
                            <a:headEnd type="none" w="med" len="med"/>
                            <a:tailEnd type="triangle" w="med" len="med"/>
                          </a:ln>
                        </wps:spPr>
                        <wps:bodyPr upright="1"/>
                      </wps:wsp>
                      <wps:wsp>
                        <wps:cNvPr id="102" name="Line 1867"/>
                        <wps:cNvSpPr/>
                        <wps:spPr>
                          <a:xfrm flipV="1">
                            <a:off x="7358" y="12650"/>
                            <a:ext cx="540" cy="1"/>
                          </a:xfrm>
                          <a:prstGeom prst="line">
                            <a:avLst/>
                          </a:prstGeom>
                          <a:ln w="12700" cap="flat" cmpd="sng">
                            <a:solidFill>
                              <a:srgbClr val="000000"/>
                            </a:solidFill>
                            <a:prstDash val="solid"/>
                            <a:headEnd type="none" w="med" len="med"/>
                            <a:tailEnd type="triangle" w="med" len="med"/>
                          </a:ln>
                        </wps:spPr>
                        <wps:bodyPr upright="1"/>
                      </wps:wsp>
                      <wps:wsp>
                        <wps:cNvPr id="103" name="直线 6832"/>
                        <wps:cNvSpPr/>
                        <wps:spPr>
                          <a:xfrm>
                            <a:off x="7358" y="13118"/>
                            <a:ext cx="540" cy="0"/>
                          </a:xfrm>
                          <a:prstGeom prst="line">
                            <a:avLst/>
                          </a:prstGeom>
                          <a:ln w="9525" cap="flat" cmpd="sng">
                            <a:solidFill>
                              <a:srgbClr val="000000"/>
                            </a:solidFill>
                            <a:prstDash val="solid"/>
                            <a:headEnd type="none" w="med" len="med"/>
                            <a:tailEnd type="triangle" w="med" len="med"/>
                          </a:ln>
                        </wps:spPr>
                        <wps:bodyPr upright="1"/>
                      </wps:wsp>
                      <wps:wsp>
                        <wps:cNvPr id="104" name="直线 6833"/>
                        <wps:cNvSpPr/>
                        <wps:spPr>
                          <a:xfrm>
                            <a:off x="7358" y="13586"/>
                            <a:ext cx="540" cy="0"/>
                          </a:xfrm>
                          <a:prstGeom prst="line">
                            <a:avLst/>
                          </a:prstGeom>
                          <a:ln w="9525" cap="flat" cmpd="sng">
                            <a:solidFill>
                              <a:srgbClr val="000000"/>
                            </a:solidFill>
                            <a:prstDash val="solid"/>
                            <a:headEnd type="none" w="med" len="med"/>
                            <a:tailEnd type="triangle" w="med" len="med"/>
                          </a:ln>
                        </wps:spPr>
                        <wps:bodyPr upright="1"/>
                      </wps:wsp>
                      <wps:wsp>
                        <wps:cNvPr id="105" name="Text Box 1228"/>
                        <wps:cNvSpPr txBox="1"/>
                        <wps:spPr>
                          <a:xfrm>
                            <a:off x="7898" y="13430"/>
                            <a:ext cx="2160" cy="342"/>
                          </a:xfrm>
                          <a:prstGeom prst="rect">
                            <a:avLst/>
                          </a:prstGeom>
                          <a:solidFill>
                            <a:srgbClr val="FFFFFF"/>
                          </a:solidFill>
                          <a:ln w="12700">
                            <a:noFill/>
                          </a:ln>
                        </wps:spPr>
                        <wps:txbx>
                          <w:txbxContent>
                            <w:p>
                              <w:pPr>
                                <w:rPr>
                                  <w:rFonts w:hint="eastAsia"/>
                                </w:rPr>
                              </w:pPr>
                              <w:r>
                                <w:rPr>
                                  <w:rFonts w:hint="eastAsia"/>
                                </w:rPr>
                                <w:t>其他耗电458</w:t>
                              </w:r>
                            </w:p>
                          </w:txbxContent>
                        </wps:txbx>
                        <wps:bodyPr wrap="square" lIns="0" tIns="0" rIns="0" bIns="0" upright="1"/>
                      </wps:wsp>
                    </wpg:wgp>
                  </a:graphicData>
                </a:graphic>
              </wp:anchor>
            </w:drawing>
          </mc:Choice>
          <mc:Fallback>
            <w:pict>
              <v:group id="组合 6835" o:spid="_x0000_s1026" o:spt="203" style="position:absolute;left:0pt;margin-left:45pt;margin-top:-0.4pt;height:156pt;width:369pt;z-index:251671552;mso-width-relative:page;mso-height-relative:page;" coordorigin="3398,10564" coordsize="7380,3208" o:gfxdata="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">
                <o:lock v:ext="edit" aspectratio="f"/>
                <v:shape id="Text Box 1218" o:spid="_x0000_s1026" o:spt="202" type="#_x0000_t202" style="position:absolute;left:3398;top:10963;height:468;width:1440;" fillcolor="#FFFFFF" filled="t" stroked="f" coordsize="21600,21600" o:gfxdata="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B2tjS8AAAA&#10;2wAAAA8AAAAAAAAAAQAgAAAAIgAAAGRycy9kb3ducmV2LnhtbFBLAQIUABQAAAAIAIdO4kAzLwWe&#10;OwAAADkAAAAQAAAAAAAAAAEAIAAAAAsBAABkcnMvc2hhcGV4bWwueG1sUEsFBgAAAAAGAAYAWwEA&#10;ALUDAAAAAA==&#10;">
                  <v:fill on="t" focussize="0,0"/>
                  <v:stroke on="f" weight="1pt"/>
                  <v:imagedata o:title=""/>
                  <o:lock v:ext="edit" aspectratio="f"/>
                  <v:textbox inset="0mm,0mm,0mm,0mm">
                    <w:txbxContent>
                      <w:p>
                        <w:pPr>
                          <w:rPr>
                            <w:rFonts w:hint="eastAsia"/>
                          </w:rPr>
                        </w:pPr>
                        <w:r>
                          <w:rPr>
                            <w:rFonts w:hint="eastAsia"/>
                          </w:rPr>
                          <w:t>电7978kwh</w:t>
                        </w:r>
                      </w:p>
                    </w:txbxContent>
                  </v:textbox>
                </v:shape>
                <v:line id="Line 1219" o:spid="_x0000_s1026" o:spt="20" style="position:absolute;left:4658;top:11032;height:0;width:720;" filled="f" stroked="t" coordsize="21600,21600" o:gfxdata="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AL74A&#10;AADb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shape id="Text Box 1221" o:spid="_x0000_s1026" o:spt="202" type="#_x0000_t202" style="position:absolute;left:7898;top:10651;height:498;width:2700;" fillcolor="#FFFFFF" filled="t" stroked="f" coordsize="21600,21600" o:gfxdata="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jdi8AAAA&#10;2wAAAA8AAAAAAAAAAQAgAAAAIgAAAGRycy9kb3ducmV2LnhtbFBLAQIUABQAAAAIAIdO4kAzLwWe&#10;OwAAADkAAAAQAAAAAAAAAAEAIAAAAAsBAABkcnMvc2hhcGV4bWwueG1sUEsFBgAAAAAGAAYAWwEA&#10;ALUDAAAAAA==&#10;">
                  <v:fill on="t" focussize="0,0"/>
                  <v:stroke on="f" weight="1pt"/>
                  <v:imagedata o:title=""/>
                  <o:lock v:ext="edit" aspectratio="f"/>
                  <v:textbox inset="0mm,0mm,0mm,0mm">
                    <w:txbxContent>
                      <w:p>
                        <w:pPr>
                          <w:rPr>
                            <w:rFonts w:hint="eastAsia"/>
                          </w:rPr>
                        </w:pPr>
                        <w:r>
                          <w:rPr>
                            <w:rFonts w:hint="eastAsia"/>
                          </w:rPr>
                          <w:t>破碎工段耗电463</w:t>
                        </w:r>
                      </w:p>
                    </w:txbxContent>
                  </v:textbox>
                </v:shape>
                <v:shape id="Text Box 1222" o:spid="_x0000_s1026" o:spt="202" type="#_x0000_t202" style="position:absolute;left:7898;top:11246;height:468;width:2520;" fillcolor="#FFFFFF" filled="t" stroked="f" coordsize="21600,21600" o:gfxdata="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ABFay8AAAA&#10;2wAAAA8AAAAAAAAAAQAgAAAAIgAAAGRycy9kb3ducmV2LnhtbFBLAQIUABQAAAAIAIdO4kAzLwWe&#10;OwAAADkAAAAQAAAAAAAAAAEAIAAAAAsBAABkcnMvc2hhcGV4bWwueG1sUEsFBgAAAAAGAAYAWwEA&#10;ALUDAAAAAA==&#10;">
                  <v:fill on="t" focussize="0,0"/>
                  <v:stroke on="f" weight="1pt"/>
                  <v:imagedata o:title=""/>
                  <o:lock v:ext="edit" aspectratio="f"/>
                  <v:textbox inset="0mm,0mm,0mm,0mm">
                    <w:txbxContent>
                      <w:p>
                        <w:pPr>
                          <w:autoSpaceDE w:val="0"/>
                          <w:autoSpaceDN w:val="0"/>
                          <w:adjustRightInd w:val="0"/>
                          <w:rPr>
                            <w:rFonts w:hint="eastAsia" w:cs="宋体"/>
                            <w:bCs/>
                            <w:color w:val="000000"/>
                            <w:szCs w:val="18"/>
                          </w:rPr>
                        </w:pPr>
                        <w:r>
                          <w:rPr>
                            <w:rFonts w:hint="eastAsia" w:cs="宋体"/>
                            <w:bCs/>
                            <w:color w:val="000000"/>
                            <w:szCs w:val="18"/>
                          </w:rPr>
                          <w:t>球磨工段耗电3626</w:t>
                        </w:r>
                      </w:p>
                    </w:txbxContent>
                  </v:textbox>
                </v:shape>
                <v:shape id="Text Box 1224" o:spid="_x0000_s1026" o:spt="202" type="#_x0000_t202" style="position:absolute;left:7898;top:11870;height:342;width:1800;" fillcolor="#FFFFFF" filled="t" stroked="f" coordsize="21600,21600" o:gfxdata="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fTbA3vQAA&#10;ANsAAAAPAAAAAAAAAAEAIAAAACIAAABkcnMvZG93bnJldi54bWxQSwECFAAUAAAACACHTuJAMy8F&#10;njsAAAA5AAAAEAAAAAAAAAABACAAAAAMAQAAZHJzL3NoYXBleG1sLnhtbFBLBQYAAAAABgAGAFsB&#10;AAC2AwAAAAA=&#10;">
                  <v:fill on="t" focussize="0,0"/>
                  <v:stroke on="f" weight="1pt"/>
                  <v:imagedata o:title=""/>
                  <o:lock v:ext="edit" aspectratio="f"/>
                  <v:textbox inset="0mm,0mm,0mm,0mm">
                    <w:txbxContent>
                      <w:p>
                        <w:pPr>
                          <w:rPr>
                            <w:rFonts w:hint="eastAsia"/>
                          </w:rPr>
                        </w:pPr>
                        <w:r>
                          <w:rPr>
                            <w:rFonts w:hint="eastAsia" w:cs="宋体"/>
                            <w:bCs/>
                            <w:color w:val="000000"/>
                            <w:szCs w:val="18"/>
                          </w:rPr>
                          <w:t>分级工段耗电159</w:t>
                        </w:r>
                      </w:p>
                    </w:txbxContent>
                  </v:textbox>
                </v:shape>
                <v:shape id="Text Box 1225" o:spid="_x0000_s1026" o:spt="202" type="#_x0000_t202" style="position:absolute;left:5378;top:10564;height:3120;width:1971;" fillcolor="#FFFFFF" filled="t" stroked="t" coordsize="21600,21600" o:gfxdata="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6qg74A&#10;AADbAAAADwAAAAAAAAABACAAAAAiAAAAZHJzL2Rvd25yZXYueG1sUEsBAhQAFAAAAAgAh07iQDMv&#10;BZ47AAAAOQAAABAAAAAAAAAAAQAgAAAADQEAAGRycy9zaGFwZXhtbC54bWxQSwUGAAAAAAYABgBb&#10;AQAAtwMAAAAA&#10;">
                  <v:fill on="t" focussize="0,0"/>
                  <v:stroke weight="1pt" color="#000000" joinstyle="miter"/>
                  <v:imagedata o:title=""/>
                  <o:lock v:ext="edit" aspectratio="f"/>
                  <v:textbox>
                    <w:txbxContent>
                      <w:p>
                        <w:pPr>
                          <w:jc w:val="center"/>
                          <w:rPr>
                            <w:rFonts w:hint="eastAsia"/>
                            <w:b/>
                            <w:bCs/>
                            <w:sz w:val="44"/>
                            <w:szCs w:val="44"/>
                          </w:rPr>
                        </w:pPr>
                      </w:p>
                      <w:p>
                        <w:pPr>
                          <w:jc w:val="center"/>
                          <w:rPr>
                            <w:rFonts w:hint="eastAsia"/>
                            <w:bCs/>
                            <w:sz w:val="44"/>
                            <w:szCs w:val="44"/>
                          </w:rPr>
                        </w:pPr>
                        <w:r>
                          <w:rPr>
                            <w:rFonts w:hint="eastAsia"/>
                            <w:bCs/>
                            <w:sz w:val="44"/>
                            <w:szCs w:val="44"/>
                          </w:rPr>
                          <w:t>选</w:t>
                        </w:r>
                      </w:p>
                      <w:p>
                        <w:pPr>
                          <w:jc w:val="center"/>
                          <w:rPr>
                            <w:rFonts w:hint="eastAsia"/>
                            <w:bCs/>
                            <w:sz w:val="44"/>
                            <w:szCs w:val="44"/>
                          </w:rPr>
                        </w:pPr>
                        <w:r>
                          <w:rPr>
                            <w:rFonts w:hint="eastAsia"/>
                            <w:bCs/>
                            <w:sz w:val="44"/>
                            <w:szCs w:val="44"/>
                          </w:rPr>
                          <w:t>矿</w:t>
                        </w:r>
                      </w:p>
                      <w:p>
                        <w:pPr>
                          <w:ind w:firstLine="660" w:firstLineChars="150"/>
                          <w:rPr>
                            <w:rFonts w:hint="eastAsia"/>
                            <w:szCs w:val="32"/>
                          </w:rPr>
                        </w:pPr>
                        <w:r>
                          <w:rPr>
                            <w:rFonts w:hint="eastAsia"/>
                            <w:bCs/>
                            <w:sz w:val="44"/>
                            <w:szCs w:val="44"/>
                          </w:rPr>
                          <w:t>厂</w:t>
                        </w:r>
                      </w:p>
                    </w:txbxContent>
                  </v:textbox>
                </v:shape>
                <v:shape id="Text Box 1226" o:spid="_x0000_s1026" o:spt="202" type="#_x0000_t202" style="position:absolute;left:7898;top:12494;height:312;width:2880;" fillcolor="#FFFFFF" filled="t" stroked="f" coordsize="21600,21600" o:gfxdata="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DTi9u8AAAA&#10;2wAAAA8AAAAAAAAAAQAgAAAAIgAAAGRycy9kb3ducmV2LnhtbFBLAQIUABQAAAAIAIdO4kAzLwWe&#10;OwAAADkAAAAQAAAAAAAAAAEAIAAAAAsBAABkcnMvc2hhcGV4bWwueG1sUEsFBgAAAAAGAAYAWwEA&#10;ALUDAAAAAA==&#10;">
                  <v:fill on="t" focussize="0,0"/>
                  <v:stroke on="f" weight="1pt"/>
                  <v:imagedata o:title=""/>
                  <o:lock v:ext="edit" aspectratio="f"/>
                  <v:textbox inset="0mm,0mm,0mm,0mm">
                    <w:txbxContent>
                      <w:p>
                        <w:pPr>
                          <w:autoSpaceDE w:val="0"/>
                          <w:autoSpaceDN w:val="0"/>
                          <w:adjustRightInd w:val="0"/>
                          <w:rPr>
                            <w:rFonts w:hint="eastAsia" w:cs="宋体"/>
                            <w:bCs/>
                            <w:color w:val="000000"/>
                            <w:szCs w:val="21"/>
                          </w:rPr>
                        </w:pPr>
                        <w:r>
                          <w:rPr>
                            <w:rFonts w:hint="eastAsia" w:cs="宋体"/>
                            <w:bCs/>
                            <w:color w:val="000000"/>
                            <w:szCs w:val="21"/>
                          </w:rPr>
                          <w:t>浮选工段耗电2847</w:t>
                        </w:r>
                      </w:p>
                    </w:txbxContent>
                  </v:textbox>
                </v:shape>
                <v:shape id="Text Box 1228" o:spid="_x0000_s1026" o:spt="202" type="#_x0000_t202" style="position:absolute;left:7898;top:12962;height:342;width:2160;" fillcolor="#FFFFFF" filled="t" stroked="f" coordsize="21600,21600" o:gfxdata="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TB+pugAAANsA&#10;AAAPAAAAAAAAAAEAIAAAACIAAABkcnMvZG93bnJldi54bWxQSwECFAAUAAAACACHTuJAMy8FnjsA&#10;AAA5AAAAEAAAAAAAAAABACAAAAAJAQAAZHJzL3NoYXBleG1sLnhtbFBLBQYAAAAABgAGAFsBAACz&#10;AwAAAAA=&#10;">
                  <v:fill on="t" focussize="0,0"/>
                  <v:stroke on="f" weight="1pt"/>
                  <v:imagedata o:title=""/>
                  <o:lock v:ext="edit" aspectratio="f"/>
                  <v:textbox inset="0mm,0mm,0mm,0mm">
                    <w:txbxContent>
                      <w:p>
                        <w:pPr>
                          <w:rPr>
                            <w:rFonts w:hint="eastAsia"/>
                          </w:rPr>
                        </w:pPr>
                        <w:r>
                          <w:rPr>
                            <w:rFonts w:hint="eastAsia"/>
                          </w:rPr>
                          <w:t>重选工段耗电354</w:t>
                        </w:r>
                      </w:p>
                    </w:txbxContent>
                  </v:textbox>
                </v:shape>
                <v:line id="Line 1358" o:spid="_x0000_s1026" o:spt="20" style="position:absolute;left:7358;top:10807;flip:y;height:1;width:540;" filled="f" stroked="t" coordsize="21600,21600" o:gfxdata="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Ycla8AAAA&#10;2w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Line 1360" o:spid="_x0000_s1026" o:spt="20" style="position:absolute;left:7358;top:12026;flip:y;height:1;width:540;" filled="f" stroked="t" coordsize="21600,21600" o:gfxdata="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ssluvQAA&#10;ANwAAAAPAAAAAAAAAAEAIAAAACIAAABkcnMvZG93bnJldi54bWxQSwECFAAUAAAACACHTuJAMy8F&#10;njsAAAA5AAAAEAAAAAAAAAABACAAAAAMAQAAZHJzL3NoYXBleG1sLnhtbFBLBQYAAAAABgAGAFsB&#10;AAC2AwAAAAA=&#10;">
                  <v:fill on="f" focussize="0,0"/>
                  <v:stroke weight="1pt" color="#000000" joinstyle="round" endarrow="block"/>
                  <v:imagedata o:title=""/>
                  <o:lock v:ext="edit" aspectratio="f"/>
                </v:line>
                <v:line id="Line 1362" o:spid="_x0000_s1026" o:spt="20" style="position:absolute;left:7358;top:11402;flip:y;height:1;width:540;" filled="f" stroked="t" coordsize="21600,21600" o:gfxdata="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L/mz1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line id="Line 1867" o:spid="_x0000_s1026" o:spt="20" style="position:absolute;left:7358;top:12650;flip:y;height:1;width:540;" filled="f" stroked="t" coordsize="21600,21600" o:gfxdata="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zyg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直线 6832" o:spid="_x0000_s1026" o:spt="20" style="position:absolute;left:7358;top:13118;height:0;width:540;" filled="f" stroked="t" coordsize="21600,21600" o:gfxdata="UEsDBAoAAAAAAIdO4kAAAAAAAAAAAAAAAAAEAAAAZHJzL1BLAwQUAAAACACHTuJAFm9gwb0AAADc&#10;AAAADwAAAGRycy9kb3ducmV2LnhtbEVP32vCMBB+H/g/hBP2NpM6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b2DB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line id="直线 6833" o:spid="_x0000_s1026" o:spt="20" style="position:absolute;left:7358;top:13586;height:0;width:540;" filled="f" stroked="t" coordsize="21600,21600" o:gfxdata="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hvi1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line>
                <v:shape id="Text Box 1228" o:spid="_x0000_s1026" o:spt="202" type="#_x0000_t202" style="position:absolute;left:7898;top:13430;height:342;width:2160;" fillcolor="#FFFFFF" filled="t" stroked="f" coordsize="21600,21600" o:gfxdata="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uvg3PugAAANwA&#10;AAAPAAAAAAAAAAEAIAAAACIAAABkcnMvZG93bnJldi54bWxQSwECFAAUAAAACACHTuJAMy8FnjsA&#10;AAA5AAAAEAAAAAAAAAABACAAAAAJAQAAZHJzL3NoYXBleG1sLnhtbFBLBQYAAAAABgAGAFsBAACz&#10;AwAAAAA=&#10;">
                  <v:fill on="t" focussize="0,0"/>
                  <v:stroke on="f" weight="1pt"/>
                  <v:imagedata o:title=""/>
                  <o:lock v:ext="edit" aspectratio="f"/>
                  <v:textbox inset="0mm,0mm,0mm,0mm">
                    <w:txbxContent>
                      <w:p>
                        <w:pPr>
                          <w:rPr>
                            <w:rFonts w:hint="eastAsia"/>
                          </w:rPr>
                        </w:pPr>
                        <w:r>
                          <w:rPr>
                            <w:rFonts w:hint="eastAsia"/>
                          </w:rPr>
                          <w:t>其他耗电458</w:t>
                        </w:r>
                      </w:p>
                    </w:txbxContent>
                  </v:textbox>
                </v:shape>
              </v:group>
            </w:pict>
          </mc:Fallback>
        </mc:AlternateContent>
      </w:r>
    </w:p>
    <w:p>
      <w:pPr>
        <w:spacing w:line="360" w:lineRule="auto"/>
        <w:rPr>
          <w:rFonts w:hint="eastAsia"/>
          <w:color w:val="000000"/>
          <w:sz w:val="24"/>
        </w:rPr>
      </w:pPr>
    </w:p>
    <w:p>
      <w:pPr>
        <w:rPr>
          <w:rFonts w:hint="eastAsia"/>
          <w:b/>
          <w:color w:val="000000"/>
          <w:sz w:val="28"/>
          <w:szCs w:val="28"/>
        </w:rPr>
      </w:pPr>
    </w:p>
    <w:p>
      <w:pPr>
        <w:rPr>
          <w:rFonts w:hint="eastAsia"/>
          <w:b/>
          <w:color w:val="000000"/>
          <w:sz w:val="28"/>
          <w:szCs w:val="28"/>
        </w:rPr>
      </w:pPr>
    </w:p>
    <w:p>
      <w:pPr>
        <w:spacing w:line="460" w:lineRule="exact"/>
        <w:rPr>
          <w:rFonts w:hint="eastAsia" w:ascii="宋体" w:hAnsi="宋体"/>
          <w:b/>
          <w:color w:val="000000"/>
          <w:sz w:val="28"/>
        </w:rPr>
      </w:pPr>
    </w:p>
    <w:p>
      <w:pPr>
        <w:tabs>
          <w:tab w:val="left" w:pos="2100"/>
        </w:tabs>
        <w:spacing w:line="460" w:lineRule="exact"/>
        <w:rPr>
          <w:rFonts w:hint="eastAsia" w:ascii="宋体" w:hAnsi="宋体"/>
          <w:b/>
          <w:color w:val="000000"/>
          <w:sz w:val="28"/>
        </w:rPr>
      </w:pPr>
      <w:r>
        <w:rPr>
          <w:rFonts w:hint="eastAsia" w:ascii="宋体" w:hAnsi="宋体"/>
          <w:b/>
          <w:color w:val="000000"/>
          <w:sz w:val="28"/>
        </w:rPr>
        <w:t xml:space="preserve"> </w:t>
      </w:r>
      <w:r>
        <w:rPr>
          <w:rFonts w:ascii="宋体" w:hAnsi="宋体"/>
          <w:b/>
          <w:color w:val="000000"/>
          <w:sz w:val="28"/>
        </w:rPr>
        <w:tab/>
      </w:r>
    </w:p>
    <w:p>
      <w:pPr>
        <w:spacing w:line="460" w:lineRule="exact"/>
        <w:rPr>
          <w:rFonts w:hint="eastAsia" w:ascii="宋体" w:hAnsi="宋体"/>
          <w:b/>
          <w:color w:val="000000"/>
          <w:sz w:val="28"/>
        </w:rPr>
      </w:pPr>
      <w:r>
        <w:rPr>
          <w:rFonts w:hint="eastAsia" w:ascii="宋体" w:hAnsi="宋体"/>
          <w:b/>
          <w:color w:val="000000"/>
          <w:sz w:val="28"/>
        </w:rPr>
        <w:t xml:space="preserve"> </w:t>
      </w:r>
    </w:p>
    <w:p>
      <w:pPr>
        <w:spacing w:line="460" w:lineRule="exact"/>
        <w:rPr>
          <w:rFonts w:hint="eastAsia" w:ascii="宋体" w:hAnsi="宋体"/>
          <w:b/>
          <w:color w:val="000000"/>
          <w:sz w:val="28"/>
        </w:rPr>
      </w:pPr>
    </w:p>
    <w:p>
      <w:pPr>
        <w:spacing w:line="460" w:lineRule="exact"/>
        <w:rPr>
          <w:rFonts w:hint="eastAsia" w:ascii="宋体" w:hAnsi="宋体"/>
          <w:b/>
          <w:color w:val="000000"/>
          <w:sz w:val="28"/>
        </w:rPr>
      </w:pPr>
    </w:p>
    <w:p>
      <w:pPr>
        <w:tabs>
          <w:tab w:val="left" w:pos="5955"/>
        </w:tabs>
        <w:spacing w:line="360" w:lineRule="auto"/>
        <w:jc w:val="center"/>
        <w:rPr>
          <w:rFonts w:hint="eastAsia"/>
          <w:b/>
          <w:color w:val="000000"/>
          <w:sz w:val="24"/>
          <w:szCs w:val="24"/>
        </w:rPr>
      </w:pPr>
      <w:r>
        <w:rPr>
          <w:rFonts w:hint="eastAsia"/>
          <w:b/>
          <w:color w:val="000000"/>
          <w:sz w:val="24"/>
          <w:szCs w:val="24"/>
        </w:rPr>
        <w:t>图 3-5 审核重点能源平衡图 （单位</w:t>
      </w:r>
      <w:r>
        <w:rPr>
          <w:rFonts w:hint="eastAsia"/>
          <w:color w:val="000000"/>
          <w:sz w:val="24"/>
          <w:szCs w:val="24"/>
        </w:rPr>
        <w:t>kw.h/d</w:t>
      </w:r>
      <w:r>
        <w:rPr>
          <w:rFonts w:hint="eastAsia"/>
          <w:b/>
          <w:color w:val="000000"/>
          <w:sz w:val="24"/>
          <w:szCs w:val="24"/>
        </w:rPr>
        <w:t>）</w:t>
      </w:r>
    </w:p>
    <w:p>
      <w:pPr>
        <w:tabs>
          <w:tab w:val="left" w:pos="5955"/>
        </w:tabs>
        <w:spacing w:line="360" w:lineRule="auto"/>
        <w:ind w:firstLine="480" w:firstLineChars="200"/>
        <w:rPr>
          <w:rFonts w:hint="eastAsia"/>
          <w:color w:val="000000"/>
          <w:sz w:val="24"/>
          <w:szCs w:val="24"/>
        </w:rPr>
      </w:pPr>
      <w:r>
        <w:rPr>
          <w:rFonts w:hint="eastAsia"/>
          <w:color w:val="000000"/>
          <w:sz w:val="24"/>
          <w:szCs w:val="24"/>
        </w:rPr>
        <w:t>从图 3-5 看出审核重点实测中输入电能</w:t>
      </w:r>
      <w:r>
        <w:rPr>
          <w:rFonts w:hint="eastAsia" w:ascii="宋体" w:hAnsi="宋体"/>
          <w:color w:val="000000"/>
          <w:sz w:val="24"/>
          <w:szCs w:val="24"/>
        </w:rPr>
        <w:t>7978kw.h</w:t>
      </w:r>
      <w:r>
        <w:rPr>
          <w:rFonts w:hint="eastAsia"/>
          <w:color w:val="000000"/>
          <w:sz w:val="24"/>
          <w:szCs w:val="24"/>
        </w:rPr>
        <w:t xml:space="preserve"> /d；各工序耗电量</w:t>
      </w:r>
      <w:r>
        <w:rPr>
          <w:rFonts w:hint="eastAsia" w:ascii="宋体" w:hAnsi="宋体"/>
          <w:color w:val="000000"/>
          <w:sz w:val="24"/>
          <w:szCs w:val="24"/>
        </w:rPr>
        <w:t>7907kw.h</w:t>
      </w:r>
      <w:r>
        <w:rPr>
          <w:rFonts w:hint="eastAsia"/>
          <w:color w:val="000000"/>
          <w:sz w:val="24"/>
          <w:szCs w:val="24"/>
        </w:rPr>
        <w:t xml:space="preserve"> /d，输入输出相差</w:t>
      </w:r>
      <w:r>
        <w:rPr>
          <w:rFonts w:hint="eastAsia" w:ascii="宋体" w:hAnsi="宋体"/>
          <w:color w:val="000000"/>
          <w:sz w:val="24"/>
          <w:szCs w:val="24"/>
        </w:rPr>
        <w:t>71kw.h</w:t>
      </w:r>
      <w:r>
        <w:rPr>
          <w:rFonts w:hint="eastAsia"/>
          <w:color w:val="000000"/>
          <w:sz w:val="24"/>
          <w:szCs w:val="24"/>
        </w:rPr>
        <w:t xml:space="preserve"> /d，误差为</w:t>
      </w:r>
      <w:r>
        <w:rPr>
          <w:rFonts w:hint="eastAsia" w:ascii="宋体" w:hAnsi="宋体"/>
          <w:color w:val="000000"/>
          <w:sz w:val="24"/>
          <w:szCs w:val="24"/>
        </w:rPr>
        <w:t>0.89</w:t>
      </w:r>
      <w:r>
        <w:rPr>
          <w:rFonts w:hint="eastAsia"/>
          <w:color w:val="000000"/>
          <w:sz w:val="24"/>
          <w:szCs w:val="24"/>
        </w:rPr>
        <w:t>%，</w:t>
      </w:r>
      <w:r>
        <w:rPr>
          <w:rFonts w:hint="eastAsia"/>
          <w:color w:val="000000"/>
          <w:sz w:val="24"/>
        </w:rPr>
        <w:t>误差＜5%，平衡成立。</w:t>
      </w:r>
      <w:r>
        <w:rPr>
          <w:rFonts w:hint="eastAsia"/>
          <w:color w:val="000000"/>
          <w:sz w:val="24"/>
          <w:szCs w:val="24"/>
        </w:rPr>
        <w:t>主要是变损和线损以及计量上的误差。</w:t>
      </w:r>
    </w:p>
    <w:p>
      <w:pPr>
        <w:spacing w:before="120" w:beforeLines="50" w:after="120" w:afterLines="50" w:line="360" w:lineRule="auto"/>
        <w:ind w:firstLine="480" w:firstLineChars="200"/>
        <w:rPr>
          <w:rFonts w:hint="eastAsia"/>
          <w:color w:val="000000"/>
          <w:sz w:val="24"/>
          <w:szCs w:val="24"/>
        </w:rPr>
      </w:pPr>
      <w:r>
        <w:rPr>
          <w:rFonts w:hint="eastAsia"/>
          <w:color w:val="000000"/>
          <w:sz w:val="24"/>
          <w:szCs w:val="24"/>
        </w:rPr>
        <w:t>（4）关心元素平衡</w:t>
      </w:r>
    </w:p>
    <w:p>
      <w:pPr>
        <w:tabs>
          <w:tab w:val="left" w:pos="5955"/>
        </w:tabs>
        <w:spacing w:line="360" w:lineRule="auto"/>
        <w:ind w:firstLine="480" w:firstLineChars="200"/>
        <w:rPr>
          <w:rFonts w:ascii="宋体" w:hAnsi="宋体"/>
          <w:color w:val="000000"/>
          <w:sz w:val="24"/>
          <w:szCs w:val="24"/>
        </w:rPr>
      </w:pPr>
      <w:r>
        <w:rPr>
          <w:rFonts w:hint="eastAsia" w:ascii="宋体" w:hAnsi="宋体"/>
          <w:color w:val="000000"/>
          <w:sz w:val="24"/>
          <w:szCs w:val="24"/>
        </w:rPr>
        <w:t>根据选矿厂实际生产数据，原料中除回收铅精矿、锌精矿外，金属元素损失的部分主要进入了尾矿渣中，进入污水中的金属元素比较小。按原矿石中铅锌品位计算，关心元素的投入产出见表3-7，铅平衡图见图3-6，锌平衡图见图3-7。</w:t>
      </w:r>
    </w:p>
    <w:p>
      <w:pPr>
        <w:spacing w:line="360" w:lineRule="auto"/>
        <w:ind w:firstLine="482" w:firstLineChars="200"/>
        <w:jc w:val="center"/>
        <w:rPr>
          <w:rFonts w:hint="eastAsia" w:ascii="宋体" w:hAnsi="宋体"/>
          <w:b/>
          <w:color w:val="000000"/>
          <w:sz w:val="24"/>
          <w:szCs w:val="24"/>
        </w:rPr>
      </w:pPr>
      <w:r>
        <w:rPr>
          <w:rFonts w:hint="eastAsia" w:ascii="宋体" w:hAnsi="宋体"/>
          <w:b/>
          <w:color w:val="000000"/>
          <w:sz w:val="24"/>
          <w:szCs w:val="24"/>
        </w:rPr>
        <w:t>表 3-7 审核重点金属输入输出数据汇总表 单位：t/d</w:t>
      </w:r>
    </w:p>
    <w:tbl>
      <w:tblPr>
        <w:tblStyle w:val="3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66"/>
        <w:gridCol w:w="2518"/>
        <w:gridCol w:w="2171"/>
        <w:gridCol w:w="2005"/>
      </w:tblGrid>
      <w:tr>
        <w:tblPrEx>
          <w:tblCellMar>
            <w:top w:w="0" w:type="dxa"/>
            <w:left w:w="108" w:type="dxa"/>
            <w:bottom w:w="0" w:type="dxa"/>
            <w:right w:w="108" w:type="dxa"/>
          </w:tblCellMar>
        </w:tblPrEx>
        <w:trPr>
          <w:wBefore w:w="0" w:type="dxa"/>
          <w:wAfter w:w="0" w:type="dxa"/>
          <w:trHeight w:val="413" w:hRule="atLeast"/>
        </w:trPr>
        <w:tc>
          <w:tcPr>
            <w:tcW w:w="4284" w:type="dxa"/>
            <w:gridSpan w:val="2"/>
            <w:noWrap w:val="0"/>
            <w:vAlign w:val="top"/>
          </w:tcPr>
          <w:p>
            <w:pPr>
              <w:spacing w:line="360" w:lineRule="exact"/>
              <w:jc w:val="center"/>
              <w:rPr>
                <w:rFonts w:hint="eastAsia" w:ascii="宋体" w:hAnsi="宋体"/>
                <w:color w:val="000000"/>
                <w:sz w:val="24"/>
                <w:szCs w:val="24"/>
              </w:rPr>
            </w:pPr>
            <w:r>
              <w:rPr>
                <w:rFonts w:hint="eastAsia" w:ascii="宋体" w:hAnsi="宋体"/>
                <w:color w:val="000000"/>
                <w:sz w:val="24"/>
                <w:szCs w:val="24"/>
              </w:rPr>
              <w:t>输入</w:t>
            </w:r>
          </w:p>
        </w:tc>
        <w:tc>
          <w:tcPr>
            <w:tcW w:w="4176" w:type="dxa"/>
            <w:gridSpan w:val="2"/>
            <w:noWrap w:val="0"/>
            <w:vAlign w:val="top"/>
          </w:tcPr>
          <w:p>
            <w:pPr>
              <w:spacing w:line="360" w:lineRule="exact"/>
              <w:ind w:firstLine="480" w:firstLineChars="200"/>
              <w:jc w:val="center"/>
              <w:rPr>
                <w:rFonts w:hint="eastAsia" w:ascii="宋体" w:hAnsi="宋体"/>
                <w:color w:val="000000"/>
                <w:sz w:val="24"/>
                <w:szCs w:val="24"/>
              </w:rPr>
            </w:pPr>
            <w:r>
              <w:rPr>
                <w:rFonts w:hint="eastAsia" w:ascii="宋体" w:hAnsi="宋体"/>
                <w:color w:val="000000"/>
                <w:sz w:val="24"/>
                <w:szCs w:val="24"/>
              </w:rPr>
              <w:t>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2" w:hRule="atLeast"/>
        </w:trPr>
        <w:tc>
          <w:tcPr>
            <w:tcW w:w="176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原矿含铅</w:t>
            </w:r>
          </w:p>
        </w:tc>
        <w:tc>
          <w:tcPr>
            <w:tcW w:w="2518"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260*5.5%=14.3</w:t>
            </w:r>
          </w:p>
        </w:tc>
        <w:tc>
          <w:tcPr>
            <w:tcW w:w="2171"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铅精矿含铅</w:t>
            </w:r>
          </w:p>
        </w:tc>
        <w:tc>
          <w:tcPr>
            <w:tcW w:w="2005"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12.54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2" w:hRule="atLeast"/>
        </w:trPr>
        <w:tc>
          <w:tcPr>
            <w:tcW w:w="1766" w:type="dxa"/>
            <w:noWrap w:val="0"/>
            <w:vAlign w:val="top"/>
          </w:tcPr>
          <w:p>
            <w:pPr>
              <w:spacing w:line="360" w:lineRule="exact"/>
              <w:jc w:val="center"/>
              <w:rPr>
                <w:rFonts w:hint="eastAsia" w:ascii="宋体" w:hAnsi="宋体"/>
                <w:color w:val="000000"/>
                <w:szCs w:val="21"/>
              </w:rPr>
            </w:pPr>
          </w:p>
        </w:tc>
        <w:tc>
          <w:tcPr>
            <w:tcW w:w="2518" w:type="dxa"/>
            <w:noWrap w:val="0"/>
            <w:vAlign w:val="top"/>
          </w:tcPr>
          <w:p>
            <w:pPr>
              <w:spacing w:line="360" w:lineRule="exact"/>
              <w:jc w:val="center"/>
              <w:rPr>
                <w:rFonts w:hint="eastAsia" w:ascii="宋体" w:hAnsi="宋体"/>
                <w:color w:val="000000"/>
                <w:szCs w:val="21"/>
              </w:rPr>
            </w:pPr>
          </w:p>
        </w:tc>
        <w:tc>
          <w:tcPr>
            <w:tcW w:w="2171"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尾矿渣含铅</w:t>
            </w:r>
          </w:p>
        </w:tc>
        <w:tc>
          <w:tcPr>
            <w:tcW w:w="2005"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1.63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2" w:hRule="atLeast"/>
        </w:trPr>
        <w:tc>
          <w:tcPr>
            <w:tcW w:w="1766" w:type="dxa"/>
            <w:noWrap w:val="0"/>
            <w:vAlign w:val="top"/>
          </w:tcPr>
          <w:p>
            <w:pPr>
              <w:spacing w:line="360" w:lineRule="exact"/>
              <w:jc w:val="center"/>
              <w:rPr>
                <w:rFonts w:hint="eastAsia" w:ascii="宋体" w:hAnsi="宋体"/>
                <w:color w:val="000000"/>
                <w:szCs w:val="21"/>
              </w:rPr>
            </w:pPr>
          </w:p>
        </w:tc>
        <w:tc>
          <w:tcPr>
            <w:tcW w:w="2518" w:type="dxa"/>
            <w:noWrap w:val="0"/>
            <w:vAlign w:val="top"/>
          </w:tcPr>
          <w:p>
            <w:pPr>
              <w:spacing w:line="360" w:lineRule="exact"/>
              <w:jc w:val="center"/>
              <w:rPr>
                <w:rFonts w:hint="eastAsia" w:ascii="宋体" w:hAnsi="宋体"/>
                <w:color w:val="000000"/>
                <w:szCs w:val="21"/>
              </w:rPr>
            </w:pPr>
          </w:p>
        </w:tc>
        <w:tc>
          <w:tcPr>
            <w:tcW w:w="2171"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尾矿水含铅</w:t>
            </w:r>
          </w:p>
        </w:tc>
        <w:tc>
          <w:tcPr>
            <w:tcW w:w="2005"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2" w:hRule="atLeast"/>
        </w:trPr>
        <w:tc>
          <w:tcPr>
            <w:tcW w:w="1766"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原矿含锌</w:t>
            </w:r>
          </w:p>
        </w:tc>
        <w:tc>
          <w:tcPr>
            <w:tcW w:w="2518"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260*13.48=35.05</w:t>
            </w:r>
          </w:p>
        </w:tc>
        <w:tc>
          <w:tcPr>
            <w:tcW w:w="2171"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锌精矿含锌</w:t>
            </w:r>
          </w:p>
        </w:tc>
        <w:tc>
          <w:tcPr>
            <w:tcW w:w="2005"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30.61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2" w:hRule="atLeast"/>
        </w:trPr>
        <w:tc>
          <w:tcPr>
            <w:tcW w:w="1766" w:type="dxa"/>
            <w:noWrap w:val="0"/>
            <w:vAlign w:val="top"/>
          </w:tcPr>
          <w:p>
            <w:pPr>
              <w:spacing w:line="360" w:lineRule="exact"/>
              <w:jc w:val="center"/>
              <w:rPr>
                <w:rFonts w:hint="eastAsia" w:ascii="宋体" w:hAnsi="宋体"/>
                <w:color w:val="000000"/>
                <w:szCs w:val="21"/>
              </w:rPr>
            </w:pPr>
          </w:p>
        </w:tc>
        <w:tc>
          <w:tcPr>
            <w:tcW w:w="2518" w:type="dxa"/>
            <w:noWrap w:val="0"/>
            <w:vAlign w:val="top"/>
          </w:tcPr>
          <w:p>
            <w:pPr>
              <w:spacing w:line="360" w:lineRule="exact"/>
              <w:jc w:val="center"/>
              <w:rPr>
                <w:rFonts w:hint="eastAsia" w:ascii="宋体" w:hAnsi="宋体"/>
                <w:color w:val="000000"/>
                <w:szCs w:val="21"/>
              </w:rPr>
            </w:pPr>
          </w:p>
        </w:tc>
        <w:tc>
          <w:tcPr>
            <w:tcW w:w="2171"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尾矿渣含锌</w:t>
            </w:r>
          </w:p>
        </w:tc>
        <w:tc>
          <w:tcPr>
            <w:tcW w:w="2005"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4.17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2" w:hRule="atLeast"/>
        </w:trPr>
        <w:tc>
          <w:tcPr>
            <w:tcW w:w="1766" w:type="dxa"/>
            <w:noWrap w:val="0"/>
            <w:vAlign w:val="top"/>
          </w:tcPr>
          <w:p>
            <w:pPr>
              <w:spacing w:line="360" w:lineRule="exact"/>
              <w:jc w:val="center"/>
              <w:rPr>
                <w:rFonts w:hint="eastAsia" w:ascii="宋体" w:hAnsi="宋体"/>
                <w:color w:val="000000"/>
                <w:szCs w:val="21"/>
              </w:rPr>
            </w:pPr>
          </w:p>
        </w:tc>
        <w:tc>
          <w:tcPr>
            <w:tcW w:w="2518" w:type="dxa"/>
            <w:noWrap w:val="0"/>
            <w:vAlign w:val="top"/>
          </w:tcPr>
          <w:p>
            <w:pPr>
              <w:spacing w:line="360" w:lineRule="exact"/>
              <w:jc w:val="center"/>
              <w:rPr>
                <w:rFonts w:hint="eastAsia" w:ascii="宋体" w:hAnsi="宋体"/>
                <w:color w:val="000000"/>
                <w:szCs w:val="21"/>
              </w:rPr>
            </w:pPr>
          </w:p>
        </w:tc>
        <w:tc>
          <w:tcPr>
            <w:tcW w:w="2171"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尾矿水含锌</w:t>
            </w:r>
          </w:p>
        </w:tc>
        <w:tc>
          <w:tcPr>
            <w:tcW w:w="2005" w:type="dxa"/>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0.27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4" w:hRule="atLeast"/>
        </w:trPr>
        <w:tc>
          <w:tcPr>
            <w:tcW w:w="8460" w:type="dxa"/>
            <w:gridSpan w:val="4"/>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铅回收率：</w:t>
            </w:r>
            <w:r>
              <w:rPr>
                <w:rFonts w:hint="eastAsia" w:ascii="宋体" w:hAnsi="宋体" w:cs="Arial"/>
                <w:color w:val="000000"/>
                <w:szCs w:val="21"/>
              </w:rPr>
              <w:t>12.54÷14.3×100%=87.71%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3" w:hRule="atLeast"/>
        </w:trPr>
        <w:tc>
          <w:tcPr>
            <w:tcW w:w="8460" w:type="dxa"/>
            <w:gridSpan w:val="4"/>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锌回收率：</w:t>
            </w:r>
            <w:r>
              <w:rPr>
                <w:rFonts w:hint="eastAsia" w:ascii="宋体" w:hAnsi="宋体" w:cs="Arial"/>
                <w:color w:val="000000"/>
                <w:szCs w:val="21"/>
              </w:rPr>
              <w:t>30.61÷35.05×100%=87.33%</w:t>
            </w:r>
          </w:p>
        </w:tc>
      </w:tr>
    </w:tbl>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480" w:firstLineChars="200"/>
        <w:rPr>
          <w:rFonts w:hint="eastAsia" w:ascii="宋体" w:hAnsi="宋体"/>
          <w:color w:val="000000"/>
          <w:sz w:val="24"/>
          <w:szCs w:val="24"/>
        </w:rPr>
      </w:pPr>
    </w:p>
    <w:p>
      <w:pPr>
        <w:spacing w:line="360" w:lineRule="exact"/>
        <w:ind w:firstLine="562" w:firstLineChars="200"/>
        <w:rPr>
          <w:rFonts w:hint="eastAsia" w:ascii="宋体" w:hAnsi="宋体"/>
          <w:color w:val="000000"/>
          <w:sz w:val="24"/>
          <w:szCs w:val="24"/>
        </w:rPr>
      </w:pPr>
      <w:r>
        <w:rPr>
          <w:rFonts w:hint="eastAsia" w:ascii="宋体" w:hAnsi="宋体"/>
          <w:b/>
          <w:color w:val="000000"/>
          <w:sz w:val="28"/>
          <w:lang/>
        </w:rPr>
        <mc:AlternateContent>
          <mc:Choice Requires="wpg">
            <w:drawing>
              <wp:anchor distT="0" distB="0" distL="114300" distR="114300" simplePos="0" relativeHeight="251674624" behindDoc="0" locked="0" layoutInCell="1" allowOverlap="1">
                <wp:simplePos x="0" y="0"/>
                <wp:positionH relativeFrom="column">
                  <wp:posOffset>571500</wp:posOffset>
                </wp:positionH>
                <wp:positionV relativeFrom="paragraph">
                  <wp:posOffset>198120</wp:posOffset>
                </wp:positionV>
                <wp:extent cx="4572000" cy="2296795"/>
                <wp:effectExtent l="0" t="6350" r="0" b="1905"/>
                <wp:wrapNone/>
                <wp:docPr id="142" name="组合 6866"/>
                <wp:cNvGraphicFramePr/>
                <a:graphic xmlns:a="http://schemas.openxmlformats.org/drawingml/2006/main">
                  <a:graphicData uri="http://schemas.microsoft.com/office/word/2010/wordprocessingGroup">
                    <wpg:wgp>
                      <wpg:cNvGrpSpPr/>
                      <wpg:grpSpPr>
                        <a:xfrm>
                          <a:off x="0" y="0"/>
                          <a:ext cx="4572000" cy="2296795"/>
                          <a:chOff x="2318" y="8282"/>
                          <a:chExt cx="7200" cy="2621"/>
                        </a:xfrm>
                      </wpg:grpSpPr>
                      <wps:wsp>
                        <wps:cNvPr id="131" name="Text Box 1252"/>
                        <wps:cNvSpPr txBox="1"/>
                        <wps:spPr>
                          <a:xfrm>
                            <a:off x="3038" y="8594"/>
                            <a:ext cx="1260" cy="572"/>
                          </a:xfrm>
                          <a:prstGeom prst="rect">
                            <a:avLst/>
                          </a:prstGeom>
                          <a:solidFill>
                            <a:srgbClr val="FFFFFF"/>
                          </a:solidFill>
                          <a:ln w="12700">
                            <a:noFill/>
                          </a:ln>
                        </wps:spPr>
                        <wps:txbx>
                          <w:txbxContent>
                            <w:p>
                              <w:pPr>
                                <w:rPr>
                                  <w:rFonts w:hint="eastAsia"/>
                                  <w:szCs w:val="21"/>
                                </w:rPr>
                              </w:pPr>
                              <w:r>
                                <w:rPr>
                                  <w:rFonts w:hint="eastAsia"/>
                                  <w:szCs w:val="21"/>
                                </w:rPr>
                                <w:t>原矿石260</w:t>
                              </w:r>
                            </w:p>
                          </w:txbxContent>
                        </wps:txbx>
                        <wps:bodyPr wrap="square" lIns="0" tIns="0" rIns="0" bIns="0" upright="1"/>
                      </wps:wsp>
                      <wps:wsp>
                        <wps:cNvPr id="132" name="Line 1253"/>
                        <wps:cNvSpPr/>
                        <wps:spPr>
                          <a:xfrm flipV="1">
                            <a:off x="4298" y="8906"/>
                            <a:ext cx="484" cy="0"/>
                          </a:xfrm>
                          <a:prstGeom prst="line">
                            <a:avLst/>
                          </a:prstGeom>
                          <a:ln w="12700" cap="flat" cmpd="sng">
                            <a:solidFill>
                              <a:srgbClr val="000000"/>
                            </a:solidFill>
                            <a:prstDash val="solid"/>
                            <a:headEnd type="none" w="med" len="med"/>
                            <a:tailEnd type="triangle" w="med" len="med"/>
                          </a:ln>
                        </wps:spPr>
                        <wps:bodyPr upright="1"/>
                      </wps:wsp>
                      <wps:wsp>
                        <wps:cNvPr id="133" name="Text Box 1255"/>
                        <wps:cNvSpPr txBox="1"/>
                        <wps:spPr>
                          <a:xfrm>
                            <a:off x="7178" y="8594"/>
                            <a:ext cx="2340" cy="319"/>
                          </a:xfrm>
                          <a:prstGeom prst="rect">
                            <a:avLst/>
                          </a:prstGeom>
                          <a:solidFill>
                            <a:srgbClr val="FFFFFF"/>
                          </a:solidFill>
                          <a:ln w="12700">
                            <a:noFill/>
                          </a:ln>
                        </wps:spPr>
                        <wps:txbx>
                          <w:txbxContent>
                            <w:p>
                              <w:pPr>
                                <w:rPr>
                                  <w:rFonts w:hint="eastAsia"/>
                                  <w:szCs w:val="21"/>
                                </w:rPr>
                              </w:pPr>
                              <w:r>
                                <w:rPr>
                                  <w:rFonts w:hint="eastAsia"/>
                                  <w:szCs w:val="21"/>
                                </w:rPr>
                                <w:t>尾矿废渣中含铅1.63</w:t>
                              </w:r>
                            </w:p>
                          </w:txbxContent>
                        </wps:txbx>
                        <wps:bodyPr wrap="square" lIns="0" tIns="0" rIns="0" bIns="0" upright="1"/>
                      </wps:wsp>
                      <wps:wsp>
                        <wps:cNvPr id="134" name="Text Box 1256"/>
                        <wps:cNvSpPr txBox="1"/>
                        <wps:spPr>
                          <a:xfrm>
                            <a:off x="2318" y="8906"/>
                            <a:ext cx="2340" cy="437"/>
                          </a:xfrm>
                          <a:prstGeom prst="rect">
                            <a:avLst/>
                          </a:prstGeom>
                          <a:solidFill>
                            <a:srgbClr val="FFFFFF"/>
                          </a:solidFill>
                          <a:ln w="12700">
                            <a:noFill/>
                          </a:ln>
                        </wps:spPr>
                        <wps:txbx>
                          <w:txbxContent>
                            <w:p>
                              <w:pPr>
                                <w:autoSpaceDE w:val="0"/>
                                <w:autoSpaceDN w:val="0"/>
                                <w:adjustRightInd w:val="0"/>
                                <w:rPr>
                                  <w:rFonts w:hint="eastAsia" w:cs="宋体"/>
                                  <w:bCs/>
                                  <w:color w:val="000000"/>
                                  <w:szCs w:val="21"/>
                                </w:rPr>
                              </w:pPr>
                              <w:r>
                                <w:rPr>
                                  <w:rFonts w:hint="eastAsia" w:cs="宋体"/>
                                  <w:bCs/>
                                  <w:color w:val="000000"/>
                                  <w:szCs w:val="21"/>
                                </w:rPr>
                                <w:t>（铅金属含量）14.3</w:t>
                              </w:r>
                            </w:p>
                          </w:txbxContent>
                        </wps:txbx>
                        <wps:bodyPr wrap="square" lIns="0" tIns="0" rIns="0" bIns="0" upright="1"/>
                      </wps:wsp>
                      <wps:wsp>
                        <wps:cNvPr id="135" name="Line 1257"/>
                        <wps:cNvSpPr/>
                        <wps:spPr>
                          <a:xfrm flipV="1">
                            <a:off x="5918" y="10622"/>
                            <a:ext cx="313" cy="0"/>
                          </a:xfrm>
                          <a:prstGeom prst="line">
                            <a:avLst/>
                          </a:prstGeom>
                          <a:ln w="12700" cap="flat" cmpd="sng">
                            <a:solidFill>
                              <a:srgbClr val="000000"/>
                            </a:solidFill>
                            <a:prstDash val="solid"/>
                            <a:headEnd type="none" w="med" len="med"/>
                            <a:tailEnd type="triangle" w="med" len="med"/>
                          </a:ln>
                        </wps:spPr>
                        <wps:bodyPr upright="1"/>
                      </wps:wsp>
                      <wps:wsp>
                        <wps:cNvPr id="136" name="Text Box 1258"/>
                        <wps:cNvSpPr txBox="1"/>
                        <wps:spPr>
                          <a:xfrm>
                            <a:off x="7178" y="9530"/>
                            <a:ext cx="2160" cy="319"/>
                          </a:xfrm>
                          <a:prstGeom prst="rect">
                            <a:avLst/>
                          </a:prstGeom>
                          <a:solidFill>
                            <a:srgbClr val="FFFFFF"/>
                          </a:solidFill>
                          <a:ln w="12700">
                            <a:noFill/>
                          </a:ln>
                        </wps:spPr>
                        <wps:txbx>
                          <w:txbxContent>
                            <w:p>
                              <w:pPr>
                                <w:rPr>
                                  <w:rFonts w:hint="eastAsia"/>
                                  <w:szCs w:val="21"/>
                                </w:rPr>
                              </w:pPr>
                              <w:r>
                                <w:rPr>
                                  <w:rFonts w:hint="eastAsia"/>
                                  <w:szCs w:val="21"/>
                                </w:rPr>
                                <w:t>废水中含铅0.13</w:t>
                              </w:r>
                            </w:p>
                          </w:txbxContent>
                        </wps:txbx>
                        <wps:bodyPr wrap="square" lIns="0" tIns="0" rIns="0" bIns="0" upright="1"/>
                      </wps:wsp>
                      <wps:wsp>
                        <wps:cNvPr id="137" name="Text Box 1259"/>
                        <wps:cNvSpPr txBox="1"/>
                        <wps:spPr>
                          <a:xfrm>
                            <a:off x="4838" y="8282"/>
                            <a:ext cx="1971" cy="2028"/>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bCs/>
                                  <w:sz w:val="44"/>
                                  <w:szCs w:val="44"/>
                                </w:rPr>
                              </w:pPr>
                            </w:p>
                            <w:p>
                              <w:pPr>
                                <w:jc w:val="center"/>
                                <w:rPr>
                                  <w:rFonts w:hint="eastAsia"/>
                                  <w:bCs/>
                                  <w:sz w:val="44"/>
                                  <w:szCs w:val="44"/>
                                </w:rPr>
                              </w:pPr>
                              <w:r>
                                <w:rPr>
                                  <w:rFonts w:hint="eastAsia"/>
                                  <w:bCs/>
                                  <w:sz w:val="44"/>
                                  <w:szCs w:val="44"/>
                                </w:rPr>
                                <w:t>铅</w:t>
                              </w:r>
                            </w:p>
                            <w:p>
                              <w:pPr>
                                <w:jc w:val="center"/>
                                <w:rPr>
                                  <w:rFonts w:hint="eastAsia"/>
                                  <w:bCs/>
                                  <w:sz w:val="44"/>
                                  <w:szCs w:val="44"/>
                                </w:rPr>
                              </w:pPr>
                              <w:r>
                                <w:rPr>
                                  <w:rFonts w:hint="eastAsia"/>
                                  <w:bCs/>
                                  <w:sz w:val="44"/>
                                  <w:szCs w:val="44"/>
                                </w:rPr>
                                <w:t>平</w:t>
                              </w:r>
                            </w:p>
                            <w:p>
                              <w:pPr>
                                <w:jc w:val="center"/>
                                <w:rPr>
                                  <w:rFonts w:hint="eastAsia"/>
                                  <w:bCs/>
                                  <w:sz w:val="44"/>
                                  <w:szCs w:val="44"/>
                                </w:rPr>
                              </w:pPr>
                              <w:r>
                                <w:rPr>
                                  <w:rFonts w:hint="eastAsia"/>
                                  <w:bCs/>
                                  <w:sz w:val="44"/>
                                  <w:szCs w:val="44"/>
                                </w:rPr>
                                <w:t>衡</w:t>
                              </w:r>
                            </w:p>
                          </w:txbxContent>
                        </wps:txbx>
                        <wps:bodyPr wrap="square" upright="1"/>
                      </wps:wsp>
                      <wps:wsp>
                        <wps:cNvPr id="138" name="Text Box 1261"/>
                        <wps:cNvSpPr txBox="1"/>
                        <wps:spPr>
                          <a:xfrm>
                            <a:off x="6278" y="10466"/>
                            <a:ext cx="2340" cy="437"/>
                          </a:xfrm>
                          <a:prstGeom prst="rect">
                            <a:avLst/>
                          </a:prstGeom>
                          <a:solidFill>
                            <a:srgbClr val="FFFFFF"/>
                          </a:solidFill>
                          <a:ln w="12700">
                            <a:noFill/>
                          </a:ln>
                        </wps:spPr>
                        <wps:txbx>
                          <w:txbxContent>
                            <w:p>
                              <w:pPr>
                                <w:rPr>
                                  <w:rFonts w:hint="eastAsia"/>
                                  <w:szCs w:val="21"/>
                                </w:rPr>
                              </w:pPr>
                              <w:r>
                                <w:rPr>
                                  <w:rFonts w:hint="eastAsia"/>
                                  <w:szCs w:val="21"/>
                                </w:rPr>
                                <w:t>铅精矿中含铅12.54</w:t>
                              </w:r>
                            </w:p>
                          </w:txbxContent>
                        </wps:txbx>
                        <wps:bodyPr wrap="square" lIns="0" tIns="0" rIns="0" bIns="0" upright="1"/>
                      </wps:wsp>
                      <wps:wsp>
                        <wps:cNvPr id="139" name="Line 1363"/>
                        <wps:cNvSpPr/>
                        <wps:spPr>
                          <a:xfrm flipV="1">
                            <a:off x="6818" y="8750"/>
                            <a:ext cx="360" cy="1"/>
                          </a:xfrm>
                          <a:prstGeom prst="line">
                            <a:avLst/>
                          </a:prstGeom>
                          <a:ln w="12700" cap="flat" cmpd="sng">
                            <a:solidFill>
                              <a:srgbClr val="000000"/>
                            </a:solidFill>
                            <a:prstDash val="solid"/>
                            <a:headEnd type="none" w="med" len="med"/>
                            <a:tailEnd type="triangle" w="med" len="med"/>
                          </a:ln>
                        </wps:spPr>
                        <wps:bodyPr upright="1"/>
                      </wps:wsp>
                      <wps:wsp>
                        <wps:cNvPr id="140" name="Line 1365"/>
                        <wps:cNvSpPr/>
                        <wps:spPr>
                          <a:xfrm>
                            <a:off x="6818" y="9686"/>
                            <a:ext cx="360" cy="0"/>
                          </a:xfrm>
                          <a:prstGeom prst="line">
                            <a:avLst/>
                          </a:prstGeom>
                          <a:ln w="12700" cap="flat" cmpd="sng">
                            <a:solidFill>
                              <a:srgbClr val="000000"/>
                            </a:solidFill>
                            <a:prstDash val="solid"/>
                            <a:headEnd type="none" w="med" len="med"/>
                            <a:tailEnd type="triangle" w="med" len="med"/>
                          </a:ln>
                        </wps:spPr>
                        <wps:bodyPr upright="1"/>
                      </wps:wsp>
                      <wps:wsp>
                        <wps:cNvPr id="141" name="直线 6865"/>
                        <wps:cNvSpPr/>
                        <wps:spPr>
                          <a:xfrm>
                            <a:off x="5918" y="10310"/>
                            <a:ext cx="0" cy="312"/>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6866" o:spid="_x0000_s1026" o:spt="203" style="position:absolute;left:0pt;margin-left:45pt;margin-top:15.6pt;height:180.85pt;width:360pt;z-index:251674624;mso-width-relative:page;mso-height-relative:page;" coordorigin="2318,8282" coordsize="7200,2621" o:gfxdata="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">
                <o:lock v:ext="edit" aspectratio="f"/>
                <v:shape id="Text Box 1252" o:spid="_x0000_s1026" o:spt="202" type="#_x0000_t202" style="position:absolute;left:3038;top:8594;height:572;width:1260;" fillcolor="#FFFFFF" filled="t" stroked="f" coordsize="21600,21600" o:gfxdata="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wXG5AAAA3AAA&#10;AA8AAAAAAAAAAQAgAAAAIgAAAGRycy9kb3ducmV2LnhtbFBLAQIUABQAAAAIAIdO4kAzLwWeOwAA&#10;ADkAAAAQAAAAAAAAAAEAIAAAAAgBAABkcnMvc2hhcGV4bWwueG1sUEsFBgAAAAAGAAYAWwEAALID&#10;AAAAAA==&#10;">
                  <v:fill on="t" focussize="0,0"/>
                  <v:stroke on="f" weight="1pt"/>
                  <v:imagedata o:title=""/>
                  <o:lock v:ext="edit" aspectratio="f"/>
                  <v:textbox inset="0mm,0mm,0mm,0mm">
                    <w:txbxContent>
                      <w:p>
                        <w:pPr>
                          <w:rPr>
                            <w:rFonts w:hint="eastAsia"/>
                            <w:szCs w:val="21"/>
                          </w:rPr>
                        </w:pPr>
                        <w:r>
                          <w:rPr>
                            <w:rFonts w:hint="eastAsia"/>
                            <w:szCs w:val="21"/>
                          </w:rPr>
                          <w:t>原矿石260</w:t>
                        </w:r>
                      </w:p>
                    </w:txbxContent>
                  </v:textbox>
                </v:shape>
                <v:line id="Line 1253" o:spid="_x0000_s1026" o:spt="20" style="position:absolute;left:4298;top:8906;flip:y;height:0;width:484;" filled="f" stroked="t" coordsize="21600,21600" o:gfxdata="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A4P7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1255" o:spid="_x0000_s1026" o:spt="202" type="#_x0000_t202" style="position:absolute;left:7178;top:8594;height:319;width:2340;" fillcolor="#FFFFFF" filled="t" stroked="f" coordsize="21600,21600" o:gfxdata="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B3+p25AAAA3AAA&#10;AA8AAAAAAAAAAQAgAAAAIgAAAGRycy9kb3ducmV2LnhtbFBLAQIUABQAAAAIAIdO4kAzLwWeOwAA&#10;ADkAAAAQAAAAAAAAAAEAIAAAAAgBAABkcnMvc2hhcGV4bWwueG1sUEsFBgAAAAAGAAYAWwEAALID&#10;AAAAAA==&#10;">
                  <v:fill on="t" focussize="0,0"/>
                  <v:stroke on="f" weight="1pt"/>
                  <v:imagedata o:title=""/>
                  <o:lock v:ext="edit" aspectratio="f"/>
                  <v:textbox inset="0mm,0mm,0mm,0mm">
                    <w:txbxContent>
                      <w:p>
                        <w:pPr>
                          <w:rPr>
                            <w:rFonts w:hint="eastAsia"/>
                            <w:szCs w:val="21"/>
                          </w:rPr>
                        </w:pPr>
                        <w:r>
                          <w:rPr>
                            <w:rFonts w:hint="eastAsia"/>
                            <w:szCs w:val="21"/>
                          </w:rPr>
                          <w:t>尾矿废渣中含铅1.63</w:t>
                        </w:r>
                      </w:p>
                    </w:txbxContent>
                  </v:textbox>
                </v:shape>
                <v:shape id="Text Box 1256" o:spid="_x0000_s1026" o:spt="202" type="#_x0000_t202" style="position:absolute;left:2318;top:8906;height:437;width:2340;" fillcolor="#FFFFFF" filled="t" stroked="f" coordsize="21600,21600" o:gfxdata="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nmLpvQAA&#10;ANwAAAAPAAAAAAAAAAEAIAAAACIAAABkcnMvZG93bnJldi54bWxQSwECFAAUAAAACACHTuJAMy8F&#10;njsAAAA5AAAAEAAAAAAAAAABACAAAAAMAQAAZHJzL3NoYXBleG1sLnhtbFBLBQYAAAAABgAGAFsB&#10;AAC2AwAAAAA=&#10;">
                  <v:fill on="t" focussize="0,0"/>
                  <v:stroke on="f" weight="1pt"/>
                  <v:imagedata o:title=""/>
                  <o:lock v:ext="edit" aspectratio="f"/>
                  <v:textbox inset="0mm,0mm,0mm,0mm">
                    <w:txbxContent>
                      <w:p>
                        <w:pPr>
                          <w:autoSpaceDE w:val="0"/>
                          <w:autoSpaceDN w:val="0"/>
                          <w:adjustRightInd w:val="0"/>
                          <w:rPr>
                            <w:rFonts w:hint="eastAsia" w:cs="宋体"/>
                            <w:bCs/>
                            <w:color w:val="000000"/>
                            <w:szCs w:val="21"/>
                          </w:rPr>
                        </w:pPr>
                        <w:r>
                          <w:rPr>
                            <w:rFonts w:hint="eastAsia" w:cs="宋体"/>
                            <w:bCs/>
                            <w:color w:val="000000"/>
                            <w:szCs w:val="21"/>
                          </w:rPr>
                          <w:t>（铅金属含量）14.3</w:t>
                        </w:r>
                      </w:p>
                    </w:txbxContent>
                  </v:textbox>
                </v:shape>
                <v:line id="Line 1257" o:spid="_x0000_s1026" o:spt="20" style="position:absolute;left:5918;top:10622;flip:y;height:0;width:313;" filled="f" stroked="t" coordsize="21600,21600" o:gfxdata="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qmgS7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1258" o:spid="_x0000_s1026" o:spt="202" type="#_x0000_t202" style="position:absolute;left:7178;top:9530;height:319;width:2160;" fillcolor="#FFFFFF" filled="t" stroked="f" coordsize="21600,21600" o:gfxdata="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ABZBbsAAADc&#10;AAAADwAAAAAAAAABACAAAAAiAAAAZHJzL2Rvd25yZXYueG1sUEsBAhQAFAAAAAgAh07iQDMvBZ47&#10;AAAAOQAAABAAAAAAAAAAAQAgAAAACgEAAGRycy9zaGFwZXhtbC54bWxQSwUGAAAAAAYABgBbAQAA&#10;tAMAAAAA&#10;">
                  <v:fill on="t" focussize="0,0"/>
                  <v:stroke on="f" weight="1pt"/>
                  <v:imagedata o:title=""/>
                  <o:lock v:ext="edit" aspectratio="f"/>
                  <v:textbox inset="0mm,0mm,0mm,0mm">
                    <w:txbxContent>
                      <w:p>
                        <w:pPr>
                          <w:rPr>
                            <w:rFonts w:hint="eastAsia"/>
                            <w:szCs w:val="21"/>
                          </w:rPr>
                        </w:pPr>
                        <w:r>
                          <w:rPr>
                            <w:rFonts w:hint="eastAsia"/>
                            <w:szCs w:val="21"/>
                          </w:rPr>
                          <w:t>废水中含铅0.13</w:t>
                        </w:r>
                      </w:p>
                    </w:txbxContent>
                  </v:textbox>
                </v:shape>
                <v:shape id="Text Box 1259" o:spid="_x0000_s1026" o:spt="202" type="#_x0000_t202" style="position:absolute;left:4838;top:8282;height:2028;width:1971;" fillcolor="#FFFFFF" filled="t" stroked="t" coordsize="21600,21600" o:gfxdata="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9DIzI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rFonts w:hint="eastAsia"/>
                            <w:bCs/>
                            <w:sz w:val="44"/>
                            <w:szCs w:val="44"/>
                          </w:rPr>
                        </w:pPr>
                      </w:p>
                      <w:p>
                        <w:pPr>
                          <w:jc w:val="center"/>
                          <w:rPr>
                            <w:rFonts w:hint="eastAsia"/>
                            <w:bCs/>
                            <w:sz w:val="44"/>
                            <w:szCs w:val="44"/>
                          </w:rPr>
                        </w:pPr>
                        <w:r>
                          <w:rPr>
                            <w:rFonts w:hint="eastAsia"/>
                            <w:bCs/>
                            <w:sz w:val="44"/>
                            <w:szCs w:val="44"/>
                          </w:rPr>
                          <w:t>铅</w:t>
                        </w:r>
                      </w:p>
                      <w:p>
                        <w:pPr>
                          <w:jc w:val="center"/>
                          <w:rPr>
                            <w:rFonts w:hint="eastAsia"/>
                            <w:bCs/>
                            <w:sz w:val="44"/>
                            <w:szCs w:val="44"/>
                          </w:rPr>
                        </w:pPr>
                        <w:r>
                          <w:rPr>
                            <w:rFonts w:hint="eastAsia"/>
                            <w:bCs/>
                            <w:sz w:val="44"/>
                            <w:szCs w:val="44"/>
                          </w:rPr>
                          <w:t>平</w:t>
                        </w:r>
                      </w:p>
                      <w:p>
                        <w:pPr>
                          <w:jc w:val="center"/>
                          <w:rPr>
                            <w:rFonts w:hint="eastAsia"/>
                            <w:bCs/>
                            <w:sz w:val="44"/>
                            <w:szCs w:val="44"/>
                          </w:rPr>
                        </w:pPr>
                        <w:r>
                          <w:rPr>
                            <w:rFonts w:hint="eastAsia"/>
                            <w:bCs/>
                            <w:sz w:val="44"/>
                            <w:szCs w:val="44"/>
                          </w:rPr>
                          <w:t>衡</w:t>
                        </w:r>
                      </w:p>
                    </w:txbxContent>
                  </v:textbox>
                </v:shape>
                <v:shape id="Text Box 1261" o:spid="_x0000_s1026" o:spt="202" type="#_x0000_t202" style="position:absolute;left:6278;top:10466;height:437;width:2340;" fillcolor="#FFFFFF" filled="t" stroked="f" coordsize="21600,21600" o:gfxdata="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7TaOy/&#10;AAAA3AAAAA8AAAAAAAAAAQAgAAAAIgAAAGRycy9kb3ducmV2LnhtbFBLAQIUABQAAAAIAIdO4kAz&#10;LwWeOwAAADkAAAAQAAAAAAAAAAEAIAAAAA4BAABkcnMvc2hhcGV4bWwueG1sUEsFBgAAAAAGAAYA&#10;WwEAALgDAAAAAA==&#10;">
                  <v:fill on="t" focussize="0,0"/>
                  <v:stroke on="f" weight="1pt"/>
                  <v:imagedata o:title=""/>
                  <o:lock v:ext="edit" aspectratio="f"/>
                  <v:textbox inset="0mm,0mm,0mm,0mm">
                    <w:txbxContent>
                      <w:p>
                        <w:pPr>
                          <w:rPr>
                            <w:rFonts w:hint="eastAsia"/>
                            <w:szCs w:val="21"/>
                          </w:rPr>
                        </w:pPr>
                        <w:r>
                          <w:rPr>
                            <w:rFonts w:hint="eastAsia"/>
                            <w:szCs w:val="21"/>
                          </w:rPr>
                          <w:t>铅精矿中含铅12.54</w:t>
                        </w:r>
                      </w:p>
                    </w:txbxContent>
                  </v:textbox>
                </v:shape>
                <v:line id="Line 1363" o:spid="_x0000_s1026" o:spt="20" style="position:absolute;left:6818;top:8750;flip:y;height:1;width:360;" filled="f" stroked="t" coordsize="21600,21600" o:gfxdata="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SqTr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line id="Line 1365" o:spid="_x0000_s1026" o:spt="20" style="position:absolute;left:6818;top:9686;height:0;width:360;" filled="f" stroked="t" coordsize="21600,21600" o:gfxdata="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2F0aL4A&#10;AADcAAAADwAAAAAAAAABACAAAAAiAAAAZHJzL2Rvd25yZXYueG1sUEsBAhQAFAAAAAgAh07iQDMv&#10;BZ47AAAAOQAAABAAAAAAAAAAAQAgAAAADQEAAGRycy9zaGFwZXhtbC54bWxQSwUGAAAAAAYABgBb&#10;AQAAtwMAAAAA&#10;">
                  <v:fill on="f" focussize="0,0"/>
                  <v:stroke weight="1pt" color="#000000" joinstyle="round" endarrow="block"/>
                  <v:imagedata o:title=""/>
                  <o:lock v:ext="edit" aspectratio="f"/>
                </v:line>
                <v:line id="直线 6865" o:spid="_x0000_s1026" o:spt="20" style="position:absolute;left:5918;top:10310;height:312;width:0;" filled="f" stroked="t" coordsize="21600,21600" o:gfxdata="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duFfLsAAADc&#10;AAAADwAAAAAAAAABACAAAAAiAAAAZHJzL2Rvd25yZXYueG1sUEsBAhQAFAAAAAgAh07iQDMvBZ47&#10;AAAAOQAAABAAAAAAAAAAAQAgAAAACgEAAGRycy9zaGFwZXhtbC54bWxQSwUGAAAAAAYABgBbAQAA&#10;tAMAAAAA&#10;">
                  <v:fill on="f" focussize="0,0"/>
                  <v:stroke color="#000000" joinstyle="round"/>
                  <v:imagedata o:title=""/>
                  <o:lock v:ext="edit" aspectratio="f"/>
                </v:line>
              </v:group>
            </w:pict>
          </mc:Fallback>
        </mc:AlternateContent>
      </w:r>
    </w:p>
    <w:p>
      <w:pPr>
        <w:spacing w:line="360" w:lineRule="exact"/>
        <w:ind w:firstLine="480" w:firstLineChars="200"/>
        <w:rPr>
          <w:rFonts w:hint="eastAsia" w:ascii="宋体" w:hAnsi="宋体"/>
          <w:color w:val="000000"/>
          <w:sz w:val="24"/>
          <w:szCs w:val="24"/>
        </w:rPr>
      </w:pPr>
    </w:p>
    <w:p>
      <w:pPr>
        <w:spacing w:line="360" w:lineRule="auto"/>
        <w:rPr>
          <w:rFonts w:hint="eastAsia" w:ascii="宋体" w:hAnsi="宋体"/>
          <w:color w:val="000000"/>
          <w:szCs w:val="18"/>
        </w:rPr>
      </w:pPr>
    </w:p>
    <w:p>
      <w:pPr>
        <w:spacing w:line="460" w:lineRule="exact"/>
        <w:rPr>
          <w:rFonts w:hint="eastAsia" w:ascii="宋体" w:hAnsi="宋体"/>
          <w:b/>
          <w:color w:val="000000"/>
          <w:sz w:val="28"/>
        </w:rPr>
      </w:pPr>
    </w:p>
    <w:p>
      <w:pPr>
        <w:tabs>
          <w:tab w:val="left" w:pos="2100"/>
        </w:tabs>
        <w:spacing w:line="460" w:lineRule="exact"/>
        <w:rPr>
          <w:rFonts w:hint="eastAsia" w:ascii="宋体" w:hAnsi="宋体"/>
          <w:b/>
          <w:color w:val="000000"/>
          <w:sz w:val="28"/>
        </w:rPr>
      </w:pPr>
      <w:r>
        <w:rPr>
          <w:rFonts w:hint="eastAsia" w:ascii="宋体" w:hAnsi="宋体"/>
          <w:b/>
          <w:color w:val="000000"/>
          <w:sz w:val="28"/>
        </w:rPr>
        <w:t xml:space="preserve"> </w:t>
      </w:r>
      <w:r>
        <w:rPr>
          <w:rFonts w:ascii="宋体" w:hAnsi="宋体"/>
          <w:b/>
          <w:color w:val="000000"/>
          <w:sz w:val="28"/>
        </w:rPr>
        <w:tab/>
      </w:r>
    </w:p>
    <w:p>
      <w:pPr>
        <w:spacing w:line="460" w:lineRule="exact"/>
        <w:rPr>
          <w:rFonts w:hint="eastAsia" w:ascii="宋体" w:hAnsi="宋体"/>
          <w:b/>
          <w:color w:val="000000"/>
          <w:sz w:val="28"/>
        </w:rPr>
      </w:pPr>
      <w:r>
        <w:rPr>
          <w:rFonts w:hint="eastAsia" w:ascii="宋体" w:hAnsi="宋体"/>
          <w:b/>
          <w:color w:val="000000"/>
          <w:sz w:val="28"/>
        </w:rPr>
        <w:t xml:space="preserve"> </w:t>
      </w:r>
    </w:p>
    <w:p>
      <w:pPr>
        <w:spacing w:line="280" w:lineRule="exact"/>
        <w:rPr>
          <w:rFonts w:hint="eastAsia" w:ascii="宋体" w:hAnsi="宋体"/>
          <w:b/>
          <w:color w:val="000000"/>
          <w:sz w:val="28"/>
        </w:rPr>
      </w:pPr>
    </w:p>
    <w:p>
      <w:pPr>
        <w:spacing w:line="280" w:lineRule="exact"/>
        <w:rPr>
          <w:rFonts w:hint="eastAsia" w:ascii="宋体" w:hAnsi="宋体"/>
          <w:b/>
          <w:color w:val="000000"/>
          <w:sz w:val="28"/>
        </w:rPr>
      </w:pPr>
    </w:p>
    <w:p>
      <w:pPr>
        <w:spacing w:line="280" w:lineRule="exact"/>
        <w:rPr>
          <w:rFonts w:hint="eastAsia" w:ascii="宋体" w:hAnsi="宋体"/>
          <w:b/>
          <w:color w:val="000000"/>
          <w:sz w:val="28"/>
        </w:rPr>
      </w:pPr>
    </w:p>
    <w:p>
      <w:pPr>
        <w:spacing w:line="280" w:lineRule="exact"/>
        <w:rPr>
          <w:rFonts w:hint="eastAsia" w:ascii="宋体" w:hAnsi="宋体"/>
          <w:b/>
          <w:color w:val="000000"/>
          <w:sz w:val="28"/>
        </w:rPr>
      </w:pPr>
    </w:p>
    <w:p>
      <w:pPr>
        <w:spacing w:line="280" w:lineRule="exact"/>
        <w:rPr>
          <w:rFonts w:hint="eastAsia" w:ascii="宋体" w:hAnsi="宋体"/>
          <w:b/>
          <w:color w:val="000000"/>
          <w:sz w:val="28"/>
        </w:rPr>
      </w:pPr>
    </w:p>
    <w:p>
      <w:pPr>
        <w:spacing w:line="280" w:lineRule="exact"/>
        <w:rPr>
          <w:rFonts w:hint="eastAsia" w:ascii="宋体" w:hAnsi="宋体"/>
          <w:b/>
          <w:color w:val="000000"/>
          <w:sz w:val="28"/>
        </w:rPr>
      </w:pPr>
    </w:p>
    <w:p>
      <w:pPr>
        <w:tabs>
          <w:tab w:val="left" w:pos="5955"/>
        </w:tabs>
        <w:spacing w:line="280" w:lineRule="exact"/>
        <w:jc w:val="center"/>
        <w:rPr>
          <w:rFonts w:hint="eastAsia"/>
          <w:b/>
          <w:color w:val="000000"/>
          <w:sz w:val="24"/>
          <w:szCs w:val="24"/>
        </w:rPr>
      </w:pPr>
      <w:r>
        <w:rPr>
          <w:rFonts w:hint="eastAsia"/>
          <w:b/>
          <w:color w:val="000000"/>
          <w:sz w:val="24"/>
          <w:szCs w:val="24"/>
        </w:rPr>
        <w:t>图 3-6 关心元素平衡—铅平衡图 （单位</w:t>
      </w:r>
      <w:r>
        <w:rPr>
          <w:rFonts w:hint="eastAsia"/>
          <w:color w:val="000000"/>
          <w:sz w:val="24"/>
          <w:szCs w:val="24"/>
        </w:rPr>
        <w:t>t/d</w:t>
      </w:r>
      <w:r>
        <w:rPr>
          <w:rFonts w:hint="eastAsia"/>
          <w:b/>
          <w:color w:val="000000"/>
          <w:sz w:val="24"/>
          <w:szCs w:val="24"/>
        </w:rPr>
        <w:t>）</w:t>
      </w:r>
    </w:p>
    <w:p>
      <w:pPr>
        <w:spacing w:line="280" w:lineRule="exact"/>
        <w:rPr>
          <w:rFonts w:hint="eastAsia" w:ascii="宋体" w:hAnsi="宋体"/>
          <w:b/>
          <w:color w:val="000000"/>
          <w:sz w:val="28"/>
        </w:rPr>
      </w:pPr>
    </w:p>
    <w:p>
      <w:pPr>
        <w:spacing w:line="280" w:lineRule="exact"/>
        <w:rPr>
          <w:rFonts w:hint="eastAsia" w:ascii="宋体" w:hAnsi="宋体"/>
          <w:b/>
          <w:color w:val="000000"/>
          <w:sz w:val="28"/>
        </w:rPr>
      </w:pP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从铅平衡得知，铅金属回收率为 87.71%，在国内处于一个较好水平范围。</w:t>
      </w:r>
    </w:p>
    <w:p>
      <w:pPr>
        <w:spacing w:line="360" w:lineRule="auto"/>
        <w:ind w:firstLine="562" w:firstLineChars="200"/>
        <w:rPr>
          <w:rFonts w:hint="eastAsia"/>
          <w:b/>
          <w:color w:val="000000"/>
          <w:sz w:val="28"/>
          <w:szCs w:val="28"/>
        </w:rPr>
      </w:pPr>
    </w:p>
    <w:p>
      <w:pPr>
        <w:spacing w:line="360" w:lineRule="auto"/>
        <w:ind w:firstLine="562" w:firstLineChars="200"/>
        <w:rPr>
          <w:rFonts w:hint="eastAsia" w:ascii="宋体" w:hAnsi="宋体"/>
          <w:color w:val="000000"/>
          <w:sz w:val="24"/>
          <w:szCs w:val="24"/>
        </w:rPr>
      </w:pPr>
      <w:r>
        <w:rPr>
          <w:rFonts w:hint="eastAsia" w:ascii="宋体" w:hAnsi="宋体"/>
          <w:b/>
          <w:color w:val="000000"/>
          <w:sz w:val="28"/>
          <w:lang/>
        </w:rPr>
        <mc:AlternateContent>
          <mc:Choice Requires="wpg">
            <w:drawing>
              <wp:anchor distT="0" distB="0" distL="114300" distR="114300" simplePos="0" relativeHeight="251675648" behindDoc="0" locked="0" layoutInCell="1" allowOverlap="1">
                <wp:simplePos x="0" y="0"/>
                <wp:positionH relativeFrom="column">
                  <wp:posOffset>228600</wp:posOffset>
                </wp:positionH>
                <wp:positionV relativeFrom="paragraph">
                  <wp:posOffset>-99060</wp:posOffset>
                </wp:positionV>
                <wp:extent cx="5257800" cy="2476500"/>
                <wp:effectExtent l="0" t="0" r="0" b="0"/>
                <wp:wrapNone/>
                <wp:docPr id="155" name="组合 6870"/>
                <wp:cNvGraphicFramePr/>
                <a:graphic xmlns:a="http://schemas.openxmlformats.org/drawingml/2006/main">
                  <a:graphicData uri="http://schemas.microsoft.com/office/word/2010/wordprocessingGroup">
                    <wpg:wgp>
                      <wpg:cNvGrpSpPr/>
                      <wpg:grpSpPr>
                        <a:xfrm>
                          <a:off x="0" y="0"/>
                          <a:ext cx="5257800" cy="2476500"/>
                          <a:chOff x="1778" y="1262"/>
                          <a:chExt cx="8280" cy="3900"/>
                        </a:xfrm>
                      </wpg:grpSpPr>
                      <wps:wsp>
                        <wps:cNvPr id="143" name="Text Box 1431"/>
                        <wps:cNvSpPr txBox="1"/>
                        <wps:spPr>
                          <a:xfrm>
                            <a:off x="2138" y="2042"/>
                            <a:ext cx="1980" cy="613"/>
                          </a:xfrm>
                          <a:prstGeom prst="rect">
                            <a:avLst/>
                          </a:prstGeom>
                          <a:solidFill>
                            <a:srgbClr val="FFFFFF"/>
                          </a:solidFill>
                          <a:ln w="12700">
                            <a:noFill/>
                          </a:ln>
                        </wps:spPr>
                        <wps:txbx>
                          <w:txbxContent>
                            <w:p>
                              <w:pPr>
                                <w:rPr>
                                  <w:rFonts w:hint="eastAsia"/>
                                  <w:szCs w:val="21"/>
                                </w:rPr>
                              </w:pPr>
                              <w:r>
                                <w:rPr>
                                  <w:rFonts w:hint="eastAsia"/>
                                  <w:szCs w:val="21"/>
                                </w:rPr>
                                <w:t>矿石量260</w:t>
                              </w:r>
                            </w:p>
                          </w:txbxContent>
                        </wps:txbx>
                        <wps:bodyPr wrap="square" lIns="0" tIns="0" rIns="0" bIns="0" upright="1"/>
                      </wps:wsp>
                      <wps:wsp>
                        <wps:cNvPr id="144" name="Line 1432"/>
                        <wps:cNvSpPr/>
                        <wps:spPr>
                          <a:xfrm flipV="1">
                            <a:off x="4118" y="2354"/>
                            <a:ext cx="664" cy="0"/>
                          </a:xfrm>
                          <a:prstGeom prst="line">
                            <a:avLst/>
                          </a:prstGeom>
                          <a:ln w="12700" cap="flat" cmpd="sng">
                            <a:solidFill>
                              <a:srgbClr val="000000"/>
                            </a:solidFill>
                            <a:prstDash val="solid"/>
                            <a:headEnd type="none" w="med" len="med"/>
                            <a:tailEnd type="triangle" w="med" len="med"/>
                          </a:ln>
                        </wps:spPr>
                        <wps:bodyPr upright="1"/>
                      </wps:wsp>
                      <wps:wsp>
                        <wps:cNvPr id="145" name="Text Box 1434"/>
                        <wps:cNvSpPr txBox="1"/>
                        <wps:spPr>
                          <a:xfrm>
                            <a:off x="7718" y="2042"/>
                            <a:ext cx="2340" cy="342"/>
                          </a:xfrm>
                          <a:prstGeom prst="rect">
                            <a:avLst/>
                          </a:prstGeom>
                          <a:solidFill>
                            <a:srgbClr val="FFFFFF"/>
                          </a:solidFill>
                          <a:ln w="12700">
                            <a:noFill/>
                          </a:ln>
                        </wps:spPr>
                        <wps:txbx>
                          <w:txbxContent>
                            <w:p>
                              <w:pPr>
                                <w:rPr>
                                  <w:rFonts w:hint="eastAsia"/>
                                  <w:szCs w:val="21"/>
                                </w:rPr>
                              </w:pPr>
                              <w:r>
                                <w:rPr>
                                  <w:rFonts w:hint="eastAsia"/>
                                  <w:szCs w:val="21"/>
                                </w:rPr>
                                <w:t>尾矿废渣中含锌4.17</w:t>
                              </w:r>
                            </w:p>
                          </w:txbxContent>
                        </wps:txbx>
                        <wps:bodyPr wrap="square" lIns="0" tIns="0" rIns="0" bIns="0" upright="1"/>
                      </wps:wsp>
                      <wps:wsp>
                        <wps:cNvPr id="146" name="Text Box 1435"/>
                        <wps:cNvSpPr txBox="1"/>
                        <wps:spPr>
                          <a:xfrm>
                            <a:off x="7718" y="2978"/>
                            <a:ext cx="1980" cy="468"/>
                          </a:xfrm>
                          <a:prstGeom prst="rect">
                            <a:avLst/>
                          </a:prstGeom>
                          <a:solidFill>
                            <a:srgbClr val="FFFFFF"/>
                          </a:solidFill>
                          <a:ln w="12700">
                            <a:noFill/>
                          </a:ln>
                        </wps:spPr>
                        <wps:txbx>
                          <w:txbxContent>
                            <w:p>
                              <w:pPr>
                                <w:autoSpaceDE w:val="0"/>
                                <w:autoSpaceDN w:val="0"/>
                                <w:adjustRightInd w:val="0"/>
                                <w:rPr>
                                  <w:rFonts w:hint="eastAsia" w:cs="宋体"/>
                                  <w:bCs/>
                                  <w:color w:val="000000"/>
                                  <w:szCs w:val="21"/>
                                </w:rPr>
                              </w:pPr>
                              <w:r>
                                <w:rPr>
                                  <w:rFonts w:hint="eastAsia" w:cs="宋体"/>
                                  <w:bCs/>
                                  <w:color w:val="000000"/>
                                  <w:szCs w:val="21"/>
                                </w:rPr>
                                <w:t>废水中含锌0.13</w:t>
                              </w:r>
                            </w:p>
                          </w:txbxContent>
                        </wps:txbx>
                        <wps:bodyPr wrap="square" lIns="0" tIns="0" rIns="0" bIns="0" upright="1"/>
                      </wps:wsp>
                      <wps:wsp>
                        <wps:cNvPr id="147" name="Line 1436"/>
                        <wps:cNvSpPr/>
                        <wps:spPr>
                          <a:xfrm flipV="1">
                            <a:off x="5918" y="4850"/>
                            <a:ext cx="853" cy="1"/>
                          </a:xfrm>
                          <a:prstGeom prst="line">
                            <a:avLst/>
                          </a:prstGeom>
                          <a:ln w="12700" cap="flat" cmpd="sng">
                            <a:solidFill>
                              <a:srgbClr val="000000"/>
                            </a:solidFill>
                            <a:prstDash val="solid"/>
                            <a:headEnd type="none" w="med" len="med"/>
                            <a:tailEnd type="triangle" w="med" len="med"/>
                          </a:ln>
                        </wps:spPr>
                        <wps:bodyPr upright="1"/>
                      </wps:wsp>
                      <wps:wsp>
                        <wps:cNvPr id="148" name="Text Box 1437"/>
                        <wps:cNvSpPr txBox="1"/>
                        <wps:spPr>
                          <a:xfrm>
                            <a:off x="1778" y="2510"/>
                            <a:ext cx="2160" cy="342"/>
                          </a:xfrm>
                          <a:prstGeom prst="rect">
                            <a:avLst/>
                          </a:prstGeom>
                          <a:solidFill>
                            <a:srgbClr val="FFFFFF"/>
                          </a:solidFill>
                          <a:ln w="12700">
                            <a:noFill/>
                          </a:ln>
                        </wps:spPr>
                        <wps:txbx>
                          <w:txbxContent>
                            <w:p>
                              <w:pPr>
                                <w:rPr>
                                  <w:rFonts w:hint="eastAsia"/>
                                  <w:szCs w:val="21"/>
                                </w:rPr>
                              </w:pPr>
                              <w:r>
                                <w:rPr>
                                  <w:rFonts w:hint="eastAsia"/>
                                  <w:szCs w:val="21"/>
                                </w:rPr>
                                <w:t>锌金属含量35.05</w:t>
                              </w:r>
                            </w:p>
                          </w:txbxContent>
                        </wps:txbx>
                        <wps:bodyPr wrap="square" lIns="0" tIns="0" rIns="0" bIns="0" upright="1"/>
                      </wps:wsp>
                      <wps:wsp>
                        <wps:cNvPr id="149" name="Text Box 1440"/>
                        <wps:cNvSpPr txBox="1"/>
                        <wps:spPr>
                          <a:xfrm>
                            <a:off x="6818" y="4694"/>
                            <a:ext cx="2340" cy="468"/>
                          </a:xfrm>
                          <a:prstGeom prst="rect">
                            <a:avLst/>
                          </a:prstGeom>
                          <a:solidFill>
                            <a:srgbClr val="FFFFFF"/>
                          </a:solidFill>
                          <a:ln w="12700">
                            <a:noFill/>
                          </a:ln>
                        </wps:spPr>
                        <wps:txbx>
                          <w:txbxContent>
                            <w:p>
                              <w:pPr>
                                <w:rPr>
                                  <w:rFonts w:hint="eastAsia"/>
                                  <w:szCs w:val="21"/>
                                </w:rPr>
                              </w:pPr>
                              <w:r>
                                <w:rPr>
                                  <w:rFonts w:hint="eastAsia"/>
                                  <w:szCs w:val="21"/>
                                </w:rPr>
                                <w:t>锌精矿中含锌30.61</w:t>
                              </w:r>
                            </w:p>
                          </w:txbxContent>
                        </wps:txbx>
                        <wps:bodyPr wrap="square" lIns="0" tIns="0" rIns="0" bIns="0" upright="1"/>
                      </wps:wsp>
                      <wps:wsp>
                        <wps:cNvPr id="150" name="Text Box 1441"/>
                        <wps:cNvSpPr txBox="1"/>
                        <wps:spPr>
                          <a:xfrm>
                            <a:off x="7538" y="1262"/>
                            <a:ext cx="2340" cy="342"/>
                          </a:xfrm>
                          <a:prstGeom prst="rect">
                            <a:avLst/>
                          </a:prstGeom>
                          <a:solidFill>
                            <a:srgbClr val="FFFFFF"/>
                          </a:solidFill>
                          <a:ln w="12700">
                            <a:noFill/>
                          </a:ln>
                        </wps:spPr>
                        <wps:txbx>
                          <w:txbxContent>
                            <w:p>
                              <w:pPr>
                                <w:rPr>
                                  <w:rFonts w:hint="eastAsia"/>
                                  <w:szCs w:val="21"/>
                                </w:rPr>
                              </w:pPr>
                            </w:p>
                          </w:txbxContent>
                        </wps:txbx>
                        <wps:bodyPr wrap="square" lIns="0" tIns="0" rIns="0" bIns="0" upright="1"/>
                      </wps:wsp>
                      <wps:wsp>
                        <wps:cNvPr id="151" name="Line 1443"/>
                        <wps:cNvSpPr/>
                        <wps:spPr>
                          <a:xfrm flipV="1">
                            <a:off x="6818" y="2198"/>
                            <a:ext cx="853" cy="1"/>
                          </a:xfrm>
                          <a:prstGeom prst="line">
                            <a:avLst/>
                          </a:prstGeom>
                          <a:ln w="12700" cap="flat" cmpd="sng">
                            <a:solidFill>
                              <a:srgbClr val="000000"/>
                            </a:solidFill>
                            <a:prstDash val="solid"/>
                            <a:headEnd type="none" w="med" len="med"/>
                            <a:tailEnd type="triangle" w="med" len="med"/>
                          </a:ln>
                        </wps:spPr>
                        <wps:bodyPr upright="1"/>
                      </wps:wsp>
                      <wps:wsp>
                        <wps:cNvPr id="152" name="Line 1445"/>
                        <wps:cNvSpPr/>
                        <wps:spPr>
                          <a:xfrm flipV="1">
                            <a:off x="6818" y="3290"/>
                            <a:ext cx="853" cy="1"/>
                          </a:xfrm>
                          <a:prstGeom prst="line">
                            <a:avLst/>
                          </a:prstGeom>
                          <a:ln w="12700" cap="flat" cmpd="sng">
                            <a:solidFill>
                              <a:srgbClr val="000000"/>
                            </a:solidFill>
                            <a:prstDash val="solid"/>
                            <a:headEnd type="none" w="med" len="med"/>
                            <a:tailEnd type="triangle" w="med" len="med"/>
                          </a:ln>
                        </wps:spPr>
                        <wps:bodyPr upright="1"/>
                      </wps:wsp>
                      <wps:wsp>
                        <wps:cNvPr id="153" name="Text Box 1846"/>
                        <wps:cNvSpPr txBox="1"/>
                        <wps:spPr>
                          <a:xfrm>
                            <a:off x="4838" y="1582"/>
                            <a:ext cx="1971" cy="2800"/>
                          </a:xfrm>
                          <a:prstGeom prst="rect">
                            <a:avLst/>
                          </a:prstGeom>
                          <a:solidFill>
                            <a:srgbClr val="FFFFFF"/>
                          </a:solidFill>
                          <a:ln w="12700" cap="flat" cmpd="sng">
                            <a:solidFill>
                              <a:srgbClr val="000000"/>
                            </a:solidFill>
                            <a:prstDash val="solid"/>
                            <a:miter/>
                            <a:headEnd type="none" w="med" len="med"/>
                            <a:tailEnd type="none" w="med" len="med"/>
                          </a:ln>
                        </wps:spPr>
                        <wps:txbx>
                          <w:txbxContent>
                            <w:p>
                              <w:pPr>
                                <w:jc w:val="center"/>
                                <w:rPr>
                                  <w:rFonts w:hint="eastAsia"/>
                                  <w:b/>
                                  <w:bCs/>
                                  <w:sz w:val="44"/>
                                  <w:szCs w:val="44"/>
                                </w:rPr>
                              </w:pPr>
                            </w:p>
                            <w:p>
                              <w:pPr>
                                <w:jc w:val="center"/>
                                <w:rPr>
                                  <w:rFonts w:hint="eastAsia"/>
                                  <w:bCs/>
                                  <w:sz w:val="44"/>
                                  <w:szCs w:val="44"/>
                                </w:rPr>
                              </w:pPr>
                              <w:r>
                                <w:rPr>
                                  <w:rFonts w:hint="eastAsia"/>
                                  <w:bCs/>
                                  <w:sz w:val="44"/>
                                  <w:szCs w:val="44"/>
                                </w:rPr>
                                <w:t>锌</w:t>
                              </w:r>
                            </w:p>
                            <w:p>
                              <w:pPr>
                                <w:jc w:val="center"/>
                                <w:rPr>
                                  <w:rFonts w:hint="eastAsia"/>
                                  <w:bCs/>
                                  <w:sz w:val="44"/>
                                  <w:szCs w:val="44"/>
                                </w:rPr>
                              </w:pPr>
                              <w:r>
                                <w:rPr>
                                  <w:rFonts w:hint="eastAsia"/>
                                  <w:bCs/>
                                  <w:sz w:val="44"/>
                                  <w:szCs w:val="44"/>
                                </w:rPr>
                                <w:t>平</w:t>
                              </w:r>
                            </w:p>
                            <w:p>
                              <w:pPr>
                                <w:jc w:val="center"/>
                                <w:rPr>
                                  <w:rFonts w:hint="eastAsia"/>
                                  <w:bCs/>
                                  <w:sz w:val="44"/>
                                  <w:szCs w:val="44"/>
                                </w:rPr>
                              </w:pPr>
                              <w:r>
                                <w:rPr>
                                  <w:rFonts w:hint="eastAsia"/>
                                  <w:bCs/>
                                  <w:sz w:val="44"/>
                                  <w:szCs w:val="44"/>
                                </w:rPr>
                                <w:t>衡</w:t>
                              </w:r>
                            </w:p>
                            <w:p>
                              <w:pPr>
                                <w:rPr>
                                  <w:rFonts w:hint="eastAsia"/>
                                  <w:szCs w:val="32"/>
                                </w:rPr>
                              </w:pPr>
                            </w:p>
                          </w:txbxContent>
                        </wps:txbx>
                        <wps:bodyPr wrap="square" upright="1"/>
                      </wps:wsp>
                      <wps:wsp>
                        <wps:cNvPr id="154" name="直线 6869"/>
                        <wps:cNvSpPr/>
                        <wps:spPr>
                          <a:xfrm>
                            <a:off x="5918" y="4382"/>
                            <a:ext cx="0" cy="468"/>
                          </a:xfrm>
                          <a:prstGeom prst="line">
                            <a:avLst/>
                          </a:prstGeom>
                          <a:ln w="9525" cap="flat" cmpd="sng">
                            <a:solidFill>
                              <a:srgbClr val="000000"/>
                            </a:solidFill>
                            <a:prstDash val="solid"/>
                            <a:headEnd type="none" w="med" len="med"/>
                            <a:tailEnd type="none" w="med" len="med"/>
                          </a:ln>
                        </wps:spPr>
                        <wps:bodyPr upright="1"/>
                      </wps:wsp>
                    </wpg:wgp>
                  </a:graphicData>
                </a:graphic>
              </wp:anchor>
            </w:drawing>
          </mc:Choice>
          <mc:Fallback>
            <w:pict>
              <v:group id="组合 6870" o:spid="_x0000_s1026" o:spt="203" style="position:absolute;left:0pt;margin-left:18pt;margin-top:-7.8pt;height:195pt;width:414pt;z-index:251675648;mso-width-relative:page;mso-height-relative:page;" coordorigin="1778,1262" coordsize="8280,3900" o:gfxdata="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">
                <o:lock v:ext="edit" aspectratio="f"/>
                <v:shape id="Text Box 1431" o:spid="_x0000_s1026" o:spt="202" type="#_x0000_t202" style="position:absolute;left:2138;top:2042;height:613;width:1980;" fillcolor="#FFFFFF" filled="t" stroked="f" coordsize="21600,21600" o:gfxdata="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cYngvQAA&#10;ANwAAAAPAAAAAAAAAAEAIAAAACIAAABkcnMvZG93bnJldi54bWxQSwECFAAUAAAACACHTuJAMy8F&#10;njsAAAA5AAAAEAAAAAAAAAABACAAAAAMAQAAZHJzL3NoYXBleG1sLnhtbFBLBQYAAAAABgAGAFsB&#10;AAC2AwAAAAA=&#10;">
                  <v:fill on="t" focussize="0,0"/>
                  <v:stroke on="f" weight="1pt"/>
                  <v:imagedata o:title=""/>
                  <o:lock v:ext="edit" aspectratio="f"/>
                  <v:textbox inset="0mm,0mm,0mm,0mm">
                    <w:txbxContent>
                      <w:p>
                        <w:pPr>
                          <w:rPr>
                            <w:rFonts w:hint="eastAsia"/>
                            <w:szCs w:val="21"/>
                          </w:rPr>
                        </w:pPr>
                        <w:r>
                          <w:rPr>
                            <w:rFonts w:hint="eastAsia"/>
                            <w:szCs w:val="21"/>
                          </w:rPr>
                          <w:t>矿石量260</w:t>
                        </w:r>
                      </w:p>
                    </w:txbxContent>
                  </v:textbox>
                </v:shape>
                <v:line id="Line 1432" o:spid="_x0000_s1026" o:spt="20" style="position:absolute;left:4118;top:2354;flip:y;height:0;width:664;" filled="f" stroked="t" coordsize="21600,21600" o:gfxdata="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N43atugAAANwA&#10;AAAPAAAAAAAAAAEAIAAAACIAAABkcnMvZG93bnJldi54bWxQSwECFAAUAAAACACHTuJAMy8FnjsA&#10;AAA5AAAAEAAAAAAAAAABACAAAAAJAQAAZHJzL3NoYXBleG1sLnhtbFBLBQYAAAAABgAGAFsBAACz&#10;AwAAAAA=&#10;">
                  <v:fill on="f" focussize="0,0"/>
                  <v:stroke weight="1pt" color="#000000" joinstyle="round" endarrow="block"/>
                  <v:imagedata o:title=""/>
                  <o:lock v:ext="edit" aspectratio="f"/>
                </v:line>
                <v:shape id="Text Box 1434" o:spid="_x0000_s1026" o:spt="202" type="#_x0000_t202" style="position:absolute;left:7718;top:2042;height:342;width:2340;" fillcolor="#FFFFFF" filled="t" stroked="f" coordsize="21600,21600" o:gfxdata="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UtA+5AAAA3AAA&#10;AA8AAAAAAAAAAQAgAAAAIgAAAGRycy9kb3ducmV2LnhtbFBLAQIUABQAAAAIAIdO4kAzLwWeOwAA&#10;ADkAAAAQAAAAAAAAAAEAIAAAAAgBAABkcnMvc2hhcGV4bWwueG1sUEsFBgAAAAAGAAYAWwEAALID&#10;AAAAAA==&#10;">
                  <v:fill on="t" focussize="0,0"/>
                  <v:stroke on="f" weight="1pt"/>
                  <v:imagedata o:title=""/>
                  <o:lock v:ext="edit" aspectratio="f"/>
                  <v:textbox inset="0mm,0mm,0mm,0mm">
                    <w:txbxContent>
                      <w:p>
                        <w:pPr>
                          <w:rPr>
                            <w:rFonts w:hint="eastAsia"/>
                            <w:szCs w:val="21"/>
                          </w:rPr>
                        </w:pPr>
                        <w:r>
                          <w:rPr>
                            <w:rFonts w:hint="eastAsia"/>
                            <w:szCs w:val="21"/>
                          </w:rPr>
                          <w:t>尾矿废渣中含锌4.17</w:t>
                        </w:r>
                      </w:p>
                    </w:txbxContent>
                  </v:textbox>
                </v:shape>
                <v:shape id="Text Box 1435" o:spid="_x0000_s1026" o:spt="202" type="#_x0000_t202" style="position:absolute;left:7718;top:2978;height:468;width:1980;" fillcolor="#FFFFFF" filled="t" stroked="f" coordsize="21600,21600" o:gfxdata="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AYqeLsAAADc&#10;AAAADwAAAAAAAAABACAAAAAiAAAAZHJzL2Rvd25yZXYueG1sUEsBAhQAFAAAAAgAh07iQDMvBZ47&#10;AAAAOQAAABAAAAAAAAAAAQAgAAAACgEAAGRycy9zaGFwZXhtbC54bWxQSwUGAAAAAAYABgBbAQAA&#10;tAMAAAAA&#10;">
                  <v:fill on="t" focussize="0,0"/>
                  <v:stroke on="f" weight="1pt"/>
                  <v:imagedata o:title=""/>
                  <o:lock v:ext="edit" aspectratio="f"/>
                  <v:textbox inset="0mm,0mm,0mm,0mm">
                    <w:txbxContent>
                      <w:p>
                        <w:pPr>
                          <w:autoSpaceDE w:val="0"/>
                          <w:autoSpaceDN w:val="0"/>
                          <w:adjustRightInd w:val="0"/>
                          <w:rPr>
                            <w:rFonts w:hint="eastAsia" w:cs="宋体"/>
                            <w:bCs/>
                            <w:color w:val="000000"/>
                            <w:szCs w:val="21"/>
                          </w:rPr>
                        </w:pPr>
                        <w:r>
                          <w:rPr>
                            <w:rFonts w:hint="eastAsia" w:cs="宋体"/>
                            <w:bCs/>
                            <w:color w:val="000000"/>
                            <w:szCs w:val="21"/>
                          </w:rPr>
                          <w:t>废水中含锌0.13</w:t>
                        </w:r>
                      </w:p>
                    </w:txbxContent>
                  </v:textbox>
                </v:shape>
                <v:line id="Line 1436" o:spid="_x0000_s1026" o:spt="20" style="position:absolute;left:5918;top:4850;flip:y;height:1;width:853;" filled="f" stroked="t" coordsize="21600,21600" o:gfxdata="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0x6Nq5AAAA3AAA&#10;AA8AAAAAAAAAAQAgAAAAIgAAAGRycy9kb3ducmV2LnhtbFBLAQIUABQAAAAIAIdO4kAzLwWeOwAA&#10;ADkAAAAQAAAAAAAAAAEAIAAAAAgBAABkcnMvc2hhcGV4bWwueG1sUEsFBgAAAAAGAAYAWwEAALID&#10;AAAAAA==&#10;">
                  <v:fill on="f" focussize="0,0"/>
                  <v:stroke weight="1pt" color="#000000" joinstyle="round" endarrow="block"/>
                  <v:imagedata o:title=""/>
                  <o:lock v:ext="edit" aspectratio="f"/>
                </v:line>
                <v:shape id="Text Box 1437" o:spid="_x0000_s1026" o:spt="202" type="#_x0000_t202" style="position:absolute;left:1778;top:2510;height:342;width:2160;" fillcolor="#FFFFFF" filled="t" stroked="f" coordsize="21600,21600" o:gfxdata="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bVG5G/&#10;AAAA3AAAAA8AAAAAAAAAAQAgAAAAIgAAAGRycy9kb3ducmV2LnhtbFBLAQIUABQAAAAIAIdO4kAz&#10;LwWeOwAAADkAAAAQAAAAAAAAAAEAIAAAAA4BAABkcnMvc2hhcGV4bWwueG1sUEsFBgAAAAAGAAYA&#10;WwEAALgDAAAAAA==&#10;">
                  <v:fill on="t" focussize="0,0"/>
                  <v:stroke on="f" weight="1pt"/>
                  <v:imagedata o:title=""/>
                  <o:lock v:ext="edit" aspectratio="f"/>
                  <v:textbox inset="0mm,0mm,0mm,0mm">
                    <w:txbxContent>
                      <w:p>
                        <w:pPr>
                          <w:rPr>
                            <w:rFonts w:hint="eastAsia"/>
                            <w:szCs w:val="21"/>
                          </w:rPr>
                        </w:pPr>
                        <w:r>
                          <w:rPr>
                            <w:rFonts w:hint="eastAsia"/>
                            <w:szCs w:val="21"/>
                          </w:rPr>
                          <w:t>锌金属含量35.05</w:t>
                        </w:r>
                      </w:p>
                    </w:txbxContent>
                  </v:textbox>
                </v:shape>
                <v:shape id="Text Box 1440" o:spid="_x0000_s1026" o:spt="202" type="#_x0000_t202" style="position:absolute;left:6818;top:4694;height:468;width:2340;" fillcolor="#FFFFFF" filled="t" stroked="f" coordsize="21600,21600" o:gfxdata="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5mb4KvQAA&#10;ANwAAAAPAAAAAAAAAAEAIAAAACIAAABkcnMvZG93bnJldi54bWxQSwECFAAUAAAACACHTuJAMy8F&#10;njsAAAA5AAAAEAAAAAAAAAABACAAAAAMAQAAZHJzL3NoYXBleG1sLnhtbFBLBQYAAAAABgAGAFsB&#10;AAC2AwAAAAA=&#10;">
                  <v:fill on="t" focussize="0,0"/>
                  <v:stroke on="f" weight="1pt"/>
                  <v:imagedata o:title=""/>
                  <o:lock v:ext="edit" aspectratio="f"/>
                  <v:textbox inset="0mm,0mm,0mm,0mm">
                    <w:txbxContent>
                      <w:p>
                        <w:pPr>
                          <w:rPr>
                            <w:rFonts w:hint="eastAsia"/>
                            <w:szCs w:val="21"/>
                          </w:rPr>
                        </w:pPr>
                        <w:r>
                          <w:rPr>
                            <w:rFonts w:hint="eastAsia"/>
                            <w:szCs w:val="21"/>
                          </w:rPr>
                          <w:t>锌精矿中含锌30.61</w:t>
                        </w:r>
                      </w:p>
                    </w:txbxContent>
                  </v:textbox>
                </v:shape>
                <v:shape id="Text Box 1441" o:spid="_x0000_s1026" o:spt="202" type="#_x0000_t202" style="position:absolute;left:7538;top:1262;height:342;width:2340;" fillcolor="#FFFFFF" filled="t" stroked="f" coordsize="21600,21600" o:gfxdata="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eoFKvQAA&#10;ANwAAAAPAAAAAAAAAAEAIAAAACIAAABkcnMvZG93bnJldi54bWxQSwECFAAUAAAACACHTuJAMy8F&#10;njsAAAA5AAAAEAAAAAAAAAABACAAAAAMAQAAZHJzL3NoYXBleG1sLnhtbFBLBQYAAAAABgAGAFsB&#10;AAC2AwAAAAA=&#10;">
                  <v:fill on="t" focussize="0,0"/>
                  <v:stroke on="f" weight="1pt"/>
                  <v:imagedata o:title=""/>
                  <o:lock v:ext="edit" aspectratio="f"/>
                  <v:textbox inset="0mm,0mm,0mm,0mm">
                    <w:txbxContent>
                      <w:p>
                        <w:pPr>
                          <w:rPr>
                            <w:rFonts w:hint="eastAsia"/>
                            <w:szCs w:val="21"/>
                          </w:rPr>
                        </w:pPr>
                      </w:p>
                    </w:txbxContent>
                  </v:textbox>
                </v:shape>
                <v:line id="Line 1443" o:spid="_x0000_s1026" o:spt="20" style="position:absolute;left:6818;top:2198;flip:y;height:1;width:853;" filled="f" stroked="t" coordsize="21600,21600" o:gfxdata="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hNQ+i8AAAA&#10;3AAAAA8AAAAAAAAAAQAgAAAAIgAAAGRycy9kb3ducmV2LnhtbFBLAQIUABQAAAAIAIdO4kAzLwWe&#10;OwAAADkAAAAQAAAAAAAAAAEAIAAAAAsBAABkcnMvc2hhcGV4bWwueG1sUEsFBgAAAAAGAAYAWwEA&#10;ALUDAAAAAA==&#10;">
                  <v:fill on="f" focussize="0,0"/>
                  <v:stroke weight="1pt" color="#000000" joinstyle="round" endarrow="block"/>
                  <v:imagedata o:title=""/>
                  <o:lock v:ext="edit" aspectratio="f"/>
                </v:line>
                <v:line id="Line 1445" o:spid="_x0000_s1026" o:spt="20" style="position:absolute;left:6818;top:3290;flip:y;height:1;width:853;" filled="f" stroked="t" coordsize="21600,21600" o:gfxdata="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J/dn7sAAADc&#10;AAAADwAAAAAAAAABACAAAAAiAAAAZHJzL2Rvd25yZXYueG1sUEsBAhQAFAAAAAgAh07iQDMvBZ47&#10;AAAAOQAAABAAAAAAAAAAAQAgAAAACgEAAGRycy9zaGFwZXhtbC54bWxQSwUGAAAAAAYABgBbAQAA&#10;tAMAAAAA&#10;">
                  <v:fill on="f" focussize="0,0"/>
                  <v:stroke weight="1pt" color="#000000" joinstyle="round" endarrow="block"/>
                  <v:imagedata o:title=""/>
                  <o:lock v:ext="edit" aspectratio="f"/>
                </v:line>
                <v:shape id="Text Box 1846" o:spid="_x0000_s1026" o:spt="202" type="#_x0000_t202" style="position:absolute;left:4838;top:1582;height:2800;width:1971;" fillcolor="#FFFFFF" filled="t" stroked="t" coordsize="21600,21600" o:gfxdata="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6G9rvQAA&#10;ANwAAAAPAAAAAAAAAAEAIAAAACIAAABkcnMvZG93bnJldi54bWxQSwECFAAUAAAACACHTuJAMy8F&#10;njsAAAA5AAAAEAAAAAAAAAABACAAAAAMAQAAZHJzL3NoYXBleG1sLnhtbFBLBQYAAAAABgAGAFsB&#10;AAC2AwAAAAA=&#10;">
                  <v:fill on="t" focussize="0,0"/>
                  <v:stroke weight="1pt" color="#000000" joinstyle="miter"/>
                  <v:imagedata o:title=""/>
                  <o:lock v:ext="edit" aspectratio="f"/>
                  <v:textbox>
                    <w:txbxContent>
                      <w:p>
                        <w:pPr>
                          <w:jc w:val="center"/>
                          <w:rPr>
                            <w:rFonts w:hint="eastAsia"/>
                            <w:b/>
                            <w:bCs/>
                            <w:sz w:val="44"/>
                            <w:szCs w:val="44"/>
                          </w:rPr>
                        </w:pPr>
                      </w:p>
                      <w:p>
                        <w:pPr>
                          <w:jc w:val="center"/>
                          <w:rPr>
                            <w:rFonts w:hint="eastAsia"/>
                            <w:bCs/>
                            <w:sz w:val="44"/>
                            <w:szCs w:val="44"/>
                          </w:rPr>
                        </w:pPr>
                        <w:r>
                          <w:rPr>
                            <w:rFonts w:hint="eastAsia"/>
                            <w:bCs/>
                            <w:sz w:val="44"/>
                            <w:szCs w:val="44"/>
                          </w:rPr>
                          <w:t>锌</w:t>
                        </w:r>
                      </w:p>
                      <w:p>
                        <w:pPr>
                          <w:jc w:val="center"/>
                          <w:rPr>
                            <w:rFonts w:hint="eastAsia"/>
                            <w:bCs/>
                            <w:sz w:val="44"/>
                            <w:szCs w:val="44"/>
                          </w:rPr>
                        </w:pPr>
                        <w:r>
                          <w:rPr>
                            <w:rFonts w:hint="eastAsia"/>
                            <w:bCs/>
                            <w:sz w:val="44"/>
                            <w:szCs w:val="44"/>
                          </w:rPr>
                          <w:t>平</w:t>
                        </w:r>
                      </w:p>
                      <w:p>
                        <w:pPr>
                          <w:jc w:val="center"/>
                          <w:rPr>
                            <w:rFonts w:hint="eastAsia"/>
                            <w:bCs/>
                            <w:sz w:val="44"/>
                            <w:szCs w:val="44"/>
                          </w:rPr>
                        </w:pPr>
                        <w:r>
                          <w:rPr>
                            <w:rFonts w:hint="eastAsia"/>
                            <w:bCs/>
                            <w:sz w:val="44"/>
                            <w:szCs w:val="44"/>
                          </w:rPr>
                          <w:t>衡</w:t>
                        </w:r>
                      </w:p>
                      <w:p>
                        <w:pPr>
                          <w:rPr>
                            <w:rFonts w:hint="eastAsia"/>
                            <w:szCs w:val="32"/>
                          </w:rPr>
                        </w:pPr>
                      </w:p>
                    </w:txbxContent>
                  </v:textbox>
                </v:shape>
                <v:line id="直线 6869" o:spid="_x0000_s1026" o:spt="20" style="position:absolute;left:5918;top:4382;height:468;width:0;" filled="f" stroked="t" coordsize="21600,21600" o:gfxdata="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dbA5vQAA&#10;ANwAAAAPAAAAAAAAAAEAIAAAACIAAABkcnMvZG93bnJldi54bWxQSwECFAAUAAAACACHTuJAMy8F&#10;njsAAAA5AAAAEAAAAAAAAAABACAAAAAMAQAAZHJzL3NoYXBleG1sLnhtbFBLBQYAAAAABgAGAFsB&#10;AAC2AwAAAAA=&#10;">
                  <v:fill on="f" focussize="0,0"/>
                  <v:stroke color="#000000" joinstyle="round"/>
                  <v:imagedata o:title=""/>
                  <o:lock v:ext="edit" aspectratio="f"/>
                </v:line>
              </v:group>
            </w:pict>
          </mc:Fallback>
        </mc:AlternateContent>
      </w:r>
    </w:p>
    <w:p>
      <w:pPr>
        <w:spacing w:line="360" w:lineRule="auto"/>
        <w:rPr>
          <w:rFonts w:hint="eastAsia" w:ascii="宋体" w:hAnsi="宋体"/>
          <w:color w:val="000000"/>
          <w:szCs w:val="18"/>
        </w:rPr>
      </w:pPr>
    </w:p>
    <w:p>
      <w:pPr>
        <w:spacing w:line="460" w:lineRule="exact"/>
        <w:rPr>
          <w:rFonts w:hint="eastAsia" w:ascii="宋体" w:hAnsi="宋体"/>
          <w:b/>
          <w:color w:val="000000"/>
          <w:sz w:val="28"/>
        </w:rPr>
      </w:pPr>
    </w:p>
    <w:p>
      <w:pPr>
        <w:spacing w:line="460" w:lineRule="exact"/>
        <w:rPr>
          <w:rFonts w:hint="eastAsia" w:ascii="宋体" w:hAnsi="宋体"/>
          <w:b/>
          <w:color w:val="000000"/>
          <w:sz w:val="28"/>
        </w:rPr>
      </w:pPr>
      <w:r>
        <w:rPr>
          <w:rFonts w:hint="eastAsia" w:ascii="宋体" w:hAnsi="宋体"/>
          <w:b/>
          <w:color w:val="000000"/>
          <w:sz w:val="28"/>
        </w:rPr>
        <w:t xml:space="preserve"> </w:t>
      </w: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spacing w:line="240" w:lineRule="exact"/>
        <w:rPr>
          <w:rFonts w:hint="eastAsia" w:ascii="宋体" w:hAnsi="宋体"/>
          <w:b/>
          <w:color w:val="000000"/>
          <w:sz w:val="28"/>
        </w:rPr>
      </w:pPr>
    </w:p>
    <w:p>
      <w:pPr>
        <w:tabs>
          <w:tab w:val="left" w:pos="5955"/>
        </w:tabs>
        <w:spacing w:line="360" w:lineRule="auto"/>
        <w:jc w:val="center"/>
        <w:rPr>
          <w:rFonts w:hint="eastAsia"/>
          <w:b/>
          <w:color w:val="000000"/>
          <w:sz w:val="24"/>
          <w:szCs w:val="24"/>
        </w:rPr>
      </w:pPr>
      <w:r>
        <w:rPr>
          <w:rFonts w:hint="eastAsia"/>
          <w:b/>
          <w:color w:val="000000"/>
          <w:sz w:val="24"/>
          <w:szCs w:val="24"/>
        </w:rPr>
        <w:t>图 3-7关心元素平衡—锌平衡图 （单位</w:t>
      </w:r>
      <w:r>
        <w:rPr>
          <w:rFonts w:hint="eastAsia"/>
          <w:color w:val="000000"/>
          <w:sz w:val="24"/>
          <w:szCs w:val="24"/>
        </w:rPr>
        <w:t>t/d</w:t>
      </w:r>
      <w:r>
        <w:rPr>
          <w:rFonts w:hint="eastAsia"/>
          <w:b/>
          <w:color w:val="000000"/>
          <w:sz w:val="24"/>
          <w:szCs w:val="24"/>
        </w:rPr>
        <w:t>）</w:t>
      </w:r>
    </w:p>
    <w:p>
      <w:pPr>
        <w:tabs>
          <w:tab w:val="left" w:pos="5955"/>
        </w:tabs>
        <w:spacing w:line="360" w:lineRule="auto"/>
        <w:jc w:val="center"/>
        <w:rPr>
          <w:rFonts w:hint="eastAsia"/>
          <w:b/>
          <w:color w:val="000000"/>
          <w:sz w:val="24"/>
          <w:szCs w:val="24"/>
        </w:rPr>
      </w:pPr>
    </w:p>
    <w:p>
      <w:pPr>
        <w:spacing w:line="360" w:lineRule="auto"/>
        <w:ind w:firstLine="480" w:firstLineChars="200"/>
        <w:rPr>
          <w:rFonts w:hint="eastAsia" w:ascii="宋体" w:hAnsi="宋体" w:cs="宋体"/>
          <w:color w:val="000000"/>
          <w:sz w:val="24"/>
          <w:szCs w:val="28"/>
          <w:lang w:val="zh-CN"/>
        </w:rPr>
      </w:pPr>
      <w:r>
        <w:rPr>
          <w:rFonts w:hint="eastAsia" w:ascii="宋体" w:hAnsi="宋体" w:cs="宋体"/>
          <w:color w:val="000000"/>
          <w:sz w:val="24"/>
          <w:szCs w:val="28"/>
          <w:lang w:val="zh-CN"/>
        </w:rPr>
        <w:t>从锌平衡图可知，锌金属回收率为87.33%，在国内处于一般水平。金属回收率跟原矿品位和杂质有关。公司应当加大对进厂原矿品位和质量的控制，以保证稳定的金属回收率。</w:t>
      </w:r>
    </w:p>
    <w:p>
      <w:pPr>
        <w:pStyle w:val="4"/>
        <w:rPr>
          <w:rFonts w:hint="eastAsia"/>
          <w:color w:val="000000"/>
        </w:rPr>
      </w:pPr>
      <w:bookmarkStart w:id="385" w:name="_Toc22244971"/>
      <w:bookmarkStart w:id="386" w:name="_Toc23000904"/>
      <w:bookmarkStart w:id="387" w:name="_Toc474018727"/>
      <w:bookmarkStart w:id="388" w:name="_Toc470870221"/>
      <w:r>
        <w:rPr>
          <w:rFonts w:hint="eastAsia"/>
          <w:color w:val="000000"/>
        </w:rPr>
        <w:t>3.3物料平衡分析</w:t>
      </w:r>
      <w:bookmarkEnd w:id="385"/>
      <w:bookmarkEnd w:id="386"/>
      <w:bookmarkEnd w:id="387"/>
      <w:bookmarkEnd w:id="388"/>
    </w:p>
    <w:p>
      <w:pPr>
        <w:spacing w:line="360" w:lineRule="auto"/>
        <w:ind w:firstLine="480" w:firstLineChars="200"/>
        <w:rPr>
          <w:rFonts w:hint="eastAsia" w:ascii="宋体" w:hAnsi="宋体" w:cs="宋体"/>
          <w:color w:val="000000"/>
          <w:sz w:val="24"/>
          <w:szCs w:val="28"/>
          <w:lang w:val="zh-CN"/>
        </w:rPr>
      </w:pPr>
      <w:bookmarkStart w:id="389" w:name="_Toc296091937"/>
      <w:bookmarkStart w:id="390" w:name="_Toc295832031"/>
      <w:bookmarkStart w:id="391" w:name="_Toc14698"/>
      <w:bookmarkStart w:id="392" w:name="_Toc453617011"/>
      <w:bookmarkStart w:id="393" w:name="_Toc415316060"/>
      <w:r>
        <w:rPr>
          <w:rFonts w:hint="eastAsia" w:ascii="宋体" w:hAnsi="宋体" w:cs="宋体"/>
          <w:color w:val="000000"/>
          <w:sz w:val="24"/>
          <w:szCs w:val="28"/>
          <w:lang w:val="zh-CN"/>
        </w:rPr>
        <w:t>通过物料平衡分析得知：公司浮选车间物料进出较为合理，主要的损失为生产过程中的尾矿含水计算误差所致。从金属平衡计算得知，铅金属回收率为87.71%，锌金属回收率为87.33%，在国内处于一个较好水平。《铅锌行业清洁生产评价指标体系》中规定，对浮选过程中产生的尾矿渣要有固定的尾矿库进行堆存或是对尾矿渣进行综合利用，公司尾矿渣通过过滤机过滤后,水份偏干，直接运输到鸡西尾矿库堆场进行堆存，尾矿库按标准要求建设，对周边的环境不会造成太大的影响。浮选过后的尾水进入到重选工段，最后的尾矿水经过沉淀后上清液返回到重选工段循环使用，由于尾水中含有药剂，不适合返回到浮选工段重复使用，造成浮选工段吨原矿的新鲜水用量较大，公司应加强对生产过程中的监督，避免出现跑冒滴漏及泄漏出现。通过电分配图可看出，球磨机耗电量较大，由于车间原矿破碎粒度较大，增加了球磨时间，增加了生产电耗。目前,公司锌元素回收率仍偏低，虽和原矿的品位有关，但仍需要改进工艺布局，使流程更加合理化，提升锌金属的回收水平。</w:t>
      </w:r>
    </w:p>
    <w:p>
      <w:pPr>
        <w:pStyle w:val="4"/>
        <w:rPr>
          <w:rFonts w:hint="eastAsia"/>
          <w:color w:val="000000"/>
        </w:rPr>
      </w:pPr>
      <w:bookmarkStart w:id="394" w:name="_Toc23000905"/>
      <w:r>
        <w:rPr>
          <w:rFonts w:hint="eastAsia"/>
          <w:color w:val="000000"/>
        </w:rPr>
        <w:t>3.4审核重点物料流失原因分析</w:t>
      </w:r>
      <w:bookmarkEnd w:id="389"/>
      <w:bookmarkEnd w:id="390"/>
      <w:bookmarkEnd w:id="391"/>
      <w:bookmarkEnd w:id="392"/>
      <w:bookmarkEnd w:id="393"/>
      <w:bookmarkEnd w:id="394"/>
    </w:p>
    <w:p>
      <w:pPr>
        <w:spacing w:before="240" w:beforeLines="100" w:line="360" w:lineRule="auto"/>
        <w:ind w:firstLine="480" w:firstLineChars="200"/>
        <w:rPr>
          <w:rFonts w:hint="eastAsia"/>
          <w:color w:val="000000"/>
        </w:rPr>
      </w:pPr>
      <w:bookmarkStart w:id="395" w:name="_Toc295832032"/>
      <w:bookmarkStart w:id="396" w:name="_Toc296091938"/>
      <w:r>
        <w:rPr>
          <w:rFonts w:hint="eastAsia" w:ascii="宋体" w:hAnsi="宋体" w:cs="宋体"/>
          <w:color w:val="000000"/>
          <w:sz w:val="24"/>
          <w:szCs w:val="28"/>
          <w:lang w:val="zh-CN"/>
        </w:rPr>
        <w:t>从上物料流失原因分析得知，物料平衡、水平衡、能源平衡都在正常的范围之内。通过实测数据分析，选矿 产生的废弃物主要为</w:t>
      </w:r>
      <w:r>
        <w:rPr>
          <w:rFonts w:hint="eastAsia" w:ascii="宋体" w:hAnsi="宋体"/>
          <w:color w:val="000000"/>
          <w:sz w:val="24"/>
        </w:rPr>
        <w:t>主要粉尘、选矿废水、尾矿渣等，</w:t>
      </w:r>
      <w:r>
        <w:rPr>
          <w:rFonts w:hint="eastAsia" w:ascii="宋体" w:cs="宋体"/>
          <w:color w:val="000000"/>
          <w:sz w:val="24"/>
          <w:szCs w:val="28"/>
          <w:lang w:val="zh-CN"/>
        </w:rPr>
        <w:t>产生部位和原因分析如下。</w:t>
      </w:r>
    </w:p>
    <w:p>
      <w:pPr>
        <w:spacing w:line="360" w:lineRule="auto"/>
        <w:ind w:firstLine="480" w:firstLineChars="200"/>
        <w:rPr>
          <w:rFonts w:ascii="宋体" w:hAnsi="宋体"/>
          <w:color w:val="000000"/>
          <w:sz w:val="24"/>
        </w:rPr>
      </w:pPr>
      <w:r>
        <w:rPr>
          <w:rFonts w:hint="eastAsia" w:ascii="宋体" w:hAnsi="宋体"/>
          <w:color w:val="000000"/>
          <w:sz w:val="24"/>
        </w:rPr>
        <w:t>（1）原辅资料和能源</w:t>
      </w:r>
    </w:p>
    <w:p>
      <w:pPr>
        <w:spacing w:line="360" w:lineRule="auto"/>
        <w:ind w:firstLine="480" w:firstLineChars="200"/>
        <w:rPr>
          <w:rFonts w:hint="eastAsia" w:ascii="宋体" w:hAnsi="宋体"/>
          <w:color w:val="000000"/>
          <w:sz w:val="24"/>
        </w:rPr>
      </w:pPr>
      <w:r>
        <w:rPr>
          <w:rFonts w:hint="eastAsia" w:ascii="宋体" w:hAnsi="宋体"/>
          <w:color w:val="000000"/>
          <w:sz w:val="24"/>
        </w:rPr>
        <w:t>●原矿中含石头或是低品位石头较多，增加原矿破碎和球磨，增加浮选电耗。</w:t>
      </w:r>
    </w:p>
    <w:p>
      <w:pPr>
        <w:spacing w:line="360" w:lineRule="auto"/>
        <w:ind w:firstLine="480" w:firstLineChars="200"/>
        <w:rPr>
          <w:rFonts w:hint="eastAsia" w:ascii="宋体" w:hAnsi="宋体"/>
          <w:color w:val="000000"/>
          <w:sz w:val="24"/>
        </w:rPr>
      </w:pPr>
      <w:r>
        <w:rPr>
          <w:rFonts w:hint="eastAsia" w:ascii="宋体" w:hAnsi="宋体"/>
          <w:color w:val="000000"/>
          <w:sz w:val="24"/>
        </w:rPr>
        <w:t>●原矿进堆场过程中，散落较多，堆场未进行搭棚遮盖，容易被雨水冲出外部环境。</w:t>
      </w:r>
    </w:p>
    <w:p>
      <w:pPr>
        <w:spacing w:line="360" w:lineRule="auto"/>
        <w:ind w:firstLine="480" w:firstLineChars="200"/>
        <w:rPr>
          <w:rFonts w:hint="eastAsia" w:ascii="宋体" w:hAnsi="宋体"/>
          <w:color w:val="000000"/>
          <w:sz w:val="24"/>
        </w:rPr>
      </w:pPr>
      <w:r>
        <w:rPr>
          <w:rFonts w:hint="eastAsia" w:ascii="宋体" w:hAnsi="宋体"/>
          <w:color w:val="000000"/>
          <w:sz w:val="24"/>
        </w:rPr>
        <w:t>●矿井堆场周边雨水沟未完善，需建立周边水沟防雨水、山间水进入矿井堆场。</w:t>
      </w:r>
    </w:p>
    <w:p>
      <w:pPr>
        <w:spacing w:line="360" w:lineRule="auto"/>
        <w:ind w:firstLine="480" w:firstLineChars="200"/>
        <w:rPr>
          <w:rFonts w:ascii="宋体" w:hAnsi="宋体"/>
          <w:color w:val="000000"/>
          <w:sz w:val="24"/>
        </w:rPr>
      </w:pPr>
      <w:r>
        <w:rPr>
          <w:rFonts w:hint="eastAsia" w:ascii="宋体" w:hAnsi="宋体"/>
          <w:color w:val="000000"/>
          <w:sz w:val="24"/>
        </w:rPr>
        <w:t>（2）工艺技术</w:t>
      </w:r>
    </w:p>
    <w:p>
      <w:pPr>
        <w:spacing w:line="360" w:lineRule="auto"/>
        <w:ind w:firstLine="480" w:firstLineChars="200"/>
        <w:rPr>
          <w:rFonts w:hint="eastAsia" w:ascii="宋体" w:hAnsi="宋体"/>
          <w:color w:val="000000"/>
          <w:sz w:val="24"/>
        </w:rPr>
      </w:pPr>
      <w:r>
        <w:rPr>
          <w:rFonts w:hint="eastAsia" w:ascii="宋体" w:hAnsi="宋体"/>
          <w:color w:val="000000"/>
          <w:sz w:val="24"/>
        </w:rPr>
        <w:t>●选厂选矿工艺布局不完善，容易造成雨污水混流；</w:t>
      </w:r>
    </w:p>
    <w:p>
      <w:pPr>
        <w:spacing w:line="360" w:lineRule="auto"/>
        <w:ind w:firstLine="480" w:firstLineChars="200"/>
        <w:rPr>
          <w:rFonts w:hint="eastAsia" w:ascii="宋体" w:hAnsi="宋体"/>
          <w:color w:val="000000"/>
          <w:sz w:val="24"/>
        </w:rPr>
      </w:pPr>
      <w:r>
        <w:rPr>
          <w:rFonts w:hint="eastAsia" w:ascii="宋体" w:hAnsi="宋体"/>
          <w:color w:val="000000"/>
          <w:sz w:val="24"/>
        </w:rPr>
        <w:t>●选矿工艺技术待提升，提升回收率，减少废渣含锌元素。</w:t>
      </w:r>
    </w:p>
    <w:p>
      <w:pPr>
        <w:spacing w:line="360" w:lineRule="auto"/>
        <w:ind w:firstLine="480" w:firstLineChars="200"/>
        <w:rPr>
          <w:rFonts w:ascii="宋体" w:hAnsi="宋体"/>
          <w:color w:val="000000"/>
          <w:sz w:val="24"/>
        </w:rPr>
      </w:pPr>
      <w:r>
        <w:rPr>
          <w:rFonts w:hint="eastAsia" w:ascii="宋体" w:hAnsi="宋体"/>
          <w:color w:val="000000"/>
          <w:sz w:val="24"/>
        </w:rPr>
        <w:t>（3）设备</w:t>
      </w:r>
    </w:p>
    <w:p>
      <w:pPr>
        <w:spacing w:line="360" w:lineRule="auto"/>
        <w:ind w:firstLine="480" w:firstLineChars="200"/>
        <w:rPr>
          <w:rFonts w:ascii="宋体" w:hAnsi="宋体"/>
          <w:color w:val="000000"/>
          <w:sz w:val="24"/>
        </w:rPr>
      </w:pPr>
      <w:r>
        <w:rPr>
          <w:rFonts w:hint="eastAsia" w:ascii="宋体" w:hAnsi="宋体"/>
          <w:color w:val="000000"/>
          <w:sz w:val="24"/>
        </w:rPr>
        <w:t>●公司供配电的无功补偿功率因素偏低，造成无功损耗较大；</w:t>
      </w:r>
    </w:p>
    <w:p>
      <w:pPr>
        <w:spacing w:line="360" w:lineRule="auto"/>
        <w:ind w:firstLine="480" w:firstLineChars="200"/>
        <w:rPr>
          <w:rFonts w:ascii="宋体" w:hAnsi="宋体"/>
          <w:color w:val="000000"/>
          <w:sz w:val="24"/>
        </w:rPr>
      </w:pPr>
      <w:r>
        <w:rPr>
          <w:rFonts w:hint="eastAsia" w:ascii="宋体" w:hAnsi="宋体"/>
          <w:color w:val="000000"/>
          <w:sz w:val="24"/>
        </w:rPr>
        <w:t>●由于缺乏有效的维护和保养，公司在使用的抽水设备有漏水现象存在；</w:t>
      </w:r>
    </w:p>
    <w:p>
      <w:pPr>
        <w:spacing w:line="360" w:lineRule="auto"/>
        <w:ind w:firstLine="480" w:firstLineChars="200"/>
        <w:rPr>
          <w:rFonts w:hint="eastAsia" w:ascii="宋体" w:hAnsi="宋体"/>
          <w:color w:val="000000"/>
          <w:sz w:val="24"/>
        </w:rPr>
      </w:pPr>
      <w:r>
        <w:rPr>
          <w:rFonts w:hint="eastAsia" w:ascii="宋体" w:hAnsi="宋体"/>
          <w:color w:val="000000"/>
          <w:sz w:val="24"/>
        </w:rPr>
        <w:t>（4）过程控制</w:t>
      </w:r>
    </w:p>
    <w:p>
      <w:pPr>
        <w:spacing w:line="360" w:lineRule="auto"/>
        <w:ind w:firstLine="480" w:firstLineChars="200"/>
        <w:rPr>
          <w:rFonts w:hint="eastAsia" w:ascii="宋体" w:hAnsi="宋体"/>
          <w:color w:val="000000"/>
          <w:sz w:val="24"/>
        </w:rPr>
      </w:pPr>
      <w:r>
        <w:rPr>
          <w:rFonts w:hint="eastAsia" w:ascii="宋体" w:hAnsi="宋体"/>
          <w:color w:val="000000"/>
          <w:sz w:val="24"/>
        </w:rPr>
        <w:t>●未完善雨污水分流，需建立完善的雨污水分流系统；</w:t>
      </w:r>
    </w:p>
    <w:p>
      <w:pPr>
        <w:spacing w:line="360" w:lineRule="auto"/>
        <w:ind w:firstLine="480" w:firstLineChars="200"/>
        <w:rPr>
          <w:rFonts w:hint="eastAsia" w:ascii="宋体" w:hAnsi="宋体"/>
          <w:color w:val="000000"/>
          <w:sz w:val="24"/>
        </w:rPr>
      </w:pPr>
      <w:r>
        <w:rPr>
          <w:rFonts w:hint="eastAsia" w:ascii="宋体" w:hAnsi="宋体"/>
          <w:color w:val="000000"/>
          <w:sz w:val="24"/>
        </w:rPr>
        <w:t>●雨水收集池不完善，需在各区域设雨水收集池，并综合利用；</w:t>
      </w:r>
    </w:p>
    <w:p>
      <w:pPr>
        <w:spacing w:line="360" w:lineRule="auto"/>
        <w:ind w:firstLine="480" w:firstLineChars="200"/>
        <w:rPr>
          <w:rFonts w:ascii="宋体" w:hAnsi="宋体"/>
          <w:color w:val="000000"/>
          <w:sz w:val="24"/>
        </w:rPr>
      </w:pPr>
      <w:r>
        <w:rPr>
          <w:rFonts w:hint="eastAsia" w:ascii="宋体" w:hAnsi="宋体"/>
          <w:color w:val="000000"/>
          <w:sz w:val="24"/>
        </w:rPr>
        <w:t>●事矿应急池不合规范，破损严重；</w:t>
      </w:r>
    </w:p>
    <w:p>
      <w:pPr>
        <w:spacing w:line="360" w:lineRule="auto"/>
        <w:ind w:firstLine="480" w:firstLineChars="200"/>
        <w:rPr>
          <w:rFonts w:ascii="宋体" w:hAnsi="宋体"/>
          <w:color w:val="000000"/>
          <w:sz w:val="24"/>
        </w:rPr>
      </w:pPr>
      <w:r>
        <w:rPr>
          <w:rFonts w:hint="eastAsia" w:ascii="宋体" w:hAnsi="宋体"/>
          <w:color w:val="000000"/>
          <w:sz w:val="24"/>
        </w:rPr>
        <w:t>（5）产品</w:t>
      </w:r>
    </w:p>
    <w:p>
      <w:pPr>
        <w:spacing w:line="360" w:lineRule="auto"/>
        <w:ind w:firstLine="480" w:firstLineChars="200"/>
        <w:rPr>
          <w:rFonts w:hint="eastAsia" w:ascii="宋体" w:hAnsi="宋体"/>
          <w:color w:val="000000"/>
          <w:sz w:val="24"/>
        </w:rPr>
      </w:pPr>
      <w:r>
        <w:rPr>
          <w:rFonts w:hint="eastAsia" w:ascii="宋体" w:hAnsi="宋体"/>
          <w:color w:val="000000"/>
          <w:sz w:val="24"/>
        </w:rPr>
        <w:t>●精矿仓没有采取阻隔措施，精矿容易被人和车辆人带出仓外；</w:t>
      </w:r>
    </w:p>
    <w:p>
      <w:pPr>
        <w:spacing w:line="360" w:lineRule="auto"/>
        <w:ind w:firstLine="480" w:firstLineChars="200"/>
        <w:rPr>
          <w:rFonts w:hint="eastAsia" w:ascii="宋体" w:hAnsi="宋体"/>
          <w:color w:val="000000"/>
          <w:sz w:val="24"/>
        </w:rPr>
      </w:pPr>
      <w:r>
        <w:rPr>
          <w:rFonts w:hint="eastAsia" w:ascii="宋体" w:hAnsi="宋体"/>
          <w:color w:val="000000"/>
          <w:sz w:val="24"/>
        </w:rPr>
        <w:t>●精矿仓地面出现破损，精矿容易随污水渗透入地下；</w:t>
      </w:r>
    </w:p>
    <w:p>
      <w:pPr>
        <w:spacing w:line="360" w:lineRule="auto"/>
        <w:ind w:firstLine="480" w:firstLineChars="200"/>
        <w:rPr>
          <w:rFonts w:ascii="宋体" w:hAnsi="宋体"/>
          <w:color w:val="000000"/>
          <w:sz w:val="24"/>
        </w:rPr>
      </w:pPr>
      <w:r>
        <w:rPr>
          <w:rFonts w:hint="eastAsia" w:ascii="宋体" w:hAnsi="宋体"/>
          <w:color w:val="000000"/>
          <w:sz w:val="24"/>
        </w:rPr>
        <w:t>●精矿库无汽车轮胎冲洗池，精矿随汽车带出外部环境；</w:t>
      </w:r>
    </w:p>
    <w:p>
      <w:pPr>
        <w:spacing w:line="360" w:lineRule="auto"/>
        <w:ind w:firstLine="480" w:firstLineChars="200"/>
        <w:rPr>
          <w:rFonts w:hint="eastAsia" w:ascii="宋体" w:hAnsi="宋体"/>
          <w:color w:val="000000"/>
          <w:sz w:val="24"/>
        </w:rPr>
      </w:pPr>
      <w:r>
        <w:rPr>
          <w:rFonts w:hint="eastAsia" w:ascii="宋体" w:hAnsi="宋体"/>
          <w:color w:val="000000"/>
          <w:sz w:val="24"/>
        </w:rPr>
        <w:t>（6）废物</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●选矿区精矿及污水设施不完善，容易造成重金属污染；</w:t>
      </w:r>
    </w:p>
    <w:p>
      <w:pPr>
        <w:spacing w:line="360" w:lineRule="auto"/>
        <w:ind w:firstLine="480" w:firstLineChars="200"/>
        <w:rPr>
          <w:rFonts w:ascii="宋体" w:hAnsi="宋体"/>
          <w:color w:val="000000"/>
          <w:sz w:val="24"/>
        </w:rPr>
      </w:pPr>
      <w:r>
        <w:rPr>
          <w:rFonts w:hint="eastAsia" w:ascii="宋体" w:hAnsi="宋体"/>
          <w:color w:val="000000"/>
          <w:sz w:val="24"/>
        </w:rPr>
        <w:t>●尾矿渣运输在厂区及周边公路需控制泼洒；</w:t>
      </w:r>
    </w:p>
    <w:p>
      <w:pPr>
        <w:spacing w:line="360" w:lineRule="auto"/>
        <w:ind w:firstLine="480" w:firstLineChars="200"/>
        <w:rPr>
          <w:rFonts w:ascii="宋体" w:hAnsi="宋体"/>
          <w:color w:val="000000"/>
          <w:sz w:val="24"/>
        </w:rPr>
      </w:pPr>
      <w:r>
        <w:rPr>
          <w:rFonts w:hint="eastAsia" w:ascii="宋体" w:hAnsi="宋体"/>
          <w:color w:val="000000"/>
          <w:sz w:val="24"/>
        </w:rPr>
        <w:t>（7）管理</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●公司还没有有效的清洁生产奖惩办法；</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●生产过程中废弃物资料记录不完整，缺乏对废弃物控制管理措施。</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●对环境管理制度没有进行充分的落实，缺乏执行力度，未建立完善环境管的清洁生产制度；</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（8）人员</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●工人对清洁生产不大了解，没有认识到开展清洁生产对公司带来的好处；</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●未将环境治理和安全生产联系到日常生产过程中；</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●员工提出清洁生产方案的积极性不高。</w:t>
      </w:r>
    </w:p>
    <w:bookmarkEnd w:id="395"/>
    <w:bookmarkEnd w:id="396"/>
    <w:p>
      <w:pPr>
        <w:pStyle w:val="4"/>
        <w:spacing w:before="240" w:beforeLines="100" w:after="120" w:afterLines="50" w:line="360" w:lineRule="auto"/>
        <w:jc w:val="left"/>
        <w:rPr>
          <w:rFonts w:hint="eastAsia" w:ascii="宋体" w:hAnsi="宋体"/>
          <w:color w:val="000000"/>
          <w:lang w:val="zh-CN"/>
        </w:rPr>
      </w:pPr>
      <w:bookmarkStart w:id="397" w:name="_Toc415316061"/>
      <w:bookmarkStart w:id="398" w:name="_Toc453617012"/>
      <w:bookmarkStart w:id="399" w:name="_Toc23000906"/>
      <w:bookmarkStart w:id="400" w:name="_Toc295832024"/>
      <w:bookmarkStart w:id="401" w:name="_Toc296091930"/>
      <w:bookmarkStart w:id="402" w:name="_Toc295832034"/>
      <w:bookmarkStart w:id="403" w:name="_Toc296091940"/>
      <w:r>
        <w:rPr>
          <w:rFonts w:hint="eastAsia" w:ascii="宋体" w:hAnsi="宋体"/>
          <w:color w:val="000000"/>
          <w:lang w:val="zh-CN"/>
        </w:rPr>
        <w:t>3.</w:t>
      </w:r>
      <w:r>
        <w:rPr>
          <w:rFonts w:hint="eastAsia" w:ascii="宋体" w:hAnsi="宋体"/>
          <w:color w:val="000000"/>
        </w:rPr>
        <w:t>5</w:t>
      </w:r>
      <w:r>
        <w:rPr>
          <w:rFonts w:hint="eastAsia" w:ascii="宋体" w:hAnsi="宋体"/>
          <w:color w:val="000000"/>
          <w:lang w:val="zh-CN"/>
        </w:rPr>
        <w:t>继续提出和实施无/低费方案</w:t>
      </w:r>
      <w:bookmarkEnd w:id="397"/>
      <w:bookmarkEnd w:id="398"/>
      <w:bookmarkEnd w:id="399"/>
    </w:p>
    <w:p>
      <w:pPr>
        <w:autoSpaceDE w:val="0"/>
        <w:autoSpaceDN w:val="0"/>
        <w:adjustRightInd w:val="0"/>
        <w:spacing w:line="360" w:lineRule="auto"/>
        <w:ind w:firstLine="480" w:firstLineChars="200"/>
        <w:rPr>
          <w:rFonts w:hint="eastAsia" w:ascii="宋体" w:hAnsi="宋体"/>
          <w:color w:val="000000"/>
          <w:sz w:val="24"/>
        </w:rPr>
      </w:pPr>
      <w:r>
        <w:rPr>
          <w:rFonts w:hint="eastAsia" w:ascii="宋体" w:hAnsi="宋体"/>
          <w:color w:val="000000"/>
          <w:sz w:val="24"/>
        </w:rPr>
        <w:t>对审核重点，我们从物料平衡、水平衡、能源平衡、金属平衡方面可以看出，公司生产产生的废水、废渣在可控的范围之内，建有完善的废水循环系统，建立尾矿库对尾矿渣进行堆存，并进行严格管理和监控。通过重点车间审核，分析各种废弃物的产生原因，给员工发放《清洁生产方案征集表》，提出了有针对性的清洁生产方案，详见表3－8。</w:t>
      </w:r>
    </w:p>
    <w:p>
      <w:pPr>
        <w:autoSpaceDE w:val="0"/>
        <w:autoSpaceDN w:val="0"/>
        <w:adjustRightInd w:val="0"/>
        <w:ind w:firstLine="482" w:firstLineChars="200"/>
        <w:jc w:val="center"/>
        <w:rPr>
          <w:rFonts w:hint="eastAsia" w:ascii="宋体" w:hAnsi="宋体"/>
          <w:b/>
          <w:color w:val="000000"/>
          <w:sz w:val="24"/>
        </w:rPr>
      </w:pPr>
      <w:r>
        <w:rPr>
          <w:rFonts w:hint="eastAsia" w:ascii="宋体" w:hAnsi="宋体"/>
          <w:b/>
          <w:color w:val="000000"/>
          <w:sz w:val="24"/>
        </w:rPr>
        <w:t>表3－8    审核重点清洁生产方案</w:t>
      </w:r>
    </w:p>
    <w:tbl>
      <w:tblPr>
        <w:tblStyle w:val="35"/>
        <w:tblW w:w="9555"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620"/>
        <w:gridCol w:w="5040"/>
        <w:gridCol w:w="900"/>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jc w:val="center"/>
              <w:rPr>
                <w:rFonts w:hint="eastAsia" w:ascii="宋体" w:hAnsi="宋体"/>
                <w:bCs/>
                <w:color w:val="000000"/>
                <w:szCs w:val="21"/>
              </w:rPr>
            </w:pPr>
            <w:r>
              <w:rPr>
                <w:rFonts w:hint="eastAsia" w:ascii="宋体" w:hAnsi="宋体"/>
                <w:bCs/>
                <w:color w:val="000000"/>
                <w:szCs w:val="21"/>
              </w:rPr>
              <w:t>序号</w:t>
            </w:r>
          </w:p>
        </w:tc>
        <w:tc>
          <w:tcPr>
            <w:tcW w:w="1620" w:type="dxa"/>
            <w:noWrap w:val="0"/>
            <w:vAlign w:val="center"/>
          </w:tcPr>
          <w:p>
            <w:pPr>
              <w:ind w:firstLine="560"/>
              <w:jc w:val="center"/>
              <w:rPr>
                <w:rFonts w:hint="eastAsia" w:ascii="宋体" w:hAnsi="宋体"/>
                <w:bCs/>
                <w:color w:val="000000"/>
                <w:szCs w:val="21"/>
              </w:rPr>
            </w:pPr>
            <w:r>
              <w:rPr>
                <w:rFonts w:hint="eastAsia" w:ascii="宋体" w:hAnsi="宋体"/>
                <w:bCs/>
                <w:color w:val="000000"/>
                <w:szCs w:val="21"/>
              </w:rPr>
              <w:t>方案名称</w:t>
            </w:r>
          </w:p>
        </w:tc>
        <w:tc>
          <w:tcPr>
            <w:tcW w:w="5040" w:type="dxa"/>
            <w:noWrap w:val="0"/>
            <w:vAlign w:val="center"/>
          </w:tcPr>
          <w:p>
            <w:pPr>
              <w:jc w:val="center"/>
              <w:rPr>
                <w:rFonts w:hint="eastAsia" w:ascii="宋体" w:hAnsi="宋体"/>
                <w:bCs/>
                <w:color w:val="000000"/>
                <w:szCs w:val="21"/>
              </w:rPr>
            </w:pPr>
            <w:r>
              <w:rPr>
                <w:rFonts w:hint="eastAsia" w:ascii="宋体" w:hAnsi="宋体"/>
                <w:bCs/>
                <w:color w:val="000000"/>
                <w:szCs w:val="21"/>
              </w:rPr>
              <w:t>方案类型</w:t>
            </w:r>
          </w:p>
        </w:tc>
        <w:tc>
          <w:tcPr>
            <w:tcW w:w="900" w:type="dxa"/>
            <w:noWrap w:val="0"/>
            <w:vAlign w:val="center"/>
          </w:tcPr>
          <w:p>
            <w:pPr>
              <w:jc w:val="center"/>
              <w:rPr>
                <w:rFonts w:hint="eastAsia" w:ascii="宋体" w:hAnsi="宋体"/>
                <w:bCs/>
                <w:color w:val="000000"/>
                <w:szCs w:val="21"/>
              </w:rPr>
            </w:pPr>
            <w:r>
              <w:rPr>
                <w:rFonts w:hint="eastAsia" w:ascii="宋体" w:hAnsi="宋体"/>
                <w:bCs/>
                <w:color w:val="000000"/>
                <w:szCs w:val="21"/>
              </w:rPr>
              <w:t>计划投入资金</w:t>
            </w:r>
          </w:p>
        </w:tc>
        <w:tc>
          <w:tcPr>
            <w:tcW w:w="1275" w:type="dxa"/>
            <w:noWrap w:val="0"/>
            <w:vAlign w:val="center"/>
          </w:tcPr>
          <w:p>
            <w:pPr>
              <w:jc w:val="center"/>
              <w:rPr>
                <w:color w:val="000000"/>
              </w:rPr>
            </w:pPr>
            <w:r>
              <w:rPr>
                <w:rFonts w:hint="eastAsia" w:ascii="宋体" w:hAnsi="宋体"/>
                <w:bCs/>
                <w:color w:val="000000"/>
                <w:szCs w:val="21"/>
              </w:rPr>
              <w:t>提出部门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1</w:t>
            </w:r>
          </w:p>
        </w:tc>
        <w:tc>
          <w:tcPr>
            <w:tcW w:w="1620" w:type="dxa"/>
            <w:noWrap w:val="0"/>
            <w:vAlign w:val="center"/>
          </w:tcPr>
          <w:p>
            <w:pPr>
              <w:jc w:val="center"/>
              <w:rPr>
                <w:rFonts w:ascii="宋体" w:hAnsi="宋体"/>
                <w:color w:val="000000"/>
                <w:szCs w:val="21"/>
              </w:rPr>
            </w:pPr>
            <w:r>
              <w:rPr>
                <w:rFonts w:hint="eastAsia" w:ascii="宋体" w:hAnsi="宋体"/>
                <w:color w:val="000000"/>
                <w:szCs w:val="21"/>
              </w:rPr>
              <w:t>井下照明采用节能灯</w:t>
            </w:r>
          </w:p>
        </w:tc>
        <w:tc>
          <w:tcPr>
            <w:tcW w:w="5040" w:type="dxa"/>
            <w:noWrap w:val="0"/>
            <w:vAlign w:val="center"/>
          </w:tcPr>
          <w:p>
            <w:pPr>
              <w:rPr>
                <w:rFonts w:hint="eastAsia" w:ascii="宋体" w:hAnsi="宋体"/>
                <w:color w:val="000000"/>
                <w:szCs w:val="21"/>
              </w:rPr>
            </w:pPr>
            <w:r>
              <w:rPr>
                <w:rFonts w:hint="eastAsia" w:ascii="宋体" w:hAnsi="宋体"/>
                <w:color w:val="000000"/>
                <w:szCs w:val="21"/>
              </w:rPr>
              <w:t>矿山井下由于井下环境，所有巷道、采场必须24小时照明，所采用照明灯泡为普通照明灯，不节能、耗电高，且发热导致输电线、灯头烧坏</w:t>
            </w:r>
          </w:p>
        </w:tc>
        <w:tc>
          <w:tcPr>
            <w:tcW w:w="900" w:type="dxa"/>
            <w:noWrap w:val="0"/>
            <w:vAlign w:val="top"/>
          </w:tcPr>
          <w:p>
            <w:pPr>
              <w:jc w:val="center"/>
              <w:rPr>
                <w:rFonts w:hint="eastAsia" w:ascii="宋体" w:hAnsi="宋体"/>
                <w:color w:val="000000"/>
                <w:szCs w:val="21"/>
              </w:rPr>
            </w:pPr>
            <w:r>
              <w:rPr>
                <w:rFonts w:hint="eastAsia" w:ascii="宋体" w:hAnsi="宋体"/>
                <w:color w:val="000000"/>
                <w:szCs w:val="21"/>
              </w:rPr>
              <w:t>0.5</w:t>
            </w:r>
          </w:p>
        </w:tc>
        <w:tc>
          <w:tcPr>
            <w:tcW w:w="1275" w:type="dxa"/>
            <w:noWrap w:val="0"/>
            <w:vAlign w:val="top"/>
          </w:tcPr>
          <w:p>
            <w:pPr>
              <w:jc w:val="center"/>
              <w:rPr>
                <w:rFonts w:hint="eastAsia" w:ascii="宋体" w:hAnsi="宋体"/>
                <w:color w:val="000000"/>
                <w:szCs w:val="21"/>
              </w:rPr>
            </w:pPr>
            <w:r>
              <w:rPr>
                <w:rFonts w:hint="eastAsia" w:ascii="宋体" w:hAnsi="宋体"/>
                <w:color w:val="000000"/>
                <w:szCs w:val="21"/>
              </w:rPr>
              <w:t>采矿厂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2</w:t>
            </w:r>
          </w:p>
        </w:tc>
        <w:tc>
          <w:tcPr>
            <w:tcW w:w="1620" w:type="dxa"/>
            <w:noWrap w:val="0"/>
            <w:vAlign w:val="center"/>
          </w:tcPr>
          <w:p>
            <w:pPr>
              <w:jc w:val="center"/>
              <w:rPr>
                <w:rFonts w:ascii="宋体" w:hAnsi="宋体"/>
                <w:color w:val="000000"/>
                <w:szCs w:val="21"/>
              </w:rPr>
            </w:pPr>
            <w:r>
              <w:rPr>
                <w:rFonts w:hint="eastAsia" w:ascii="宋体" w:hAnsi="宋体"/>
                <w:color w:val="000000"/>
                <w:szCs w:val="21"/>
              </w:rPr>
              <w:t>原矿采用塑料布覆盖</w:t>
            </w:r>
          </w:p>
        </w:tc>
        <w:tc>
          <w:tcPr>
            <w:tcW w:w="5040" w:type="dxa"/>
            <w:noWrap w:val="0"/>
            <w:vAlign w:val="center"/>
          </w:tcPr>
          <w:p>
            <w:pPr>
              <w:rPr>
                <w:rFonts w:hint="eastAsia" w:ascii="宋体" w:hAnsi="宋体"/>
                <w:color w:val="000000"/>
                <w:szCs w:val="21"/>
              </w:rPr>
            </w:pPr>
            <w:r>
              <w:rPr>
                <w:rFonts w:hint="eastAsia" w:ascii="宋体" w:hAnsi="宋体"/>
                <w:color w:val="000000"/>
                <w:szCs w:val="21"/>
              </w:rPr>
              <w:t>矿山开采原矿因选矿处理能力不能对提升出井原矿全部处理，至部分原矿需露天堆放，雨水冲洗导致重金属污染</w:t>
            </w:r>
          </w:p>
        </w:tc>
        <w:tc>
          <w:tcPr>
            <w:tcW w:w="900" w:type="dxa"/>
            <w:noWrap w:val="0"/>
            <w:vAlign w:val="top"/>
          </w:tcPr>
          <w:p>
            <w:pPr>
              <w:jc w:val="center"/>
              <w:rPr>
                <w:rFonts w:hint="eastAsia" w:ascii="宋体" w:hAnsi="宋体"/>
                <w:color w:val="000000"/>
                <w:szCs w:val="21"/>
              </w:rPr>
            </w:pPr>
            <w:r>
              <w:rPr>
                <w:rFonts w:hint="eastAsia" w:ascii="宋体" w:hAnsi="宋体"/>
                <w:color w:val="000000"/>
                <w:szCs w:val="21"/>
              </w:rPr>
              <w:t>0.48</w:t>
            </w:r>
          </w:p>
        </w:tc>
        <w:tc>
          <w:tcPr>
            <w:tcW w:w="1275" w:type="dxa"/>
            <w:noWrap w:val="0"/>
            <w:vAlign w:val="top"/>
          </w:tcPr>
          <w:p>
            <w:pPr>
              <w:jc w:val="center"/>
              <w:rPr>
                <w:rFonts w:hint="eastAsia" w:ascii="宋体" w:hAnsi="宋体"/>
                <w:color w:val="000000"/>
                <w:szCs w:val="21"/>
              </w:rPr>
            </w:pPr>
            <w:r>
              <w:rPr>
                <w:rFonts w:hint="eastAsia" w:ascii="宋体" w:hAnsi="宋体"/>
                <w:color w:val="000000"/>
                <w:szCs w:val="21"/>
              </w:rPr>
              <w:t>采矿厂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3</w:t>
            </w:r>
          </w:p>
        </w:tc>
        <w:tc>
          <w:tcPr>
            <w:tcW w:w="1620" w:type="dxa"/>
            <w:noWrap w:val="0"/>
            <w:vAlign w:val="center"/>
          </w:tcPr>
          <w:p>
            <w:pPr>
              <w:jc w:val="center"/>
              <w:rPr>
                <w:rFonts w:ascii="宋体" w:hAnsi="宋体"/>
                <w:color w:val="000000"/>
                <w:szCs w:val="21"/>
              </w:rPr>
            </w:pPr>
            <w:r>
              <w:rPr>
                <w:rFonts w:hint="eastAsia" w:ascii="宋体" w:hAnsi="宋体"/>
                <w:color w:val="000000"/>
                <w:szCs w:val="21"/>
              </w:rPr>
              <w:t>定期对井下地下水采样跟踪</w:t>
            </w:r>
          </w:p>
        </w:tc>
        <w:tc>
          <w:tcPr>
            <w:tcW w:w="5040" w:type="dxa"/>
            <w:noWrap w:val="0"/>
            <w:vAlign w:val="center"/>
          </w:tcPr>
          <w:p>
            <w:pPr>
              <w:rPr>
                <w:rFonts w:hint="eastAsia" w:ascii="宋体" w:hAnsi="宋体"/>
                <w:color w:val="000000"/>
                <w:szCs w:val="21"/>
              </w:rPr>
            </w:pPr>
            <w:r>
              <w:rPr>
                <w:rFonts w:hint="eastAsia" w:ascii="宋体" w:hAnsi="宋体"/>
                <w:color w:val="000000"/>
                <w:szCs w:val="21"/>
              </w:rPr>
              <w:t>井下因受地质构造影响，出现大量地下水需向块泽河排放，若不对外排水进行有害因素监测，造成环境污染。定期取样送第三方有资质单位对水质进行化验，防止造成重金属环境污染。</w:t>
            </w:r>
          </w:p>
        </w:tc>
        <w:tc>
          <w:tcPr>
            <w:tcW w:w="900" w:type="dxa"/>
            <w:noWrap w:val="0"/>
            <w:vAlign w:val="top"/>
          </w:tcPr>
          <w:p>
            <w:pPr>
              <w:jc w:val="center"/>
              <w:rPr>
                <w:rFonts w:ascii="宋体" w:hAnsi="宋体"/>
                <w:color w:val="000000"/>
                <w:szCs w:val="21"/>
              </w:rPr>
            </w:pPr>
          </w:p>
        </w:tc>
        <w:tc>
          <w:tcPr>
            <w:tcW w:w="1275" w:type="dxa"/>
            <w:noWrap w:val="0"/>
            <w:vAlign w:val="top"/>
          </w:tcPr>
          <w:p>
            <w:pPr>
              <w:jc w:val="center"/>
              <w:rPr>
                <w:rFonts w:hint="eastAsia" w:ascii="宋体" w:hAnsi="宋体"/>
                <w:color w:val="000000"/>
                <w:szCs w:val="21"/>
              </w:rPr>
            </w:pPr>
            <w:r>
              <w:rPr>
                <w:rFonts w:hint="eastAsia" w:ascii="宋体" w:hAnsi="宋体"/>
                <w:color w:val="000000"/>
                <w:szCs w:val="21"/>
              </w:rPr>
              <w:t>采矿厂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spacing w:line="320" w:lineRule="exact"/>
              <w:jc w:val="center"/>
              <w:rPr>
                <w:rFonts w:ascii="宋体" w:hAnsi="宋体"/>
                <w:color w:val="000000"/>
                <w:szCs w:val="21"/>
              </w:rPr>
            </w:pPr>
            <w:r>
              <w:rPr>
                <w:rFonts w:hint="eastAsia" w:ascii="宋体" w:hAnsi="宋体"/>
                <w:color w:val="000000"/>
                <w:szCs w:val="21"/>
              </w:rPr>
              <w:t>4</w:t>
            </w:r>
          </w:p>
        </w:tc>
        <w:tc>
          <w:tcPr>
            <w:tcW w:w="1620" w:type="dxa"/>
            <w:noWrap w:val="0"/>
            <w:vAlign w:val="top"/>
          </w:tcPr>
          <w:p>
            <w:pPr>
              <w:jc w:val="center"/>
              <w:rPr>
                <w:rFonts w:hint="eastAsia" w:ascii="宋体" w:hAnsi="宋体"/>
                <w:color w:val="000000"/>
                <w:szCs w:val="21"/>
              </w:rPr>
            </w:pPr>
            <w:r>
              <w:rPr>
                <w:rFonts w:hint="eastAsia" w:ascii="宋体" w:hAnsi="宋体"/>
                <w:color w:val="000000"/>
                <w:szCs w:val="21"/>
              </w:rPr>
              <w:t>选矿车间房顶落水管道改造</w:t>
            </w:r>
          </w:p>
        </w:tc>
        <w:tc>
          <w:tcPr>
            <w:tcW w:w="5040" w:type="dxa"/>
            <w:noWrap w:val="0"/>
            <w:vAlign w:val="top"/>
          </w:tcPr>
          <w:p>
            <w:pPr>
              <w:rPr>
                <w:rFonts w:hint="eastAsia" w:ascii="宋体" w:hAnsi="宋体"/>
                <w:color w:val="000000"/>
                <w:szCs w:val="21"/>
              </w:rPr>
            </w:pPr>
            <w:r>
              <w:rPr>
                <w:rFonts w:hint="eastAsia" w:ascii="宋体" w:hAnsi="宋体"/>
                <w:color w:val="000000"/>
                <w:szCs w:val="21"/>
              </w:rPr>
              <w:t>选矿车间房顶下水管道年久失修，需更换接入排水沟，形成雨污分流。</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1.5</w:t>
            </w:r>
          </w:p>
        </w:tc>
        <w:tc>
          <w:tcPr>
            <w:tcW w:w="1275" w:type="dxa"/>
            <w:noWrap w:val="0"/>
            <w:vAlign w:val="center"/>
          </w:tcPr>
          <w:p>
            <w:pPr>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5</w:t>
            </w:r>
          </w:p>
        </w:tc>
        <w:tc>
          <w:tcPr>
            <w:tcW w:w="1620" w:type="dxa"/>
            <w:noWrap w:val="0"/>
            <w:vAlign w:val="top"/>
          </w:tcPr>
          <w:p>
            <w:pPr>
              <w:autoSpaceDE w:val="0"/>
              <w:autoSpaceDN w:val="0"/>
              <w:adjustRightInd w:val="0"/>
              <w:jc w:val="center"/>
              <w:rPr>
                <w:rFonts w:hint="eastAsia" w:ascii="宋体" w:hAnsi="宋体" w:cs="宋体"/>
                <w:color w:val="000000"/>
                <w:kern w:val="0"/>
                <w:szCs w:val="21"/>
              </w:rPr>
            </w:pPr>
            <w:r>
              <w:rPr>
                <w:rFonts w:hint="eastAsia" w:ascii="宋体" w:hAnsi="宋体" w:cs="宋体"/>
                <w:color w:val="000000"/>
                <w:kern w:val="0"/>
                <w:szCs w:val="21"/>
              </w:rPr>
              <w:t>磨浮工段底部增设沉淀池</w:t>
            </w:r>
          </w:p>
        </w:tc>
        <w:tc>
          <w:tcPr>
            <w:tcW w:w="5040" w:type="dxa"/>
            <w:noWrap w:val="0"/>
            <w:vAlign w:val="top"/>
          </w:tcPr>
          <w:p>
            <w:pPr>
              <w:autoSpaceDE w:val="0"/>
              <w:autoSpaceDN w:val="0"/>
              <w:adjustRightInd w:val="0"/>
              <w:rPr>
                <w:rFonts w:hint="eastAsia" w:ascii="宋体" w:hAnsi="宋体" w:cs="宋体"/>
                <w:color w:val="000000"/>
                <w:kern w:val="0"/>
                <w:szCs w:val="21"/>
              </w:rPr>
            </w:pPr>
            <w:r>
              <w:rPr>
                <w:rFonts w:hint="eastAsia" w:ascii="宋体" w:hAnsi="宋体" w:cs="宋体"/>
                <w:color w:val="000000"/>
                <w:kern w:val="0"/>
                <w:szCs w:val="21"/>
              </w:rPr>
              <w:t>增设铅、锌两个沉淀池，检修及故障处理期间冲洗槽壁设施用水量大，回收利用</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0.45</w:t>
            </w:r>
          </w:p>
        </w:tc>
        <w:tc>
          <w:tcPr>
            <w:tcW w:w="1275" w:type="dxa"/>
            <w:noWrap w:val="0"/>
            <w:vAlign w:val="top"/>
          </w:tcPr>
          <w:p>
            <w:pPr>
              <w:jc w:val="center"/>
              <w:rPr>
                <w:color w:val="000000"/>
              </w:rPr>
            </w:pPr>
            <w:r>
              <w:rPr>
                <w:rFonts w:hint="eastAsia" w:ascii="宋体" w:hAnsi="宋体"/>
                <w:color w:val="000000"/>
                <w:szCs w:val="21"/>
              </w:rPr>
              <w:t>选矿车间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spacing w:line="320" w:lineRule="exact"/>
              <w:jc w:val="center"/>
              <w:rPr>
                <w:rFonts w:hint="eastAsia" w:ascii="宋体" w:hAnsi="宋体"/>
                <w:color w:val="000000"/>
                <w:szCs w:val="21"/>
              </w:rPr>
            </w:pPr>
            <w:r>
              <w:rPr>
                <w:rFonts w:hint="eastAsia" w:ascii="宋体" w:hAnsi="宋体"/>
                <w:color w:val="000000"/>
                <w:kern w:val="0"/>
                <w:szCs w:val="21"/>
              </w:rPr>
              <w:t>6</w:t>
            </w:r>
          </w:p>
        </w:tc>
        <w:tc>
          <w:tcPr>
            <w:tcW w:w="1620" w:type="dxa"/>
            <w:noWrap w:val="0"/>
            <w:vAlign w:val="top"/>
          </w:tcPr>
          <w:p>
            <w:pPr>
              <w:jc w:val="center"/>
              <w:rPr>
                <w:rFonts w:hint="eastAsia" w:ascii="宋体" w:hAnsi="宋体"/>
                <w:color w:val="000000"/>
                <w:szCs w:val="21"/>
              </w:rPr>
            </w:pPr>
            <w:r>
              <w:rPr>
                <w:rFonts w:hint="eastAsia" w:ascii="宋体" w:hAnsi="宋体"/>
                <w:color w:val="000000"/>
                <w:szCs w:val="21"/>
              </w:rPr>
              <w:t>精矿堆场增设洗车器</w:t>
            </w:r>
          </w:p>
        </w:tc>
        <w:tc>
          <w:tcPr>
            <w:tcW w:w="5040" w:type="dxa"/>
            <w:noWrap w:val="0"/>
            <w:vAlign w:val="top"/>
          </w:tcPr>
          <w:p>
            <w:pPr>
              <w:rPr>
                <w:rFonts w:hint="eastAsia" w:ascii="宋体" w:hAnsi="宋体"/>
                <w:color w:val="000000"/>
                <w:szCs w:val="21"/>
              </w:rPr>
            </w:pPr>
            <w:r>
              <w:rPr>
                <w:rFonts w:hint="eastAsia" w:ascii="宋体" w:hAnsi="宋体"/>
                <w:color w:val="000000"/>
                <w:szCs w:val="21"/>
              </w:rPr>
              <w:t>运输及装运车辆出入精矿堆场，必须冲洗车厢和轮胎，避免精矿随轮胎带出精矿区域</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1.2</w:t>
            </w:r>
          </w:p>
        </w:tc>
        <w:tc>
          <w:tcPr>
            <w:tcW w:w="1275" w:type="dxa"/>
            <w:noWrap w:val="0"/>
            <w:vAlign w:val="top"/>
          </w:tcPr>
          <w:p>
            <w:pPr>
              <w:jc w:val="center"/>
              <w:rPr>
                <w:color w:val="000000"/>
              </w:rPr>
            </w:pPr>
            <w:r>
              <w:rPr>
                <w:rFonts w:hint="eastAsia" w:ascii="宋体" w:hAnsi="宋体"/>
                <w:color w:val="000000"/>
                <w:szCs w:val="21"/>
              </w:rPr>
              <w:t>选矿车间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spacing w:line="320" w:lineRule="exact"/>
              <w:jc w:val="center"/>
              <w:rPr>
                <w:rFonts w:hint="eastAsia" w:ascii="宋体" w:hAnsi="宋体"/>
                <w:color w:val="000000"/>
                <w:szCs w:val="21"/>
              </w:rPr>
            </w:pPr>
            <w:r>
              <w:rPr>
                <w:rFonts w:hint="eastAsia" w:ascii="宋体" w:hAnsi="宋体"/>
                <w:color w:val="000000"/>
                <w:kern w:val="0"/>
                <w:szCs w:val="21"/>
              </w:rPr>
              <w:t>7</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质检科增设废液收集池</w:t>
            </w:r>
          </w:p>
        </w:tc>
        <w:tc>
          <w:tcPr>
            <w:tcW w:w="5040" w:type="dxa"/>
            <w:noWrap w:val="0"/>
            <w:vAlign w:val="center"/>
          </w:tcPr>
          <w:p>
            <w:pPr>
              <w:rPr>
                <w:rFonts w:hint="eastAsia" w:ascii="宋体" w:hAnsi="宋体"/>
                <w:color w:val="000000"/>
                <w:szCs w:val="21"/>
              </w:rPr>
            </w:pPr>
            <w:r>
              <w:rPr>
                <w:rFonts w:hint="eastAsia" w:ascii="宋体" w:hAnsi="宋体"/>
                <w:color w:val="000000"/>
                <w:szCs w:val="21"/>
              </w:rPr>
              <w:t>增设铅、锌废液收集池两个，收集清洗化验容器废水。</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275" w:type="dxa"/>
            <w:noWrap w:val="0"/>
            <w:vAlign w:val="top"/>
          </w:tcPr>
          <w:p>
            <w:pPr>
              <w:jc w:val="center"/>
              <w:rPr>
                <w:color w:val="000000"/>
              </w:rPr>
            </w:pPr>
            <w:r>
              <w:rPr>
                <w:rFonts w:hint="eastAsia" w:ascii="宋体" w:hAnsi="宋体"/>
                <w:color w:val="000000"/>
                <w:szCs w:val="21"/>
              </w:rPr>
              <w:t>选矿车间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widowControl/>
              <w:spacing w:line="320" w:lineRule="exact"/>
              <w:jc w:val="center"/>
              <w:rPr>
                <w:rFonts w:ascii="宋体" w:hAnsi="宋体"/>
                <w:color w:val="000000"/>
                <w:kern w:val="0"/>
                <w:szCs w:val="21"/>
              </w:rPr>
            </w:pPr>
            <w:r>
              <w:rPr>
                <w:rFonts w:hint="eastAsia" w:ascii="宋体" w:hAnsi="宋体"/>
                <w:color w:val="000000"/>
                <w:kern w:val="0"/>
                <w:szCs w:val="21"/>
              </w:rPr>
              <w:t>8</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采矿井口完善井下涌水沉淀池</w:t>
            </w:r>
          </w:p>
        </w:tc>
        <w:tc>
          <w:tcPr>
            <w:tcW w:w="5040" w:type="dxa"/>
            <w:noWrap w:val="0"/>
            <w:vAlign w:val="center"/>
          </w:tcPr>
          <w:p>
            <w:pPr>
              <w:rPr>
                <w:rFonts w:hint="eastAsia" w:ascii="宋体" w:hAnsi="宋体"/>
                <w:color w:val="000000"/>
                <w:szCs w:val="21"/>
              </w:rPr>
            </w:pPr>
            <w:r>
              <w:rPr>
                <w:rFonts w:hint="eastAsia" w:ascii="宋体" w:hAnsi="宋体"/>
                <w:color w:val="000000"/>
                <w:szCs w:val="21"/>
              </w:rPr>
              <w:t>将井下涌水进行收集沉淀后再经渠道排入坝下小河</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3.7</w:t>
            </w:r>
          </w:p>
        </w:tc>
        <w:tc>
          <w:tcPr>
            <w:tcW w:w="1275" w:type="dxa"/>
            <w:noWrap w:val="0"/>
            <w:vAlign w:val="center"/>
          </w:tcPr>
          <w:p>
            <w:pPr>
              <w:jc w:val="center"/>
              <w:rPr>
                <w:rFonts w:hint="eastAsia" w:ascii="宋体" w:hAnsi="宋体"/>
                <w:color w:val="000000"/>
                <w:szCs w:val="21"/>
              </w:rPr>
            </w:pPr>
            <w:r>
              <w:rPr>
                <w:rFonts w:hint="eastAsia" w:ascii="宋体" w:hAnsi="宋体"/>
                <w:color w:val="000000"/>
                <w:szCs w:val="21"/>
              </w:rPr>
              <w:t>采矿厂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widowControl/>
              <w:spacing w:line="320" w:lineRule="exact"/>
              <w:jc w:val="center"/>
              <w:rPr>
                <w:rFonts w:ascii="宋体" w:hAnsi="宋体"/>
                <w:color w:val="000000"/>
                <w:kern w:val="0"/>
                <w:szCs w:val="21"/>
              </w:rPr>
            </w:pPr>
            <w:r>
              <w:rPr>
                <w:rFonts w:hint="eastAsia" w:ascii="宋体" w:hAnsi="宋体"/>
                <w:color w:val="000000"/>
                <w:kern w:val="0"/>
                <w:szCs w:val="21"/>
              </w:rPr>
              <w:t>9</w:t>
            </w:r>
          </w:p>
        </w:tc>
        <w:tc>
          <w:tcPr>
            <w:tcW w:w="1620" w:type="dxa"/>
            <w:noWrap w:val="0"/>
            <w:vAlign w:val="top"/>
          </w:tcPr>
          <w:p>
            <w:pPr>
              <w:jc w:val="center"/>
              <w:rPr>
                <w:rFonts w:hint="eastAsia" w:ascii="宋体" w:hAnsi="宋体"/>
                <w:color w:val="000000"/>
                <w:szCs w:val="21"/>
              </w:rPr>
            </w:pPr>
            <w:r>
              <w:rPr>
                <w:rFonts w:hint="eastAsia" w:ascii="宋体" w:hAnsi="宋体"/>
                <w:color w:val="000000"/>
                <w:szCs w:val="21"/>
              </w:rPr>
              <w:t>建立清洁生产管理和生产操作规程相结合管理制度</w:t>
            </w:r>
          </w:p>
        </w:tc>
        <w:tc>
          <w:tcPr>
            <w:tcW w:w="5040" w:type="dxa"/>
            <w:noWrap w:val="0"/>
            <w:vAlign w:val="top"/>
          </w:tcPr>
          <w:p>
            <w:pPr>
              <w:jc w:val="center"/>
              <w:rPr>
                <w:rFonts w:hint="eastAsia" w:ascii="宋体" w:hAnsi="宋体"/>
                <w:color w:val="000000"/>
                <w:szCs w:val="21"/>
              </w:rPr>
            </w:pPr>
            <w:r>
              <w:rPr>
                <w:rFonts w:hint="eastAsia" w:ascii="宋体" w:hAnsi="宋体"/>
                <w:color w:val="000000"/>
                <w:szCs w:val="21"/>
              </w:rPr>
              <w:t>建立公司清洁生产激励机制，鼓励员工提出合理化建议，建立并完善清洁生产管理制度，使清洁生产工作在公司内长期推行下去。</w:t>
            </w:r>
          </w:p>
        </w:tc>
        <w:tc>
          <w:tcPr>
            <w:tcW w:w="900" w:type="dxa"/>
            <w:noWrap w:val="0"/>
            <w:vAlign w:val="top"/>
          </w:tcPr>
          <w:p>
            <w:pPr>
              <w:jc w:val="center"/>
              <w:rPr>
                <w:rFonts w:hint="eastAsia" w:ascii="宋体" w:hAnsi="宋体"/>
                <w:color w:val="000000"/>
                <w:szCs w:val="21"/>
              </w:rPr>
            </w:pPr>
          </w:p>
        </w:tc>
        <w:tc>
          <w:tcPr>
            <w:tcW w:w="1275" w:type="dxa"/>
            <w:noWrap w:val="0"/>
            <w:vAlign w:val="center"/>
          </w:tcPr>
          <w:p>
            <w:pPr>
              <w:jc w:val="center"/>
              <w:rPr>
                <w:rFonts w:hint="eastAsia" w:ascii="宋体" w:hAnsi="宋体"/>
                <w:color w:val="000000"/>
                <w:szCs w:val="21"/>
              </w:rPr>
            </w:pPr>
            <w:r>
              <w:rPr>
                <w:rFonts w:hint="eastAsia" w:ascii="宋体" w:hAnsi="宋体"/>
                <w:color w:val="000000"/>
                <w:szCs w:val="21"/>
              </w:rPr>
              <w:t>选矿车间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widowControl/>
              <w:spacing w:line="320" w:lineRule="exact"/>
              <w:jc w:val="center"/>
              <w:rPr>
                <w:rFonts w:ascii="宋体" w:hAnsi="宋体"/>
                <w:color w:val="000000"/>
                <w:kern w:val="0"/>
                <w:szCs w:val="21"/>
              </w:rPr>
            </w:pPr>
            <w:r>
              <w:rPr>
                <w:rFonts w:hint="eastAsia" w:ascii="宋体" w:hAnsi="宋体"/>
                <w:color w:val="000000"/>
                <w:kern w:val="0"/>
                <w:szCs w:val="21"/>
              </w:rPr>
              <w:t>10</w:t>
            </w:r>
          </w:p>
        </w:tc>
        <w:tc>
          <w:tcPr>
            <w:tcW w:w="1620" w:type="dxa"/>
            <w:noWrap w:val="0"/>
            <w:vAlign w:val="top"/>
          </w:tcPr>
          <w:p>
            <w:pPr>
              <w:jc w:val="center"/>
              <w:rPr>
                <w:rFonts w:hint="eastAsia" w:ascii="宋体" w:hAnsi="宋体"/>
                <w:color w:val="000000"/>
                <w:szCs w:val="21"/>
              </w:rPr>
            </w:pPr>
            <w:r>
              <w:rPr>
                <w:rFonts w:hint="eastAsia" w:ascii="宋体" w:hAnsi="宋体"/>
                <w:color w:val="000000"/>
                <w:szCs w:val="21"/>
              </w:rPr>
              <w:t>尾矿库堆场监测口设标志牌</w:t>
            </w:r>
          </w:p>
        </w:tc>
        <w:tc>
          <w:tcPr>
            <w:tcW w:w="5040" w:type="dxa"/>
            <w:noWrap w:val="0"/>
            <w:vAlign w:val="top"/>
          </w:tcPr>
          <w:p>
            <w:pPr>
              <w:jc w:val="center"/>
              <w:rPr>
                <w:rFonts w:hint="eastAsia" w:ascii="宋体" w:hAnsi="宋体"/>
                <w:color w:val="000000"/>
                <w:szCs w:val="21"/>
              </w:rPr>
            </w:pPr>
            <w:r>
              <w:rPr>
                <w:rFonts w:hint="eastAsia" w:ascii="宋体" w:hAnsi="宋体"/>
                <w:color w:val="000000"/>
                <w:szCs w:val="21"/>
              </w:rPr>
              <w:t>尾矿库各监测口无标志牌，需进行补充</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0.12</w:t>
            </w:r>
          </w:p>
        </w:tc>
        <w:tc>
          <w:tcPr>
            <w:tcW w:w="1275" w:type="dxa"/>
            <w:noWrap w:val="0"/>
            <w:vAlign w:val="center"/>
          </w:tcPr>
          <w:p>
            <w:pPr>
              <w:jc w:val="center"/>
              <w:rPr>
                <w:rFonts w:hint="eastAsia" w:ascii="宋体" w:hAnsi="宋体"/>
                <w:color w:val="000000"/>
                <w:szCs w:val="21"/>
              </w:rPr>
            </w:pPr>
            <w:r>
              <w:rPr>
                <w:rFonts w:hint="eastAsia" w:ascii="宋体" w:hAnsi="宋体"/>
                <w:color w:val="000000"/>
                <w:szCs w:val="21"/>
              </w:rPr>
              <w:t>环保科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11</w:t>
            </w:r>
          </w:p>
        </w:tc>
        <w:tc>
          <w:tcPr>
            <w:tcW w:w="1620" w:type="dxa"/>
            <w:noWrap w:val="0"/>
            <w:vAlign w:val="top"/>
          </w:tcPr>
          <w:p>
            <w:pPr>
              <w:jc w:val="center"/>
              <w:rPr>
                <w:rFonts w:hint="eastAsia" w:ascii="宋体" w:hAnsi="宋体"/>
                <w:color w:val="000000"/>
                <w:szCs w:val="21"/>
              </w:rPr>
            </w:pPr>
            <w:r>
              <w:rPr>
                <w:rFonts w:hint="eastAsia" w:ascii="宋体" w:hAnsi="宋体"/>
                <w:color w:val="000000"/>
                <w:szCs w:val="21"/>
              </w:rPr>
              <w:t>尾矿库设危废间暂存水处理污泥</w:t>
            </w:r>
          </w:p>
        </w:tc>
        <w:tc>
          <w:tcPr>
            <w:tcW w:w="5040" w:type="dxa"/>
            <w:noWrap w:val="0"/>
            <w:vAlign w:val="top"/>
          </w:tcPr>
          <w:p>
            <w:pPr>
              <w:jc w:val="center"/>
              <w:rPr>
                <w:rFonts w:hint="eastAsia" w:ascii="宋体" w:hAnsi="宋体"/>
                <w:color w:val="000000"/>
                <w:szCs w:val="21"/>
              </w:rPr>
            </w:pPr>
            <w:r>
              <w:rPr>
                <w:rFonts w:hint="eastAsia" w:ascii="宋体" w:hAnsi="宋体"/>
                <w:color w:val="000000"/>
                <w:szCs w:val="21"/>
              </w:rPr>
              <w:t>水处理污泥属危险废物,需收集管理,规范处置</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275" w:type="dxa"/>
            <w:noWrap w:val="0"/>
            <w:vAlign w:val="center"/>
          </w:tcPr>
          <w:p>
            <w:pPr>
              <w:jc w:val="center"/>
              <w:rPr>
                <w:rFonts w:hint="eastAsia" w:ascii="宋体" w:hAnsi="宋体"/>
                <w:color w:val="000000"/>
                <w:szCs w:val="21"/>
              </w:rPr>
            </w:pPr>
            <w:r>
              <w:rPr>
                <w:rFonts w:hint="eastAsia" w:ascii="宋体" w:hAnsi="宋体"/>
                <w:color w:val="000000"/>
                <w:szCs w:val="21"/>
              </w:rPr>
              <w:t>环保科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12</w:t>
            </w:r>
          </w:p>
        </w:tc>
        <w:tc>
          <w:tcPr>
            <w:tcW w:w="1620" w:type="dxa"/>
            <w:noWrap w:val="0"/>
            <w:vAlign w:val="top"/>
          </w:tcPr>
          <w:p>
            <w:pPr>
              <w:rPr>
                <w:rFonts w:ascii="宋体" w:hAnsi="宋体"/>
                <w:color w:val="000000"/>
                <w:szCs w:val="21"/>
              </w:rPr>
            </w:pPr>
            <w:r>
              <w:rPr>
                <w:rFonts w:hint="eastAsia" w:ascii="宋体" w:hAnsi="宋体"/>
                <w:color w:val="000000"/>
                <w:szCs w:val="21"/>
              </w:rPr>
              <w:t>对车间员工进行设备维护和使用培训</w:t>
            </w:r>
          </w:p>
        </w:tc>
        <w:tc>
          <w:tcPr>
            <w:tcW w:w="5040" w:type="dxa"/>
            <w:noWrap w:val="0"/>
            <w:vAlign w:val="top"/>
          </w:tcPr>
          <w:p>
            <w:pPr>
              <w:jc w:val="center"/>
              <w:rPr>
                <w:rFonts w:hint="eastAsia" w:ascii="宋体" w:hAnsi="宋体"/>
                <w:color w:val="000000"/>
                <w:szCs w:val="21"/>
              </w:rPr>
            </w:pPr>
            <w:r>
              <w:rPr>
                <w:rFonts w:hint="eastAsia" w:ascii="宋体" w:hAnsi="宋体"/>
                <w:color w:val="000000"/>
                <w:szCs w:val="21"/>
              </w:rPr>
              <w:t>车间主要设备操作应由经培训过的专业人员操作，以免因操作不当造成的损坏以及发生机械事故。</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0.6</w:t>
            </w:r>
          </w:p>
        </w:tc>
        <w:tc>
          <w:tcPr>
            <w:tcW w:w="1275" w:type="dxa"/>
            <w:noWrap w:val="0"/>
            <w:vAlign w:val="top"/>
          </w:tcPr>
          <w:p>
            <w:pPr>
              <w:jc w:val="center"/>
              <w:rPr>
                <w:color w:val="000000"/>
              </w:rPr>
            </w:pPr>
            <w:r>
              <w:rPr>
                <w:rFonts w:hint="eastAsia" w:ascii="宋体" w:hAnsi="宋体"/>
                <w:color w:val="000000"/>
                <w:szCs w:val="21"/>
              </w:rPr>
              <w:t>选矿车间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13</w:t>
            </w:r>
          </w:p>
        </w:tc>
        <w:tc>
          <w:tcPr>
            <w:tcW w:w="1620" w:type="dxa"/>
            <w:noWrap w:val="0"/>
            <w:vAlign w:val="top"/>
          </w:tcPr>
          <w:p>
            <w:pPr>
              <w:jc w:val="center"/>
              <w:rPr>
                <w:rFonts w:hint="eastAsia" w:ascii="宋体" w:hAnsi="宋体"/>
                <w:color w:val="000000"/>
                <w:szCs w:val="21"/>
              </w:rPr>
            </w:pPr>
            <w:r>
              <w:rPr>
                <w:rFonts w:hint="eastAsia" w:ascii="宋体" w:hAnsi="宋体"/>
                <w:color w:val="000000"/>
                <w:szCs w:val="21"/>
              </w:rPr>
              <w:t>完善选矿厂雨污分流系统</w:t>
            </w:r>
          </w:p>
        </w:tc>
        <w:tc>
          <w:tcPr>
            <w:tcW w:w="5040" w:type="dxa"/>
            <w:noWrap w:val="0"/>
            <w:vAlign w:val="top"/>
          </w:tcPr>
          <w:p>
            <w:pPr>
              <w:rPr>
                <w:rFonts w:hint="eastAsia" w:ascii="宋体" w:hAnsi="宋体"/>
                <w:color w:val="000000"/>
                <w:szCs w:val="21"/>
              </w:rPr>
            </w:pPr>
            <w:r>
              <w:rPr>
                <w:rFonts w:hint="eastAsia" w:ascii="宋体" w:hAnsi="宋体"/>
                <w:color w:val="000000"/>
                <w:szCs w:val="21"/>
              </w:rPr>
              <w:t>将选矿原料、破碎生产区，渣水分离工作区，矿办公区雨水统一收集到沟下面收集池，用于收集初期雨水。同时可将收集的雨水回用于生产，节约资源。对选矿区的浮选车间，精矿车间的污水（包含雨水）全部收集于污水池。</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70</w:t>
            </w:r>
          </w:p>
        </w:tc>
        <w:tc>
          <w:tcPr>
            <w:tcW w:w="1275" w:type="dxa"/>
            <w:noWrap w:val="0"/>
            <w:vAlign w:val="top"/>
          </w:tcPr>
          <w:p>
            <w:pPr>
              <w:jc w:val="center"/>
              <w:rPr>
                <w:color w:val="000000"/>
              </w:rPr>
            </w:pPr>
            <w:r>
              <w:rPr>
                <w:rFonts w:hint="eastAsia" w:ascii="宋体" w:hAnsi="宋体"/>
                <w:color w:val="000000"/>
                <w:szCs w:val="21"/>
              </w:rPr>
              <w:t>选矿车间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7" w:hRule="atLeast"/>
        </w:trPr>
        <w:tc>
          <w:tcPr>
            <w:tcW w:w="720" w:type="dxa"/>
            <w:noWrap w:val="0"/>
            <w:vAlign w:val="center"/>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14</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精矿库维护改造</w:t>
            </w:r>
          </w:p>
        </w:tc>
        <w:tc>
          <w:tcPr>
            <w:tcW w:w="5040" w:type="dxa"/>
            <w:noWrap w:val="0"/>
            <w:vAlign w:val="center"/>
          </w:tcPr>
          <w:p>
            <w:pPr>
              <w:rPr>
                <w:rFonts w:hint="eastAsia" w:ascii="宋体" w:hAnsi="宋体"/>
                <w:color w:val="000000"/>
                <w:szCs w:val="21"/>
              </w:rPr>
            </w:pPr>
            <w:r>
              <w:rPr>
                <w:rFonts w:hint="eastAsia" w:ascii="宋体" w:hAnsi="宋体"/>
                <w:color w:val="000000"/>
                <w:szCs w:val="21"/>
              </w:rPr>
              <w:t>对精矿库地面进行防渗、固化，对库房进行封闭、维护。</w:t>
            </w:r>
          </w:p>
        </w:tc>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20</w:t>
            </w:r>
          </w:p>
        </w:tc>
        <w:tc>
          <w:tcPr>
            <w:tcW w:w="1275" w:type="dxa"/>
            <w:noWrap w:val="0"/>
            <w:vAlign w:val="top"/>
          </w:tcPr>
          <w:p>
            <w:pPr>
              <w:jc w:val="center"/>
              <w:rPr>
                <w:color w:val="000000"/>
              </w:rPr>
            </w:pPr>
            <w:r>
              <w:rPr>
                <w:rFonts w:hint="eastAsia" w:ascii="宋体" w:hAnsi="宋体"/>
                <w:color w:val="000000"/>
                <w:szCs w:val="21"/>
              </w:rPr>
              <w:t>选矿车间</w:t>
            </w:r>
          </w:p>
        </w:tc>
      </w:tr>
      <w:bookmarkEnd w:id="400"/>
      <w:bookmarkEnd w:id="401"/>
      <w:bookmarkEnd w:id="402"/>
      <w:bookmarkEnd w:id="403"/>
    </w:tbl>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rPr>
          <w:rFonts w:hint="eastAsia"/>
          <w:color w:val="000000"/>
          <w:lang w:val="zh-CN"/>
        </w:rPr>
      </w:pPr>
    </w:p>
    <w:p>
      <w:pPr>
        <w:pStyle w:val="3"/>
        <w:spacing w:before="0" w:after="0"/>
        <w:jc w:val="center"/>
        <w:rPr>
          <w:rFonts w:hint="eastAsia" w:ascii="宋体" w:hAnsi="宋体"/>
          <w:color w:val="000000"/>
        </w:rPr>
      </w:pPr>
      <w:bookmarkStart w:id="404" w:name="_Toc367782230"/>
      <w:bookmarkStart w:id="405" w:name="_Toc23000907"/>
      <w:bookmarkStart w:id="406" w:name="_Toc422252511"/>
      <w:r>
        <w:rPr>
          <w:rFonts w:hint="eastAsia" w:ascii="宋体" w:hAnsi="宋体"/>
          <w:color w:val="000000"/>
        </w:rPr>
        <w:t>第4章  方案的产生和筛选</w:t>
      </w:r>
      <w:bookmarkEnd w:id="404"/>
      <w:bookmarkEnd w:id="405"/>
      <w:bookmarkEnd w:id="406"/>
    </w:p>
    <w:p>
      <w:pPr>
        <w:tabs>
          <w:tab w:val="left" w:pos="0"/>
        </w:tabs>
        <w:spacing w:line="360" w:lineRule="auto"/>
        <w:ind w:firstLine="542" w:firstLineChars="226"/>
        <w:jc w:val="left"/>
        <w:rPr>
          <w:rFonts w:hint="eastAsia" w:ascii="宋体" w:hAnsi="宋体"/>
          <w:color w:val="000000"/>
          <w:sz w:val="24"/>
        </w:rPr>
      </w:pPr>
      <w:r>
        <w:rPr>
          <w:rFonts w:hint="eastAsia" w:ascii="宋体" w:hAnsi="宋体"/>
          <w:color w:val="000000"/>
          <w:sz w:val="24"/>
        </w:rPr>
        <w:t>本企业进行清洁生产审核工作的第四阶段是方案的产生和筛选。本阶段主要工作是对清洁生产方案进行筛选，同时对已提出的清洁生产方案进行汇总和效果预测。</w:t>
      </w:r>
    </w:p>
    <w:p>
      <w:pPr>
        <w:pStyle w:val="4"/>
        <w:spacing w:before="240" w:beforeLines="100" w:after="120" w:afterLines="50" w:line="360" w:lineRule="auto"/>
        <w:jc w:val="left"/>
        <w:rPr>
          <w:rFonts w:hint="eastAsia" w:ascii="宋体" w:hAnsi="宋体" w:eastAsia="宋体"/>
          <w:color w:val="000000"/>
          <w:lang w:val="zh-CN"/>
        </w:rPr>
      </w:pPr>
      <w:bookmarkStart w:id="407" w:name="_Toc280366469"/>
      <w:bookmarkStart w:id="408" w:name="_Toc280366588"/>
      <w:bookmarkStart w:id="409" w:name="_Toc282248886"/>
      <w:bookmarkStart w:id="410" w:name="_Toc291960347"/>
      <w:bookmarkStart w:id="411" w:name="_Toc296604623"/>
      <w:bookmarkStart w:id="412" w:name="_Toc367782231"/>
      <w:bookmarkStart w:id="413" w:name="_Toc422252512"/>
      <w:bookmarkStart w:id="414" w:name="_Toc23000908"/>
      <w:r>
        <w:rPr>
          <w:rFonts w:hint="eastAsia" w:ascii="宋体" w:hAnsi="宋体" w:eastAsia="宋体"/>
          <w:color w:val="000000"/>
          <w:lang w:val="zh-CN"/>
        </w:rPr>
        <w:t>4.1  方案的汇总</w:t>
      </w:r>
      <w:bookmarkEnd w:id="407"/>
      <w:bookmarkEnd w:id="408"/>
      <w:bookmarkEnd w:id="409"/>
      <w:bookmarkEnd w:id="410"/>
      <w:bookmarkEnd w:id="411"/>
      <w:bookmarkEnd w:id="412"/>
      <w:bookmarkEnd w:id="413"/>
      <w:bookmarkEnd w:id="414"/>
    </w:p>
    <w:p>
      <w:pPr>
        <w:tabs>
          <w:tab w:val="left" w:pos="0"/>
        </w:tabs>
        <w:spacing w:line="360" w:lineRule="auto"/>
        <w:ind w:left="18" w:firstLine="463" w:firstLineChars="193"/>
        <w:jc w:val="left"/>
        <w:rPr>
          <w:rFonts w:hint="eastAsia" w:ascii="宋体" w:hAnsi="宋体"/>
          <w:color w:val="000000"/>
          <w:sz w:val="24"/>
        </w:rPr>
      </w:pPr>
      <w:r>
        <w:rPr>
          <w:rFonts w:hint="eastAsia" w:ascii="宋体" w:hAnsi="宋体"/>
          <w:color w:val="000000"/>
          <w:sz w:val="24"/>
        </w:rPr>
        <w:t>根据实际情况，对于方案投入在10万元以下的作为无/低费方案，投入在10万元以（含10万元）的作为中/高费方案。</w:t>
      </w:r>
    </w:p>
    <w:p>
      <w:pPr>
        <w:pStyle w:val="5"/>
        <w:spacing w:after="0" w:line="360" w:lineRule="auto"/>
        <w:rPr>
          <w:rFonts w:hint="eastAsia" w:ascii="宋体" w:hAnsi="宋体"/>
          <w:color w:val="000000"/>
          <w:sz w:val="28"/>
          <w:szCs w:val="28"/>
        </w:rPr>
      </w:pPr>
      <w:bookmarkStart w:id="415" w:name="_Toc296604625"/>
      <w:bookmarkStart w:id="416" w:name="_Toc421216080"/>
      <w:bookmarkStart w:id="417" w:name="_Toc422514400"/>
      <w:bookmarkStart w:id="418" w:name="_Toc433986926"/>
      <w:bookmarkStart w:id="419" w:name="_Toc23000909"/>
      <w:r>
        <w:rPr>
          <w:rFonts w:hint="eastAsia" w:ascii="宋体" w:hAnsi="宋体"/>
          <w:color w:val="000000"/>
          <w:sz w:val="28"/>
          <w:szCs w:val="28"/>
        </w:rPr>
        <w:t>4.1.1方案的分类汇总</w:t>
      </w:r>
      <w:bookmarkEnd w:id="415"/>
      <w:bookmarkEnd w:id="416"/>
      <w:bookmarkEnd w:id="417"/>
      <w:bookmarkEnd w:id="418"/>
      <w:bookmarkEnd w:id="419"/>
    </w:p>
    <w:p>
      <w:pPr>
        <w:tabs>
          <w:tab w:val="left" w:pos="0"/>
        </w:tabs>
        <w:spacing w:line="360" w:lineRule="auto"/>
        <w:ind w:left="17" w:firstLine="480" w:firstLineChars="200"/>
        <w:jc w:val="left"/>
        <w:rPr>
          <w:rFonts w:hint="eastAsia" w:ascii="宋体" w:hAnsi="宋体"/>
          <w:color w:val="000000"/>
          <w:sz w:val="24"/>
        </w:rPr>
      </w:pPr>
      <w:r>
        <w:rPr>
          <w:rFonts w:hint="eastAsia" w:ascii="宋体" w:hAnsi="宋体"/>
          <w:color w:val="000000"/>
          <w:sz w:val="24"/>
        </w:rPr>
        <w:t>审核小组将公司各部门在预审阶段与审核阶段提出的清洁生产方案进行归纳整理，根据清洁生产的八个要素，将提出的清洁生产方案按生产的八个要素进行分类汇总，详细情况见表4-1。</w:t>
      </w: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tabs>
          <w:tab w:val="left" w:pos="0"/>
        </w:tabs>
        <w:spacing w:line="360" w:lineRule="auto"/>
        <w:ind w:left="17" w:firstLine="480" w:firstLineChars="200"/>
        <w:jc w:val="left"/>
        <w:rPr>
          <w:rFonts w:hint="eastAsia" w:ascii="宋体" w:hAnsi="宋体"/>
          <w:color w:val="000000"/>
          <w:sz w:val="24"/>
        </w:rPr>
      </w:pPr>
    </w:p>
    <w:p>
      <w:pPr>
        <w:ind w:firstLine="952" w:firstLineChars="395"/>
        <w:jc w:val="center"/>
        <w:rPr>
          <w:rFonts w:ascii="宋体" w:hAnsi="宋体"/>
          <w:b/>
          <w:color w:val="000000"/>
          <w:sz w:val="24"/>
        </w:rPr>
        <w:sectPr>
          <w:headerReference r:id="rId8" w:type="first"/>
          <w:headerReference r:id="rId7" w:type="default"/>
          <w:footerReference r:id="rId9" w:type="default"/>
          <w:footerReference r:id="rId10" w:type="even"/>
          <w:pgSz w:w="11906" w:h="16838"/>
          <w:pgMar w:top="1247" w:right="1418" w:bottom="1247" w:left="1418" w:header="720" w:footer="720" w:gutter="0"/>
          <w:cols w:space="720" w:num="1"/>
          <w:titlePg/>
        </w:sectPr>
      </w:pPr>
    </w:p>
    <w:p>
      <w:pPr>
        <w:jc w:val="center"/>
        <w:rPr>
          <w:rFonts w:hint="eastAsia" w:ascii="宋体" w:hAnsi="宋体"/>
          <w:color w:val="000000"/>
          <w:sz w:val="24"/>
        </w:rPr>
      </w:pPr>
      <w:r>
        <w:rPr>
          <w:rFonts w:hint="eastAsia" w:ascii="宋体" w:hAnsi="宋体"/>
          <w:b/>
          <w:color w:val="000000"/>
          <w:sz w:val="24"/>
        </w:rPr>
        <w:t xml:space="preserve">表4-1  </w:t>
      </w:r>
      <w:r>
        <w:rPr>
          <w:rFonts w:ascii="宋体" w:hAnsi="宋体"/>
          <w:b/>
          <w:color w:val="000000"/>
          <w:sz w:val="24"/>
        </w:rPr>
        <w:t>清洁生产方案</w:t>
      </w:r>
      <w:r>
        <w:rPr>
          <w:rFonts w:hint="eastAsia" w:ascii="宋体" w:hAnsi="宋体"/>
          <w:b/>
          <w:color w:val="000000"/>
          <w:sz w:val="24"/>
        </w:rPr>
        <w:t>分类</w:t>
      </w:r>
      <w:r>
        <w:rPr>
          <w:rFonts w:ascii="宋体" w:hAnsi="宋体"/>
          <w:b/>
          <w:color w:val="000000"/>
          <w:sz w:val="24"/>
        </w:rPr>
        <w:t>汇总</w:t>
      </w:r>
      <w:r>
        <w:rPr>
          <w:rFonts w:hint="eastAsia" w:ascii="宋体" w:hAnsi="宋体"/>
          <w:b/>
          <w:color w:val="000000"/>
          <w:sz w:val="24"/>
        </w:rPr>
        <w:t>表</w:t>
      </w:r>
    </w:p>
    <w:tbl>
      <w:tblPr>
        <w:tblStyle w:val="35"/>
        <w:tblW w:w="142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00"/>
        <w:gridCol w:w="900"/>
        <w:gridCol w:w="2517"/>
        <w:gridCol w:w="5282"/>
        <w:gridCol w:w="1080"/>
        <w:gridCol w:w="1080"/>
        <w:gridCol w:w="25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93" w:hRule="atLeast"/>
          <w:tblHeader/>
          <w:jc w:val="center"/>
        </w:trPr>
        <w:tc>
          <w:tcPr>
            <w:tcW w:w="900" w:type="dxa"/>
            <w:vMerge w:val="restart"/>
            <w:noWrap w:val="0"/>
            <w:vAlign w:val="center"/>
          </w:tcPr>
          <w:p>
            <w:pPr>
              <w:jc w:val="center"/>
              <w:rPr>
                <w:rFonts w:ascii="宋体" w:hAnsi="宋体"/>
                <w:color w:val="000000"/>
                <w:szCs w:val="21"/>
              </w:rPr>
            </w:pPr>
            <w:r>
              <w:rPr>
                <w:rFonts w:ascii="宋体" w:hAnsi="宋体"/>
                <w:color w:val="000000"/>
                <w:szCs w:val="21"/>
              </w:rPr>
              <w:t>方案类别</w:t>
            </w:r>
          </w:p>
        </w:tc>
        <w:tc>
          <w:tcPr>
            <w:tcW w:w="900" w:type="dxa"/>
            <w:vMerge w:val="restart"/>
            <w:noWrap w:val="0"/>
            <w:vAlign w:val="center"/>
          </w:tcPr>
          <w:p>
            <w:pPr>
              <w:jc w:val="center"/>
              <w:rPr>
                <w:rFonts w:hint="eastAsia" w:ascii="宋体" w:hAnsi="宋体"/>
                <w:color w:val="000000"/>
                <w:szCs w:val="21"/>
              </w:rPr>
            </w:pPr>
            <w:r>
              <w:rPr>
                <w:rFonts w:ascii="宋体" w:hAnsi="宋体"/>
                <w:color w:val="000000"/>
                <w:szCs w:val="21"/>
              </w:rPr>
              <w:t>方案</w:t>
            </w:r>
          </w:p>
          <w:p>
            <w:pPr>
              <w:jc w:val="center"/>
              <w:rPr>
                <w:rFonts w:ascii="宋体" w:hAnsi="宋体"/>
                <w:color w:val="000000"/>
                <w:szCs w:val="21"/>
              </w:rPr>
            </w:pPr>
            <w:r>
              <w:rPr>
                <w:rFonts w:ascii="宋体" w:hAnsi="宋体"/>
                <w:color w:val="000000"/>
                <w:szCs w:val="21"/>
              </w:rPr>
              <w:t>编号</w:t>
            </w:r>
          </w:p>
        </w:tc>
        <w:tc>
          <w:tcPr>
            <w:tcW w:w="2517" w:type="dxa"/>
            <w:vMerge w:val="restart"/>
            <w:noWrap w:val="0"/>
            <w:vAlign w:val="center"/>
          </w:tcPr>
          <w:p>
            <w:pPr>
              <w:jc w:val="center"/>
              <w:rPr>
                <w:rFonts w:ascii="宋体" w:hAnsi="宋体"/>
                <w:color w:val="000000"/>
                <w:szCs w:val="21"/>
              </w:rPr>
            </w:pPr>
            <w:r>
              <w:rPr>
                <w:rFonts w:ascii="宋体" w:hAnsi="宋体"/>
                <w:color w:val="000000"/>
                <w:szCs w:val="21"/>
              </w:rPr>
              <w:t>方案名称</w:t>
            </w:r>
          </w:p>
        </w:tc>
        <w:tc>
          <w:tcPr>
            <w:tcW w:w="5282" w:type="dxa"/>
            <w:vMerge w:val="restart"/>
            <w:noWrap w:val="0"/>
            <w:vAlign w:val="center"/>
          </w:tcPr>
          <w:p>
            <w:pPr>
              <w:jc w:val="center"/>
              <w:rPr>
                <w:rFonts w:ascii="宋体" w:hAnsi="宋体"/>
                <w:color w:val="000000"/>
                <w:szCs w:val="21"/>
              </w:rPr>
            </w:pPr>
            <w:r>
              <w:rPr>
                <w:rFonts w:ascii="宋体" w:hAnsi="宋体"/>
                <w:color w:val="000000"/>
                <w:szCs w:val="21"/>
              </w:rPr>
              <w:t>方案简介</w:t>
            </w:r>
          </w:p>
        </w:tc>
        <w:tc>
          <w:tcPr>
            <w:tcW w:w="1080" w:type="dxa"/>
            <w:vMerge w:val="restart"/>
            <w:noWrap w:val="0"/>
            <w:vAlign w:val="center"/>
          </w:tcPr>
          <w:p>
            <w:pPr>
              <w:jc w:val="center"/>
              <w:rPr>
                <w:rFonts w:ascii="宋体" w:hAnsi="宋体"/>
                <w:color w:val="000000"/>
                <w:szCs w:val="21"/>
              </w:rPr>
            </w:pPr>
            <w:r>
              <w:rPr>
                <w:rFonts w:ascii="宋体" w:hAnsi="宋体"/>
                <w:color w:val="000000"/>
                <w:szCs w:val="21"/>
              </w:rPr>
              <w:t>预计投资（</w:t>
            </w:r>
            <w:r>
              <w:rPr>
                <w:rFonts w:hint="eastAsia" w:ascii="宋体" w:hAnsi="宋体"/>
                <w:color w:val="000000"/>
                <w:szCs w:val="21"/>
              </w:rPr>
              <w:t>万</w:t>
            </w:r>
            <w:r>
              <w:rPr>
                <w:rFonts w:ascii="宋体" w:hAnsi="宋体"/>
                <w:color w:val="000000"/>
                <w:szCs w:val="21"/>
              </w:rPr>
              <w:t>元）</w:t>
            </w:r>
          </w:p>
        </w:tc>
        <w:tc>
          <w:tcPr>
            <w:tcW w:w="3600" w:type="dxa"/>
            <w:gridSpan w:val="2"/>
            <w:noWrap w:val="0"/>
            <w:vAlign w:val="center"/>
          </w:tcPr>
          <w:p>
            <w:pPr>
              <w:jc w:val="center"/>
              <w:rPr>
                <w:rFonts w:ascii="宋体" w:hAnsi="宋体"/>
                <w:color w:val="000000"/>
                <w:szCs w:val="21"/>
              </w:rPr>
            </w:pPr>
            <w:r>
              <w:rPr>
                <w:rFonts w:ascii="宋体" w:hAnsi="宋体"/>
                <w:color w:val="000000"/>
                <w:szCs w:val="21"/>
              </w:rPr>
              <w:t>预计效果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93" w:hRule="atLeast"/>
          <w:tblHeader/>
          <w:jc w:val="center"/>
        </w:trPr>
        <w:tc>
          <w:tcPr>
            <w:tcW w:w="900" w:type="dxa"/>
            <w:vMerge w:val="continue"/>
            <w:noWrap w:val="0"/>
            <w:vAlign w:val="bottom"/>
          </w:tcPr>
          <w:p>
            <w:pPr>
              <w:jc w:val="center"/>
              <w:rPr>
                <w:rFonts w:ascii="宋体" w:hAnsi="宋体"/>
                <w:color w:val="000000"/>
                <w:szCs w:val="21"/>
              </w:rPr>
            </w:pPr>
          </w:p>
        </w:tc>
        <w:tc>
          <w:tcPr>
            <w:tcW w:w="900" w:type="dxa"/>
            <w:vMerge w:val="continue"/>
            <w:noWrap w:val="0"/>
            <w:vAlign w:val="center"/>
          </w:tcPr>
          <w:p>
            <w:pPr>
              <w:jc w:val="center"/>
              <w:rPr>
                <w:rFonts w:ascii="宋体" w:hAnsi="宋体"/>
                <w:color w:val="000000"/>
                <w:szCs w:val="21"/>
              </w:rPr>
            </w:pPr>
          </w:p>
        </w:tc>
        <w:tc>
          <w:tcPr>
            <w:tcW w:w="2517" w:type="dxa"/>
            <w:vMerge w:val="continue"/>
            <w:noWrap w:val="0"/>
            <w:vAlign w:val="bottom"/>
          </w:tcPr>
          <w:p>
            <w:pPr>
              <w:jc w:val="center"/>
              <w:rPr>
                <w:rFonts w:ascii="宋体" w:hAnsi="宋体"/>
                <w:color w:val="000000"/>
                <w:szCs w:val="21"/>
              </w:rPr>
            </w:pPr>
          </w:p>
        </w:tc>
        <w:tc>
          <w:tcPr>
            <w:tcW w:w="5282" w:type="dxa"/>
            <w:vMerge w:val="continue"/>
            <w:noWrap w:val="0"/>
            <w:vAlign w:val="bottom"/>
          </w:tcPr>
          <w:p>
            <w:pPr>
              <w:jc w:val="center"/>
              <w:rPr>
                <w:rFonts w:ascii="宋体" w:hAnsi="宋体"/>
                <w:color w:val="000000"/>
                <w:szCs w:val="21"/>
              </w:rPr>
            </w:pPr>
          </w:p>
        </w:tc>
        <w:tc>
          <w:tcPr>
            <w:tcW w:w="1080" w:type="dxa"/>
            <w:vMerge w:val="continue"/>
            <w:noWrap w:val="0"/>
            <w:vAlign w:val="bottom"/>
          </w:tcPr>
          <w:p>
            <w:pPr>
              <w:jc w:val="center"/>
              <w:rPr>
                <w:rFonts w:ascii="宋体" w:hAnsi="宋体"/>
                <w:color w:val="000000"/>
                <w:szCs w:val="21"/>
              </w:rPr>
            </w:pPr>
          </w:p>
        </w:tc>
        <w:tc>
          <w:tcPr>
            <w:tcW w:w="1080" w:type="dxa"/>
            <w:noWrap w:val="0"/>
            <w:vAlign w:val="center"/>
          </w:tcPr>
          <w:p>
            <w:pPr>
              <w:jc w:val="center"/>
              <w:rPr>
                <w:rFonts w:hint="eastAsia" w:ascii="宋体" w:hAnsi="宋体"/>
                <w:color w:val="000000"/>
                <w:szCs w:val="21"/>
              </w:rPr>
            </w:pPr>
            <w:r>
              <w:rPr>
                <w:rFonts w:ascii="宋体" w:hAnsi="宋体"/>
                <w:color w:val="000000"/>
                <w:szCs w:val="21"/>
              </w:rPr>
              <w:t>经济效益</w:t>
            </w:r>
          </w:p>
          <w:p>
            <w:pPr>
              <w:jc w:val="center"/>
              <w:rPr>
                <w:rFonts w:ascii="宋体" w:hAnsi="宋体"/>
                <w:color w:val="000000"/>
                <w:szCs w:val="21"/>
              </w:rPr>
            </w:pPr>
            <w:r>
              <w:rPr>
                <w:rFonts w:ascii="宋体" w:hAnsi="宋体"/>
                <w:color w:val="000000"/>
                <w:szCs w:val="21"/>
              </w:rPr>
              <w:t>（</w:t>
            </w:r>
            <w:r>
              <w:rPr>
                <w:rFonts w:hint="eastAsia" w:ascii="宋体" w:hAnsi="宋体"/>
                <w:color w:val="000000"/>
                <w:szCs w:val="21"/>
              </w:rPr>
              <w:t>万</w:t>
            </w:r>
            <w:r>
              <w:rPr>
                <w:rFonts w:ascii="宋体" w:hAnsi="宋体"/>
                <w:color w:val="000000"/>
                <w:szCs w:val="21"/>
              </w:rPr>
              <w:t>元）</w:t>
            </w:r>
          </w:p>
        </w:tc>
        <w:tc>
          <w:tcPr>
            <w:tcW w:w="2520" w:type="dxa"/>
            <w:noWrap w:val="0"/>
            <w:vAlign w:val="center"/>
          </w:tcPr>
          <w:p>
            <w:pPr>
              <w:jc w:val="center"/>
              <w:rPr>
                <w:rFonts w:hint="eastAsia" w:ascii="宋体" w:hAnsi="宋体"/>
                <w:color w:val="000000"/>
                <w:szCs w:val="21"/>
              </w:rPr>
            </w:pPr>
            <w:r>
              <w:rPr>
                <w:rFonts w:ascii="宋体" w:hAnsi="宋体"/>
                <w:color w:val="000000"/>
                <w:szCs w:val="21"/>
              </w:rPr>
              <w:t>环境效果</w:t>
            </w:r>
            <w:r>
              <w:rPr>
                <w:rFonts w:hint="eastAsia" w:ascii="宋体" w:hAnsi="宋体"/>
                <w:color w:val="000000"/>
                <w:szCs w:val="21"/>
              </w:rPr>
              <w:t>/节能效果（年）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263" w:hRule="atLeast"/>
          <w:jc w:val="center"/>
        </w:trPr>
        <w:tc>
          <w:tcPr>
            <w:tcW w:w="900" w:type="dxa"/>
            <w:vMerge w:val="restart"/>
            <w:noWrap w:val="0"/>
            <w:vAlign w:val="center"/>
          </w:tcPr>
          <w:p>
            <w:pPr>
              <w:pStyle w:val="179"/>
              <w:spacing w:line="240" w:lineRule="auto"/>
              <w:rPr>
                <w:rFonts w:hint="eastAsia" w:ascii="宋体" w:hAnsi="宋体"/>
                <w:color w:val="000000"/>
                <w:szCs w:val="21"/>
              </w:rPr>
            </w:pPr>
            <w:r>
              <w:rPr>
                <w:rFonts w:hint="eastAsia" w:ascii="宋体" w:hAnsi="宋体"/>
                <w:color w:val="000000"/>
                <w:szCs w:val="21"/>
              </w:rPr>
              <w:t>原辅材料和能源</w:t>
            </w:r>
          </w:p>
        </w:tc>
        <w:tc>
          <w:tcPr>
            <w:tcW w:w="900" w:type="dxa"/>
            <w:noWrap w:val="0"/>
            <w:vAlign w:val="center"/>
          </w:tcPr>
          <w:p>
            <w:pPr>
              <w:jc w:val="center"/>
              <w:rPr>
                <w:rFonts w:ascii="宋体" w:hAnsi="宋体"/>
                <w:color w:val="000000"/>
                <w:szCs w:val="21"/>
              </w:rPr>
            </w:pPr>
            <w:r>
              <w:rPr>
                <w:rFonts w:hint="eastAsia" w:ascii="宋体" w:hAnsi="宋体"/>
                <w:color w:val="000000"/>
                <w:szCs w:val="21"/>
              </w:rPr>
              <w:t>F1</w:t>
            </w:r>
          </w:p>
        </w:tc>
        <w:tc>
          <w:tcPr>
            <w:tcW w:w="2517" w:type="dxa"/>
            <w:noWrap w:val="0"/>
            <w:vAlign w:val="center"/>
          </w:tcPr>
          <w:p>
            <w:pPr>
              <w:rPr>
                <w:rFonts w:ascii="宋体" w:hAnsi="宋体"/>
                <w:color w:val="000000"/>
                <w:szCs w:val="21"/>
              </w:rPr>
            </w:pPr>
            <w:r>
              <w:rPr>
                <w:rFonts w:hint="eastAsia" w:ascii="宋体" w:hAnsi="宋体"/>
                <w:color w:val="000000"/>
                <w:szCs w:val="21"/>
              </w:rPr>
              <w:t>选厂化验室路段坡面设雨水沉淀池</w:t>
            </w:r>
          </w:p>
        </w:tc>
        <w:tc>
          <w:tcPr>
            <w:tcW w:w="5282" w:type="dxa"/>
            <w:noWrap w:val="0"/>
            <w:vAlign w:val="center"/>
          </w:tcPr>
          <w:p>
            <w:pPr>
              <w:rPr>
                <w:rFonts w:hint="eastAsia" w:ascii="宋体" w:hAnsi="宋体"/>
                <w:color w:val="000000"/>
                <w:szCs w:val="21"/>
              </w:rPr>
            </w:pPr>
            <w:r>
              <w:rPr>
                <w:rFonts w:hint="eastAsia" w:ascii="宋体" w:hAnsi="宋体"/>
                <w:color w:val="000000"/>
                <w:szCs w:val="21"/>
              </w:rPr>
              <w:t>化验室道路为坡面道路，在下方设一个雨水收集沉淀池，将雨水导入厂区雨水管网综合利用</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0.1</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节约用水500吨，综合利用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263"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center"/>
          </w:tcPr>
          <w:p>
            <w:pPr>
              <w:jc w:val="center"/>
              <w:rPr>
                <w:rFonts w:ascii="宋体" w:hAnsi="宋体"/>
                <w:color w:val="000000"/>
                <w:szCs w:val="21"/>
              </w:rPr>
            </w:pPr>
            <w:r>
              <w:rPr>
                <w:rFonts w:hint="eastAsia" w:ascii="宋体" w:hAnsi="宋体"/>
                <w:color w:val="000000"/>
                <w:szCs w:val="21"/>
              </w:rPr>
              <w:t>F2</w:t>
            </w:r>
          </w:p>
        </w:tc>
        <w:tc>
          <w:tcPr>
            <w:tcW w:w="2517" w:type="dxa"/>
            <w:noWrap w:val="0"/>
            <w:vAlign w:val="top"/>
          </w:tcPr>
          <w:p>
            <w:pPr>
              <w:autoSpaceDE w:val="0"/>
              <w:autoSpaceDN w:val="0"/>
              <w:adjustRightInd w:val="0"/>
              <w:jc w:val="center"/>
              <w:rPr>
                <w:rFonts w:hint="eastAsia" w:ascii="宋体" w:hAnsi="宋体"/>
                <w:color w:val="000000"/>
                <w:szCs w:val="21"/>
              </w:rPr>
            </w:pPr>
            <w:r>
              <w:rPr>
                <w:rFonts w:hint="eastAsia" w:ascii="宋体" w:hAnsi="宋体"/>
                <w:color w:val="000000"/>
                <w:szCs w:val="21"/>
              </w:rPr>
              <w:t>原料堆场增设排水沟</w:t>
            </w:r>
          </w:p>
        </w:tc>
        <w:tc>
          <w:tcPr>
            <w:tcW w:w="5282" w:type="dxa"/>
            <w:noWrap w:val="0"/>
            <w:vAlign w:val="center"/>
          </w:tcPr>
          <w:p>
            <w:pPr>
              <w:widowControl/>
              <w:jc w:val="left"/>
              <w:rPr>
                <w:rFonts w:hint="eastAsia" w:ascii="宋体" w:hAnsi="宋体"/>
                <w:color w:val="000000"/>
                <w:szCs w:val="21"/>
              </w:rPr>
            </w:pPr>
            <w:r>
              <w:rPr>
                <w:rFonts w:hint="eastAsia" w:ascii="宋体" w:hAnsi="宋体"/>
                <w:color w:val="000000"/>
                <w:szCs w:val="21"/>
              </w:rPr>
              <w:t>原料矿堆场增设排水沟，雨水通过排水沟至污水处理车间处理回收利用</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0.5</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0.12</w:t>
            </w:r>
          </w:p>
        </w:tc>
        <w:tc>
          <w:tcPr>
            <w:tcW w:w="2520" w:type="dxa"/>
            <w:noWrap w:val="0"/>
            <w:vAlign w:val="center"/>
          </w:tcPr>
          <w:p>
            <w:pPr>
              <w:jc w:val="center"/>
              <w:rPr>
                <w:rFonts w:ascii="宋体" w:hAnsi="宋体"/>
                <w:color w:val="000000"/>
                <w:szCs w:val="21"/>
              </w:rPr>
            </w:pPr>
            <w:r>
              <w:rPr>
                <w:rFonts w:hint="eastAsia" w:ascii="宋体" w:hAnsi="宋体"/>
                <w:color w:val="000000"/>
                <w:szCs w:val="21"/>
              </w:rPr>
              <w:t>年节水600吨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253" w:hRule="atLeast"/>
          <w:jc w:val="center"/>
        </w:trPr>
        <w:tc>
          <w:tcPr>
            <w:tcW w:w="900" w:type="dxa"/>
            <w:noWrap w:val="0"/>
            <w:vAlign w:val="center"/>
          </w:tcPr>
          <w:p>
            <w:pPr>
              <w:jc w:val="center"/>
              <w:rPr>
                <w:rFonts w:hint="eastAsia" w:ascii="宋体" w:hAnsi="宋体"/>
                <w:color w:val="000000"/>
                <w:szCs w:val="21"/>
              </w:rPr>
            </w:pPr>
            <w:r>
              <w:rPr>
                <w:rFonts w:hint="eastAsia" w:ascii="宋体" w:hAnsi="宋体"/>
                <w:color w:val="000000"/>
                <w:szCs w:val="21"/>
              </w:rPr>
              <w:t>技术工艺</w:t>
            </w:r>
          </w:p>
        </w:tc>
        <w:tc>
          <w:tcPr>
            <w:tcW w:w="900" w:type="dxa"/>
            <w:noWrap w:val="0"/>
            <w:vAlign w:val="center"/>
          </w:tcPr>
          <w:p>
            <w:pPr>
              <w:jc w:val="center"/>
              <w:rPr>
                <w:rFonts w:ascii="宋体" w:hAnsi="宋体"/>
                <w:color w:val="000000"/>
                <w:szCs w:val="21"/>
              </w:rPr>
            </w:pPr>
            <w:r>
              <w:rPr>
                <w:rFonts w:hint="eastAsia" w:ascii="宋体" w:hAnsi="宋体"/>
                <w:color w:val="000000"/>
                <w:szCs w:val="21"/>
              </w:rPr>
              <w:t>F3</w:t>
            </w:r>
          </w:p>
        </w:tc>
        <w:tc>
          <w:tcPr>
            <w:tcW w:w="2517" w:type="dxa"/>
            <w:noWrap w:val="0"/>
            <w:vAlign w:val="center"/>
          </w:tcPr>
          <w:p>
            <w:pPr>
              <w:jc w:val="center"/>
              <w:rPr>
                <w:rFonts w:hint="eastAsia" w:ascii="宋体" w:hAnsi="宋体"/>
                <w:color w:val="000000"/>
                <w:szCs w:val="21"/>
              </w:rPr>
            </w:pPr>
            <w:r>
              <w:rPr>
                <w:rFonts w:hint="eastAsia" w:ascii="宋体" w:hAnsi="宋体"/>
                <w:color w:val="000000"/>
                <w:szCs w:val="21"/>
              </w:rPr>
              <w:t>改进选矿生产工艺</w:t>
            </w:r>
          </w:p>
        </w:tc>
        <w:tc>
          <w:tcPr>
            <w:tcW w:w="5282" w:type="dxa"/>
            <w:noWrap w:val="0"/>
            <w:vAlign w:val="center"/>
          </w:tcPr>
          <w:p>
            <w:pPr>
              <w:rPr>
                <w:rFonts w:hint="eastAsia" w:ascii="宋体" w:hAnsi="宋体"/>
                <w:color w:val="000000"/>
                <w:szCs w:val="21"/>
              </w:rPr>
            </w:pPr>
            <w:r>
              <w:rPr>
                <w:rFonts w:hint="eastAsia" w:ascii="宋体" w:hAnsi="宋体"/>
                <w:color w:val="000000"/>
                <w:szCs w:val="21"/>
              </w:rPr>
              <w:t>原矿品位波动较大，改进浮选、重选生产工艺，提高重金属的回收利用率</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1.5</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5</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增加产品产量,减少能源资源损耗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268" w:hRule="atLeast"/>
          <w:jc w:val="center"/>
        </w:trPr>
        <w:tc>
          <w:tcPr>
            <w:tcW w:w="900" w:type="dxa"/>
            <w:vMerge w:val="restart"/>
            <w:noWrap w:val="0"/>
            <w:vAlign w:val="center"/>
          </w:tcPr>
          <w:p>
            <w:pPr>
              <w:pStyle w:val="179"/>
              <w:spacing w:line="240" w:lineRule="auto"/>
              <w:rPr>
                <w:rFonts w:ascii="宋体" w:hAnsi="宋体"/>
                <w:color w:val="000000"/>
                <w:szCs w:val="21"/>
              </w:rPr>
            </w:pPr>
            <w:r>
              <w:rPr>
                <w:rFonts w:hint="eastAsia" w:ascii="宋体" w:hAnsi="宋体"/>
                <w:color w:val="000000"/>
                <w:szCs w:val="21"/>
              </w:rPr>
              <w:t>设备更新与维护</w:t>
            </w:r>
          </w:p>
        </w:tc>
        <w:tc>
          <w:tcPr>
            <w:tcW w:w="900" w:type="dxa"/>
            <w:noWrap w:val="0"/>
            <w:vAlign w:val="center"/>
          </w:tcPr>
          <w:p>
            <w:pPr>
              <w:jc w:val="center"/>
              <w:rPr>
                <w:rFonts w:ascii="宋体" w:hAnsi="宋体"/>
                <w:color w:val="000000"/>
                <w:szCs w:val="21"/>
              </w:rPr>
            </w:pPr>
            <w:r>
              <w:rPr>
                <w:rFonts w:hint="eastAsia" w:ascii="宋体" w:hAnsi="宋体"/>
                <w:color w:val="000000"/>
                <w:szCs w:val="21"/>
              </w:rPr>
              <w:t>F4</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淘汰高噪音风机</w:t>
            </w:r>
          </w:p>
        </w:tc>
        <w:tc>
          <w:tcPr>
            <w:tcW w:w="5282" w:type="dxa"/>
            <w:noWrap w:val="0"/>
            <w:vAlign w:val="center"/>
          </w:tcPr>
          <w:p>
            <w:pPr>
              <w:rPr>
                <w:rFonts w:hint="eastAsia" w:ascii="宋体" w:hAnsi="宋体"/>
                <w:color w:val="000000"/>
                <w:szCs w:val="21"/>
              </w:rPr>
            </w:pPr>
            <w:r>
              <w:rPr>
                <w:rFonts w:hint="eastAsia" w:ascii="宋体" w:hAnsi="宋体"/>
                <w:color w:val="000000"/>
                <w:szCs w:val="21"/>
              </w:rPr>
              <w:t>井下原用局部风机为普通局部风机为老旧风机，能耗高、噪音超标，采用新型节能风机、FK系列7替代。</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2.6</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节能降噪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268"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center"/>
          </w:tcPr>
          <w:p>
            <w:pPr>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2517" w:type="dxa"/>
            <w:noWrap w:val="0"/>
            <w:vAlign w:val="top"/>
          </w:tcPr>
          <w:p>
            <w:pPr>
              <w:rPr>
                <w:rFonts w:hint="eastAsia" w:ascii="宋体" w:hAnsi="宋体"/>
                <w:color w:val="000000"/>
                <w:szCs w:val="21"/>
              </w:rPr>
            </w:pPr>
            <w:r>
              <w:rPr>
                <w:rFonts w:hint="eastAsia" w:ascii="宋体" w:hAnsi="宋体"/>
                <w:color w:val="000000"/>
                <w:szCs w:val="21"/>
              </w:rPr>
              <w:t>选矿车间闸阀更换，管道维修</w:t>
            </w:r>
          </w:p>
        </w:tc>
        <w:tc>
          <w:tcPr>
            <w:tcW w:w="5282" w:type="dxa"/>
            <w:noWrap w:val="0"/>
            <w:vAlign w:val="top"/>
          </w:tcPr>
          <w:p>
            <w:pPr>
              <w:rPr>
                <w:rFonts w:hint="eastAsia" w:ascii="宋体" w:hAnsi="宋体"/>
                <w:color w:val="000000"/>
                <w:szCs w:val="21"/>
              </w:rPr>
            </w:pPr>
            <w:r>
              <w:rPr>
                <w:rFonts w:hint="eastAsia" w:ascii="宋体" w:hAnsi="宋体"/>
                <w:color w:val="000000"/>
                <w:szCs w:val="21"/>
              </w:rPr>
              <w:t>车间部分闸阀损坏，需更换，管道需维修和更换</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1.8</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减少跑冒滴漏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36" w:hRule="atLeast"/>
          <w:jc w:val="center"/>
        </w:trPr>
        <w:tc>
          <w:tcPr>
            <w:tcW w:w="900" w:type="dxa"/>
            <w:vMerge w:val="restart"/>
            <w:noWrap w:val="0"/>
            <w:vAlign w:val="center"/>
          </w:tcPr>
          <w:p>
            <w:pPr>
              <w:pStyle w:val="179"/>
              <w:spacing w:line="240" w:lineRule="auto"/>
              <w:rPr>
                <w:rFonts w:hint="eastAsia" w:ascii="宋体" w:hAnsi="宋体"/>
                <w:color w:val="000000"/>
                <w:szCs w:val="21"/>
              </w:rPr>
            </w:pPr>
            <w:r>
              <w:rPr>
                <w:rFonts w:hint="eastAsia" w:ascii="宋体" w:hAnsi="宋体"/>
                <w:color w:val="000000"/>
                <w:szCs w:val="21"/>
              </w:rPr>
              <w:t>废弃物回收利用</w:t>
            </w:r>
          </w:p>
        </w:tc>
        <w:tc>
          <w:tcPr>
            <w:tcW w:w="90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垃圾分类处理</w:t>
            </w:r>
          </w:p>
        </w:tc>
        <w:tc>
          <w:tcPr>
            <w:tcW w:w="5282" w:type="dxa"/>
            <w:noWrap w:val="0"/>
            <w:vAlign w:val="center"/>
          </w:tcPr>
          <w:p>
            <w:pPr>
              <w:rPr>
                <w:rFonts w:ascii="宋体" w:hAnsi="宋体"/>
                <w:color w:val="000000"/>
                <w:szCs w:val="21"/>
              </w:rPr>
            </w:pPr>
            <w:r>
              <w:rPr>
                <w:rFonts w:hint="eastAsia" w:ascii="宋体" w:hAnsi="宋体"/>
                <w:color w:val="000000"/>
                <w:szCs w:val="21"/>
              </w:rPr>
              <w:t>原矿石在采、运工艺过程中，会产生金属、塑料等不同类别垃圾，造成不同危害，建设垃圾分类集中堆放点，对不同垃圾集中分类堆放可有效解决. 建设3个1.5m³垃圾堆放室，</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1．0</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节约原材料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36"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2517" w:type="dxa"/>
            <w:noWrap w:val="0"/>
            <w:vAlign w:val="top"/>
          </w:tcPr>
          <w:p>
            <w:pPr>
              <w:pStyle w:val="130"/>
              <w:jc w:val="center"/>
              <w:rPr>
                <w:rFonts w:hint="eastAsia" w:ascii="宋体" w:hAnsi="宋体"/>
                <w:color w:val="000000"/>
              </w:rPr>
            </w:pPr>
            <w:r>
              <w:rPr>
                <w:rFonts w:hint="eastAsia" w:ascii="宋体" w:hAnsi="宋体"/>
                <w:color w:val="000000"/>
              </w:rPr>
              <w:t>药剂袋的处理</w:t>
            </w:r>
          </w:p>
        </w:tc>
        <w:tc>
          <w:tcPr>
            <w:tcW w:w="5282" w:type="dxa"/>
            <w:noWrap w:val="0"/>
            <w:vAlign w:val="top"/>
          </w:tcPr>
          <w:p>
            <w:pPr>
              <w:rPr>
                <w:rFonts w:hint="eastAsia" w:ascii="宋体" w:hAnsi="宋体"/>
                <w:color w:val="000000"/>
                <w:szCs w:val="21"/>
              </w:rPr>
            </w:pPr>
            <w:r>
              <w:rPr>
                <w:rFonts w:hint="eastAsia" w:ascii="宋体" w:hAnsi="宋体"/>
                <w:color w:val="000000"/>
                <w:szCs w:val="21"/>
              </w:rPr>
              <w:t>药剂用完后把药剂袋清理出来，还能用的，把它清理分类放好，以便以后回收利用；用不成的，把它收集起来销售到垃圾回收处理厂</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0．8</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减少废渣产生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469" w:hRule="atLeast"/>
          <w:jc w:val="center"/>
        </w:trPr>
        <w:tc>
          <w:tcPr>
            <w:tcW w:w="900" w:type="dxa"/>
            <w:vMerge w:val="restart"/>
            <w:noWrap w:val="0"/>
            <w:vAlign w:val="center"/>
          </w:tcPr>
          <w:p>
            <w:pPr>
              <w:pStyle w:val="179"/>
              <w:spacing w:line="240" w:lineRule="auto"/>
              <w:rPr>
                <w:rFonts w:ascii="宋体" w:hAnsi="宋体"/>
                <w:color w:val="000000"/>
                <w:szCs w:val="21"/>
              </w:rPr>
            </w:pPr>
            <w:r>
              <w:rPr>
                <w:rFonts w:hint="eastAsia" w:ascii="宋体" w:hAnsi="宋体"/>
                <w:color w:val="000000"/>
                <w:szCs w:val="21"/>
              </w:rPr>
              <w:t>过程控控制</w:t>
            </w:r>
          </w:p>
        </w:tc>
        <w:tc>
          <w:tcPr>
            <w:tcW w:w="90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原料矿仓增设雨棚</w:t>
            </w:r>
          </w:p>
        </w:tc>
        <w:tc>
          <w:tcPr>
            <w:tcW w:w="5282" w:type="dxa"/>
            <w:noWrap w:val="0"/>
            <w:vAlign w:val="top"/>
          </w:tcPr>
          <w:p>
            <w:pPr>
              <w:rPr>
                <w:rFonts w:hint="eastAsia" w:ascii="宋体" w:hAnsi="宋体"/>
                <w:color w:val="000000"/>
                <w:szCs w:val="21"/>
              </w:rPr>
            </w:pPr>
            <w:r>
              <w:rPr>
                <w:rFonts w:hint="eastAsia" w:ascii="宋体" w:hAnsi="宋体"/>
                <w:color w:val="000000"/>
                <w:szCs w:val="21"/>
              </w:rPr>
              <w:t>在原矿仓处增设雨棚，雨水冲刷原矿流入沉积池，至污水处理车间处理回收利用。</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0．6</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减少因风雨冲刷造成的损失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469"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磨浮尾水收集处硬化平整</w:t>
            </w:r>
          </w:p>
        </w:tc>
        <w:tc>
          <w:tcPr>
            <w:tcW w:w="5282" w:type="dxa"/>
            <w:noWrap w:val="0"/>
            <w:vAlign w:val="top"/>
          </w:tcPr>
          <w:p>
            <w:pPr>
              <w:rPr>
                <w:rFonts w:hint="eastAsia" w:ascii="宋体" w:hAnsi="宋体"/>
                <w:color w:val="000000"/>
                <w:szCs w:val="21"/>
              </w:rPr>
            </w:pPr>
            <w:r>
              <w:rPr>
                <w:rFonts w:hint="eastAsia" w:ascii="宋体" w:hAnsi="宋体"/>
                <w:color w:val="000000"/>
                <w:szCs w:val="21"/>
              </w:rPr>
              <w:t>磨浮尾水收集处因年久失修，地面不平，需硬化平整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2.3</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防止污水渗入地下造成污染,对车间渗水进行回收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469"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center"/>
          </w:tcPr>
          <w:p>
            <w:pPr>
              <w:widowControl/>
              <w:jc w:val="center"/>
              <w:rPr>
                <w:rFonts w:ascii="宋体" w:hAnsi="宋体"/>
                <w:color w:val="000000"/>
                <w:kern w:val="0"/>
                <w:szCs w:val="21"/>
              </w:rPr>
            </w:pPr>
            <w:r>
              <w:rPr>
                <w:rFonts w:hint="eastAsia" w:ascii="宋体" w:hAnsi="宋体"/>
                <w:color w:val="000000"/>
                <w:kern w:val="0"/>
                <w:szCs w:val="21"/>
              </w:rPr>
              <w:t>F10</w:t>
            </w:r>
          </w:p>
        </w:tc>
        <w:tc>
          <w:tcPr>
            <w:tcW w:w="2517" w:type="dxa"/>
            <w:noWrap w:val="0"/>
            <w:vAlign w:val="top"/>
          </w:tcPr>
          <w:p>
            <w:pPr>
              <w:pStyle w:val="130"/>
              <w:jc w:val="center"/>
              <w:rPr>
                <w:rFonts w:hint="eastAsia" w:ascii="宋体" w:hAnsi="宋体"/>
                <w:color w:val="000000"/>
              </w:rPr>
            </w:pPr>
            <w:r>
              <w:rPr>
                <w:rFonts w:hint="eastAsia" w:ascii="宋体" w:hAnsi="宋体"/>
                <w:color w:val="000000"/>
              </w:rPr>
              <w:t>原矿破碎除尘塔降尘管道嫁接</w:t>
            </w:r>
          </w:p>
        </w:tc>
        <w:tc>
          <w:tcPr>
            <w:tcW w:w="5282" w:type="dxa"/>
            <w:noWrap w:val="0"/>
            <w:vAlign w:val="top"/>
          </w:tcPr>
          <w:p>
            <w:pPr>
              <w:rPr>
                <w:rFonts w:hint="eastAsia" w:ascii="宋体" w:hAnsi="宋体"/>
                <w:color w:val="000000"/>
                <w:szCs w:val="21"/>
              </w:rPr>
            </w:pPr>
            <w:r>
              <w:rPr>
                <w:rFonts w:hint="eastAsia" w:ascii="宋体" w:hAnsi="宋体"/>
                <w:color w:val="000000"/>
                <w:szCs w:val="21"/>
              </w:rPr>
              <w:t>降尘管道污水直接接入污水车间回收利用</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加强循环水使用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469"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F11</w:t>
            </w:r>
          </w:p>
        </w:tc>
        <w:tc>
          <w:tcPr>
            <w:tcW w:w="2517" w:type="dxa"/>
            <w:noWrap w:val="0"/>
            <w:vAlign w:val="center"/>
          </w:tcPr>
          <w:p>
            <w:pPr>
              <w:jc w:val="center"/>
              <w:rPr>
                <w:rFonts w:hint="eastAsia" w:ascii="宋体" w:hAnsi="宋体"/>
                <w:color w:val="000000"/>
                <w:szCs w:val="21"/>
              </w:rPr>
            </w:pPr>
            <w:r>
              <w:rPr>
                <w:rFonts w:hint="eastAsia" w:ascii="宋体" w:hAnsi="宋体"/>
                <w:color w:val="000000"/>
                <w:szCs w:val="21"/>
              </w:rPr>
              <w:t>完善矿井渣场排水沟</w:t>
            </w:r>
          </w:p>
        </w:tc>
        <w:tc>
          <w:tcPr>
            <w:tcW w:w="5282" w:type="dxa"/>
            <w:noWrap w:val="0"/>
            <w:vAlign w:val="center"/>
          </w:tcPr>
          <w:p>
            <w:pPr>
              <w:rPr>
                <w:rFonts w:hint="eastAsia" w:ascii="宋体" w:hAnsi="宋体"/>
                <w:color w:val="000000"/>
                <w:szCs w:val="21"/>
              </w:rPr>
            </w:pPr>
            <w:r>
              <w:rPr>
                <w:rFonts w:hint="eastAsia" w:ascii="宋体" w:hAnsi="宋体"/>
                <w:color w:val="000000"/>
                <w:szCs w:val="21"/>
              </w:rPr>
              <w:t>井口公路一侧排水沟直接流入矿场，将公路雨水沟截流排出渣场底小河。</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0．45</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减少公路污水进入厂区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469"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F12</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井下投放垃圾桶</w:t>
            </w:r>
          </w:p>
        </w:tc>
        <w:tc>
          <w:tcPr>
            <w:tcW w:w="5282" w:type="dxa"/>
            <w:noWrap w:val="0"/>
            <w:vAlign w:val="center"/>
          </w:tcPr>
          <w:p>
            <w:pPr>
              <w:rPr>
                <w:rFonts w:ascii="宋体" w:hAnsi="宋体"/>
                <w:color w:val="000000"/>
                <w:szCs w:val="21"/>
              </w:rPr>
            </w:pPr>
            <w:r>
              <w:rPr>
                <w:rFonts w:hint="eastAsia" w:ascii="宋体" w:hAnsi="宋体"/>
                <w:color w:val="000000"/>
                <w:szCs w:val="21"/>
              </w:rPr>
              <w:t>矿山井下垃圾处理随原矿运输至选厂，造成二次污染，分拣困难,购买10个垃圾桶，</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0．28</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规范垃圾收集管理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F13</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建设污水沉淀池</w:t>
            </w:r>
          </w:p>
        </w:tc>
        <w:tc>
          <w:tcPr>
            <w:tcW w:w="5282" w:type="dxa"/>
            <w:noWrap w:val="0"/>
            <w:vAlign w:val="center"/>
          </w:tcPr>
          <w:p>
            <w:pPr>
              <w:rPr>
                <w:rFonts w:ascii="宋体" w:hAnsi="宋体"/>
                <w:color w:val="000000"/>
                <w:szCs w:val="21"/>
              </w:rPr>
            </w:pPr>
            <w:r>
              <w:rPr>
                <w:rFonts w:hint="eastAsia" w:ascii="宋体" w:hAnsi="宋体"/>
                <w:color w:val="000000"/>
                <w:szCs w:val="21"/>
              </w:rPr>
              <w:t>矿山食堂产生污水及垃圾未处理直接排放，造成环境污染，建设沉淀池，污水及食物在沉淀池沉淀分离，经发酵后，可作有机肥用于农业生产施肥. 建设2个1.5m³污水沉淀池</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1.3</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杜绝污水未经处理排放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F14</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建设废机油存放点</w:t>
            </w:r>
          </w:p>
        </w:tc>
        <w:tc>
          <w:tcPr>
            <w:tcW w:w="5282" w:type="dxa"/>
            <w:noWrap w:val="0"/>
            <w:vAlign w:val="center"/>
          </w:tcPr>
          <w:p>
            <w:pPr>
              <w:rPr>
                <w:rFonts w:ascii="宋体" w:hAnsi="宋体"/>
                <w:color w:val="000000"/>
                <w:szCs w:val="21"/>
              </w:rPr>
            </w:pPr>
            <w:r>
              <w:rPr>
                <w:rFonts w:hint="eastAsia" w:ascii="宋体" w:hAnsi="宋体"/>
                <w:color w:val="000000"/>
                <w:szCs w:val="21"/>
              </w:rPr>
              <w:t>矿山未建立废机油回收存放点，导致废机油在回收存放时，没有集中统一分类堆放，存在环境安全隐患</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ascii="宋体" w:hAnsi="宋体"/>
                <w:color w:val="000000"/>
                <w:szCs w:val="21"/>
              </w:rPr>
            </w:pPr>
            <w:r>
              <w:rPr>
                <w:rFonts w:hint="eastAsia" w:ascii="宋体" w:hAnsi="宋体"/>
                <w:color w:val="000000"/>
                <w:szCs w:val="21"/>
              </w:rPr>
              <w:t>规范危险废物管理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F15</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集中处理生活垃圾</w:t>
            </w:r>
          </w:p>
        </w:tc>
        <w:tc>
          <w:tcPr>
            <w:tcW w:w="5282" w:type="dxa"/>
            <w:noWrap w:val="0"/>
            <w:vAlign w:val="center"/>
          </w:tcPr>
          <w:p>
            <w:pPr>
              <w:rPr>
                <w:rFonts w:ascii="宋体" w:hAnsi="宋体"/>
                <w:color w:val="000000"/>
                <w:szCs w:val="21"/>
              </w:rPr>
            </w:pPr>
            <w:r>
              <w:rPr>
                <w:rFonts w:hint="eastAsia" w:ascii="宋体" w:hAnsi="宋体"/>
                <w:color w:val="000000"/>
                <w:szCs w:val="21"/>
              </w:rPr>
              <w:t>矿山与当地政府协议出资，投放垃圾桶5个，由政府对矿山垃圾运输至集中点处理</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1.0</w:t>
            </w:r>
          </w:p>
        </w:tc>
        <w:tc>
          <w:tcPr>
            <w:tcW w:w="1080" w:type="dxa"/>
            <w:noWrap w:val="0"/>
            <w:vAlign w:val="center"/>
          </w:tcPr>
          <w:p>
            <w:pPr>
              <w:tabs>
                <w:tab w:val="left" w:pos="451"/>
              </w:tabs>
              <w:spacing w:line="300" w:lineRule="exact"/>
              <w:ind w:firstLine="105" w:firstLineChars="50"/>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top"/>
          </w:tcPr>
          <w:p>
            <w:pPr>
              <w:jc w:val="center"/>
              <w:rPr>
                <w:rFonts w:hint="eastAsia" w:ascii="宋体" w:hAnsi="宋体"/>
                <w:color w:val="000000"/>
                <w:szCs w:val="21"/>
              </w:rPr>
            </w:pPr>
            <w:r>
              <w:rPr>
                <w:rFonts w:hint="eastAsia" w:ascii="宋体" w:hAnsi="宋体"/>
                <w:color w:val="000000"/>
                <w:szCs w:val="21"/>
              </w:rPr>
              <w:t>规范垃圾收集处置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F16</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井下照明采用节能灯</w:t>
            </w:r>
          </w:p>
        </w:tc>
        <w:tc>
          <w:tcPr>
            <w:tcW w:w="5282" w:type="dxa"/>
            <w:noWrap w:val="0"/>
            <w:vAlign w:val="center"/>
          </w:tcPr>
          <w:p>
            <w:pPr>
              <w:rPr>
                <w:rFonts w:hint="eastAsia" w:ascii="宋体" w:hAnsi="宋体"/>
                <w:color w:val="000000"/>
                <w:szCs w:val="21"/>
              </w:rPr>
            </w:pPr>
            <w:r>
              <w:rPr>
                <w:rFonts w:hint="eastAsia" w:ascii="宋体" w:hAnsi="宋体"/>
                <w:color w:val="000000"/>
                <w:szCs w:val="21"/>
              </w:rPr>
              <w:t>矿山井下由于井下环境，所有巷道、采场必须24小时照明，所采用照明灯泡为普通照明灯，不节能、耗电高，且发热导致输电线、灯头烧坏</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0.5</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0.14</w:t>
            </w:r>
          </w:p>
        </w:tc>
        <w:tc>
          <w:tcPr>
            <w:tcW w:w="2520" w:type="dxa"/>
            <w:noWrap w:val="0"/>
            <w:vAlign w:val="top"/>
          </w:tcPr>
          <w:p>
            <w:pPr>
              <w:jc w:val="center"/>
              <w:rPr>
                <w:rFonts w:hint="eastAsia" w:ascii="宋体" w:hAnsi="宋体"/>
                <w:color w:val="000000"/>
                <w:szCs w:val="21"/>
              </w:rPr>
            </w:pPr>
            <w:r>
              <w:rPr>
                <w:rFonts w:hint="eastAsia" w:ascii="宋体" w:hAnsi="宋体"/>
                <w:color w:val="000000"/>
                <w:szCs w:val="21"/>
              </w:rPr>
              <w:t>年节电2800度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F17</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原矿采用塑料布覆盖</w:t>
            </w:r>
          </w:p>
        </w:tc>
        <w:tc>
          <w:tcPr>
            <w:tcW w:w="5282" w:type="dxa"/>
            <w:noWrap w:val="0"/>
            <w:vAlign w:val="center"/>
          </w:tcPr>
          <w:p>
            <w:pPr>
              <w:rPr>
                <w:rFonts w:hint="eastAsia" w:ascii="宋体" w:hAnsi="宋体"/>
                <w:color w:val="000000"/>
                <w:szCs w:val="21"/>
              </w:rPr>
            </w:pPr>
            <w:r>
              <w:rPr>
                <w:rFonts w:hint="eastAsia" w:ascii="宋体" w:hAnsi="宋体"/>
                <w:color w:val="000000"/>
                <w:szCs w:val="21"/>
              </w:rPr>
              <w:t>矿山开采原矿因选矿处理能力不能对提升出井原矿全部处理，至部分原矿需露天堆放，雨水冲洗导致重金属污染</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0.48</w:t>
            </w: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1.5</w:t>
            </w:r>
          </w:p>
        </w:tc>
        <w:tc>
          <w:tcPr>
            <w:tcW w:w="2520" w:type="dxa"/>
            <w:noWrap w:val="0"/>
            <w:vAlign w:val="top"/>
          </w:tcPr>
          <w:p>
            <w:pPr>
              <w:jc w:val="center"/>
              <w:rPr>
                <w:rFonts w:hint="eastAsia" w:ascii="宋体" w:hAnsi="宋体"/>
                <w:color w:val="000000"/>
                <w:szCs w:val="21"/>
              </w:rPr>
            </w:pPr>
            <w:r>
              <w:rPr>
                <w:rFonts w:hint="eastAsia" w:ascii="宋体" w:hAnsi="宋体"/>
                <w:color w:val="000000"/>
                <w:szCs w:val="21"/>
              </w:rPr>
              <w:t>防止雨水冲洗导致重金属污染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F18</w:t>
            </w:r>
          </w:p>
        </w:tc>
        <w:tc>
          <w:tcPr>
            <w:tcW w:w="2517" w:type="dxa"/>
            <w:noWrap w:val="0"/>
            <w:vAlign w:val="center"/>
          </w:tcPr>
          <w:p>
            <w:pPr>
              <w:jc w:val="center"/>
              <w:rPr>
                <w:rFonts w:ascii="宋体" w:hAnsi="宋体"/>
                <w:color w:val="000000"/>
                <w:szCs w:val="21"/>
              </w:rPr>
            </w:pPr>
            <w:r>
              <w:rPr>
                <w:rFonts w:hint="eastAsia" w:ascii="宋体" w:hAnsi="宋体"/>
                <w:color w:val="000000"/>
                <w:szCs w:val="21"/>
              </w:rPr>
              <w:t>定期对井下地下水采样跟踪</w:t>
            </w:r>
          </w:p>
        </w:tc>
        <w:tc>
          <w:tcPr>
            <w:tcW w:w="5282" w:type="dxa"/>
            <w:noWrap w:val="0"/>
            <w:vAlign w:val="center"/>
          </w:tcPr>
          <w:p>
            <w:pPr>
              <w:rPr>
                <w:rFonts w:hint="eastAsia" w:ascii="宋体" w:hAnsi="宋体"/>
                <w:color w:val="000000"/>
                <w:szCs w:val="21"/>
              </w:rPr>
            </w:pPr>
            <w:r>
              <w:rPr>
                <w:rFonts w:hint="eastAsia" w:ascii="宋体" w:hAnsi="宋体"/>
                <w:color w:val="000000"/>
                <w:szCs w:val="21"/>
              </w:rPr>
              <w:t>井下因受地质构造影响，出现大量地下水需向块泽河排放，若不对外排水进行有害因素监测，造成环境污染。定期取样送第三方有资质单位对水质进行化验，防止造成重金属环境污染。</w:t>
            </w:r>
          </w:p>
        </w:tc>
        <w:tc>
          <w:tcPr>
            <w:tcW w:w="1080" w:type="dxa"/>
            <w:noWrap w:val="0"/>
            <w:vAlign w:val="top"/>
          </w:tcPr>
          <w:p>
            <w:pPr>
              <w:jc w:val="center"/>
              <w:rPr>
                <w:rFonts w:ascii="宋体" w:hAnsi="宋体"/>
                <w:color w:val="000000"/>
                <w:szCs w:val="21"/>
              </w:rPr>
            </w:pPr>
          </w:p>
        </w:tc>
        <w:tc>
          <w:tcPr>
            <w:tcW w:w="1080" w:type="dxa"/>
            <w:noWrap w:val="0"/>
            <w:vAlign w:val="top"/>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top"/>
          </w:tcPr>
          <w:p>
            <w:pPr>
              <w:jc w:val="center"/>
              <w:rPr>
                <w:rFonts w:hint="eastAsia" w:ascii="宋体" w:hAnsi="宋体"/>
                <w:color w:val="000000"/>
                <w:szCs w:val="21"/>
              </w:rPr>
            </w:pPr>
            <w:r>
              <w:rPr>
                <w:rFonts w:hint="eastAsia" w:ascii="宋体" w:hAnsi="宋体"/>
                <w:color w:val="000000"/>
                <w:szCs w:val="21"/>
              </w:rPr>
              <w:t>防止井下涌水超标排放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F19</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选矿车间房顶落水管道改造</w:t>
            </w:r>
          </w:p>
        </w:tc>
        <w:tc>
          <w:tcPr>
            <w:tcW w:w="5282" w:type="dxa"/>
            <w:noWrap w:val="0"/>
            <w:vAlign w:val="top"/>
          </w:tcPr>
          <w:p>
            <w:pPr>
              <w:rPr>
                <w:rFonts w:hint="eastAsia" w:ascii="宋体" w:hAnsi="宋体"/>
                <w:color w:val="000000"/>
                <w:szCs w:val="21"/>
              </w:rPr>
            </w:pPr>
            <w:r>
              <w:rPr>
                <w:rFonts w:hint="eastAsia" w:ascii="宋体" w:hAnsi="宋体"/>
                <w:color w:val="000000"/>
                <w:szCs w:val="21"/>
              </w:rPr>
              <w:t>选矿车间房顶下水管道年久失修，需更换接入排水沟，形成雨污分流。</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1.5</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防止跑冒滴漏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F20</w:t>
            </w:r>
          </w:p>
        </w:tc>
        <w:tc>
          <w:tcPr>
            <w:tcW w:w="2517" w:type="dxa"/>
            <w:noWrap w:val="0"/>
            <w:vAlign w:val="top"/>
          </w:tcPr>
          <w:p>
            <w:pPr>
              <w:autoSpaceDE w:val="0"/>
              <w:autoSpaceDN w:val="0"/>
              <w:adjustRightInd w:val="0"/>
              <w:jc w:val="center"/>
              <w:rPr>
                <w:rFonts w:hint="eastAsia" w:ascii="宋体" w:hAnsi="宋体" w:cs="宋体"/>
                <w:color w:val="000000"/>
                <w:kern w:val="0"/>
                <w:szCs w:val="21"/>
              </w:rPr>
            </w:pPr>
            <w:r>
              <w:rPr>
                <w:rFonts w:hint="eastAsia" w:ascii="宋体" w:hAnsi="宋体" w:cs="宋体"/>
                <w:color w:val="000000"/>
                <w:kern w:val="0"/>
                <w:szCs w:val="21"/>
              </w:rPr>
              <w:t>磨浮工段底部增设沉淀池</w:t>
            </w:r>
          </w:p>
        </w:tc>
        <w:tc>
          <w:tcPr>
            <w:tcW w:w="5282" w:type="dxa"/>
            <w:noWrap w:val="0"/>
            <w:vAlign w:val="top"/>
          </w:tcPr>
          <w:p>
            <w:pPr>
              <w:autoSpaceDE w:val="0"/>
              <w:autoSpaceDN w:val="0"/>
              <w:adjustRightInd w:val="0"/>
              <w:rPr>
                <w:rFonts w:hint="eastAsia" w:ascii="宋体" w:hAnsi="宋体" w:cs="宋体"/>
                <w:color w:val="000000"/>
                <w:kern w:val="0"/>
                <w:szCs w:val="21"/>
              </w:rPr>
            </w:pPr>
            <w:r>
              <w:rPr>
                <w:rFonts w:hint="eastAsia" w:ascii="宋体" w:hAnsi="宋体" w:cs="宋体"/>
                <w:color w:val="000000"/>
                <w:kern w:val="0"/>
                <w:szCs w:val="21"/>
              </w:rPr>
              <w:t>增设铅、锌两个沉淀池，检修及故障处理期间冲洗槽壁设施用水量大，回收利用</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0.45</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加强生产废水循环使用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F21</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精矿堆场增设洗车器</w:t>
            </w:r>
          </w:p>
        </w:tc>
        <w:tc>
          <w:tcPr>
            <w:tcW w:w="5282" w:type="dxa"/>
            <w:noWrap w:val="0"/>
            <w:vAlign w:val="top"/>
          </w:tcPr>
          <w:p>
            <w:pPr>
              <w:rPr>
                <w:rFonts w:hint="eastAsia" w:ascii="宋体" w:hAnsi="宋体"/>
                <w:color w:val="000000"/>
                <w:szCs w:val="21"/>
              </w:rPr>
            </w:pPr>
            <w:r>
              <w:rPr>
                <w:rFonts w:hint="eastAsia" w:ascii="宋体" w:hAnsi="宋体"/>
                <w:color w:val="000000"/>
                <w:szCs w:val="21"/>
              </w:rPr>
              <w:t>运输及装运车辆出入精矿堆场，必须冲洗车厢和轮胎，避免精矿随轮胎带出精矿区域</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1.2</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防止汽车轮胎带精矿进入外部环境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F22</w:t>
            </w:r>
          </w:p>
        </w:tc>
        <w:tc>
          <w:tcPr>
            <w:tcW w:w="2517" w:type="dxa"/>
            <w:noWrap w:val="0"/>
            <w:vAlign w:val="center"/>
          </w:tcPr>
          <w:p>
            <w:pPr>
              <w:jc w:val="center"/>
              <w:rPr>
                <w:rFonts w:hint="eastAsia" w:ascii="宋体" w:hAnsi="宋体"/>
                <w:color w:val="000000"/>
                <w:szCs w:val="21"/>
              </w:rPr>
            </w:pPr>
            <w:r>
              <w:rPr>
                <w:rFonts w:hint="eastAsia" w:ascii="宋体" w:hAnsi="宋体"/>
                <w:color w:val="000000"/>
                <w:szCs w:val="21"/>
              </w:rPr>
              <w:t>质检科增设废液收集池</w:t>
            </w:r>
          </w:p>
        </w:tc>
        <w:tc>
          <w:tcPr>
            <w:tcW w:w="5282" w:type="dxa"/>
            <w:noWrap w:val="0"/>
            <w:vAlign w:val="center"/>
          </w:tcPr>
          <w:p>
            <w:pPr>
              <w:rPr>
                <w:rFonts w:hint="eastAsia" w:ascii="宋体" w:hAnsi="宋体"/>
                <w:color w:val="000000"/>
                <w:szCs w:val="21"/>
              </w:rPr>
            </w:pPr>
            <w:r>
              <w:rPr>
                <w:rFonts w:hint="eastAsia" w:ascii="宋体" w:hAnsi="宋体"/>
                <w:color w:val="000000"/>
                <w:szCs w:val="21"/>
              </w:rPr>
              <w:t>增设铅、锌废液收集池两个，收集清洗化验容器废水。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做好废水收集处理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F23</w:t>
            </w:r>
          </w:p>
        </w:tc>
        <w:tc>
          <w:tcPr>
            <w:tcW w:w="2517" w:type="dxa"/>
            <w:noWrap w:val="0"/>
            <w:vAlign w:val="center"/>
          </w:tcPr>
          <w:p>
            <w:pPr>
              <w:jc w:val="center"/>
              <w:rPr>
                <w:rFonts w:hint="eastAsia" w:ascii="宋体" w:hAnsi="宋体"/>
                <w:color w:val="000000"/>
                <w:szCs w:val="21"/>
              </w:rPr>
            </w:pPr>
            <w:r>
              <w:rPr>
                <w:rFonts w:hint="eastAsia" w:ascii="宋体" w:hAnsi="宋体"/>
                <w:color w:val="000000"/>
                <w:szCs w:val="21"/>
              </w:rPr>
              <w:t>采矿井口完善井下涌水沉淀池</w:t>
            </w:r>
          </w:p>
        </w:tc>
        <w:tc>
          <w:tcPr>
            <w:tcW w:w="5282" w:type="dxa"/>
            <w:noWrap w:val="0"/>
            <w:vAlign w:val="center"/>
          </w:tcPr>
          <w:p>
            <w:pPr>
              <w:rPr>
                <w:rFonts w:hint="eastAsia" w:ascii="宋体" w:hAnsi="宋体"/>
                <w:color w:val="000000"/>
                <w:szCs w:val="21"/>
              </w:rPr>
            </w:pPr>
            <w:r>
              <w:rPr>
                <w:rFonts w:hint="eastAsia" w:ascii="宋体" w:hAnsi="宋体"/>
                <w:color w:val="000000"/>
                <w:szCs w:val="21"/>
              </w:rPr>
              <w:t>将井下涌水进行收集沉淀后再经渠道排入坝下小河</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3.7</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经沉淀后外排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311"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F24</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完善选矿厂雨污分流系统</w:t>
            </w:r>
          </w:p>
        </w:tc>
        <w:tc>
          <w:tcPr>
            <w:tcW w:w="5282" w:type="dxa"/>
            <w:noWrap w:val="0"/>
            <w:vAlign w:val="top"/>
          </w:tcPr>
          <w:p>
            <w:pPr>
              <w:rPr>
                <w:rFonts w:hint="eastAsia" w:ascii="宋体" w:hAnsi="宋体"/>
                <w:color w:val="000000"/>
                <w:szCs w:val="21"/>
              </w:rPr>
            </w:pPr>
            <w:r>
              <w:rPr>
                <w:rFonts w:hint="eastAsia" w:ascii="宋体" w:hAnsi="宋体"/>
                <w:color w:val="000000"/>
                <w:szCs w:val="21"/>
              </w:rPr>
              <w:t>将选矿原料、破碎生产区，渣水分离工作区，矿办公区雨水统一收集到沟下面收集池，用于收集初期雨水。同时可将收集的雨水回用于生产，节约资源。对选矿区的浮选车间，精矿车间的污水（包含雨水）全部收集于污水池。</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70</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15</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年节水25000吨.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47"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F25</w:t>
            </w:r>
          </w:p>
        </w:tc>
        <w:tc>
          <w:tcPr>
            <w:tcW w:w="2517" w:type="dxa"/>
            <w:noWrap w:val="0"/>
            <w:vAlign w:val="center"/>
          </w:tcPr>
          <w:p>
            <w:pPr>
              <w:jc w:val="center"/>
              <w:rPr>
                <w:rFonts w:hint="eastAsia" w:ascii="宋体" w:hAnsi="宋体"/>
                <w:color w:val="000000"/>
                <w:szCs w:val="21"/>
              </w:rPr>
            </w:pPr>
            <w:r>
              <w:rPr>
                <w:rFonts w:hint="eastAsia" w:ascii="宋体" w:hAnsi="宋体"/>
                <w:color w:val="000000"/>
                <w:szCs w:val="21"/>
              </w:rPr>
              <w:t>精矿库维护改造</w:t>
            </w:r>
          </w:p>
        </w:tc>
        <w:tc>
          <w:tcPr>
            <w:tcW w:w="5282" w:type="dxa"/>
            <w:noWrap w:val="0"/>
            <w:vAlign w:val="center"/>
          </w:tcPr>
          <w:p>
            <w:pPr>
              <w:rPr>
                <w:rFonts w:hint="eastAsia" w:ascii="宋体" w:hAnsi="宋体"/>
                <w:color w:val="000000"/>
                <w:szCs w:val="21"/>
              </w:rPr>
            </w:pPr>
            <w:r>
              <w:rPr>
                <w:rFonts w:hint="eastAsia" w:ascii="宋体" w:hAnsi="宋体"/>
                <w:color w:val="000000"/>
                <w:szCs w:val="21"/>
              </w:rPr>
              <w:t>对精矿库地面进行防渗、固化，对库房进行封闭、维护。</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20</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8</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防止精矿渗入地下或外部环境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109" w:hRule="atLeast"/>
          <w:jc w:val="center"/>
        </w:trPr>
        <w:tc>
          <w:tcPr>
            <w:tcW w:w="900" w:type="dxa"/>
            <w:vMerge w:val="restart"/>
            <w:noWrap w:val="0"/>
            <w:vAlign w:val="center"/>
          </w:tcPr>
          <w:p>
            <w:pPr>
              <w:pStyle w:val="179"/>
              <w:spacing w:line="240" w:lineRule="auto"/>
              <w:rPr>
                <w:rFonts w:hint="eastAsia" w:ascii="宋体" w:hAnsi="宋体"/>
                <w:color w:val="000000"/>
                <w:szCs w:val="21"/>
              </w:rPr>
            </w:pPr>
            <w:r>
              <w:rPr>
                <w:rFonts w:hint="eastAsia" w:ascii="宋体" w:hAnsi="宋体"/>
                <w:color w:val="000000"/>
                <w:szCs w:val="21"/>
              </w:rPr>
              <w:t>管理</w:t>
            </w: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F26</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建立清洁生产管理和生产操作规程相结合管理制度</w:t>
            </w:r>
          </w:p>
        </w:tc>
        <w:tc>
          <w:tcPr>
            <w:tcW w:w="5282" w:type="dxa"/>
            <w:noWrap w:val="0"/>
            <w:vAlign w:val="top"/>
          </w:tcPr>
          <w:p>
            <w:pPr>
              <w:jc w:val="center"/>
              <w:rPr>
                <w:rFonts w:hint="eastAsia" w:ascii="宋体" w:hAnsi="宋体"/>
                <w:color w:val="000000"/>
                <w:szCs w:val="21"/>
              </w:rPr>
            </w:pPr>
            <w:r>
              <w:rPr>
                <w:rFonts w:hint="eastAsia" w:ascii="宋体" w:hAnsi="宋体"/>
                <w:color w:val="000000"/>
                <w:szCs w:val="21"/>
              </w:rPr>
              <w:t>建立公司清洁生产激励机制，鼓励员工提出合理化建议，建立并完善清洁生产管理制度，使清洁生产工作在公司内长期推行下去。</w:t>
            </w:r>
          </w:p>
        </w:tc>
        <w:tc>
          <w:tcPr>
            <w:tcW w:w="1080" w:type="dxa"/>
            <w:noWrap w:val="0"/>
            <w:vAlign w:val="center"/>
          </w:tcPr>
          <w:p>
            <w:pPr>
              <w:jc w:val="center"/>
              <w:rPr>
                <w:rFonts w:hint="eastAsia" w:ascii="宋体" w:hAnsi="宋体"/>
                <w:color w:val="000000"/>
                <w:szCs w:val="21"/>
              </w:rPr>
            </w:pP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完善清洁生产管理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109"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F27</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尾矿库堆场监测口设标志牌</w:t>
            </w:r>
          </w:p>
        </w:tc>
        <w:tc>
          <w:tcPr>
            <w:tcW w:w="5282" w:type="dxa"/>
            <w:noWrap w:val="0"/>
            <w:vAlign w:val="top"/>
          </w:tcPr>
          <w:p>
            <w:pPr>
              <w:jc w:val="center"/>
              <w:rPr>
                <w:rFonts w:hint="eastAsia" w:ascii="宋体" w:hAnsi="宋体"/>
                <w:color w:val="000000"/>
                <w:szCs w:val="21"/>
              </w:rPr>
            </w:pPr>
            <w:r>
              <w:rPr>
                <w:rFonts w:hint="eastAsia" w:ascii="宋体" w:hAnsi="宋体"/>
                <w:color w:val="000000"/>
                <w:szCs w:val="21"/>
              </w:rPr>
              <w:t>尾矿库各监测口无标志牌，需进行补充</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0.12</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规范尾矿库管理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109" w:hRule="atLeast"/>
          <w:jc w:val="center"/>
        </w:trPr>
        <w:tc>
          <w:tcPr>
            <w:tcW w:w="900" w:type="dxa"/>
            <w:vMerge w:val="continue"/>
            <w:noWrap w:val="0"/>
            <w:vAlign w:val="center"/>
          </w:tcPr>
          <w:p>
            <w:pPr>
              <w:pStyle w:val="179"/>
              <w:spacing w:line="240" w:lineRule="auto"/>
              <w:rPr>
                <w:rFonts w:hint="eastAsia" w:ascii="宋体" w:hAnsi="宋体"/>
                <w:color w:val="000000"/>
                <w:szCs w:val="21"/>
              </w:rPr>
            </w:pP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F28</w:t>
            </w:r>
          </w:p>
        </w:tc>
        <w:tc>
          <w:tcPr>
            <w:tcW w:w="2517" w:type="dxa"/>
            <w:noWrap w:val="0"/>
            <w:vAlign w:val="top"/>
          </w:tcPr>
          <w:p>
            <w:pPr>
              <w:jc w:val="center"/>
              <w:rPr>
                <w:rFonts w:hint="eastAsia" w:ascii="宋体" w:hAnsi="宋体"/>
                <w:color w:val="000000"/>
                <w:szCs w:val="21"/>
              </w:rPr>
            </w:pPr>
            <w:r>
              <w:rPr>
                <w:rFonts w:hint="eastAsia" w:ascii="宋体" w:hAnsi="宋体"/>
                <w:color w:val="000000"/>
                <w:szCs w:val="21"/>
              </w:rPr>
              <w:t>尾矿库设危废间暂存水处理污泥</w:t>
            </w:r>
          </w:p>
        </w:tc>
        <w:tc>
          <w:tcPr>
            <w:tcW w:w="5282" w:type="dxa"/>
            <w:noWrap w:val="0"/>
            <w:vAlign w:val="top"/>
          </w:tcPr>
          <w:p>
            <w:pPr>
              <w:jc w:val="center"/>
              <w:rPr>
                <w:rFonts w:hint="eastAsia" w:ascii="宋体" w:hAnsi="宋体"/>
                <w:color w:val="000000"/>
                <w:szCs w:val="21"/>
              </w:rPr>
            </w:pPr>
            <w:r>
              <w:rPr>
                <w:rFonts w:hint="eastAsia" w:ascii="宋体" w:hAnsi="宋体"/>
                <w:color w:val="000000"/>
                <w:szCs w:val="21"/>
              </w:rPr>
              <w:t>水处理污泥属危险废物,需收集管理,规范处置</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规范危险废物管理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cantSplit/>
          <w:trHeight w:val="109" w:hRule="atLeast"/>
          <w:jc w:val="center"/>
        </w:trPr>
        <w:tc>
          <w:tcPr>
            <w:tcW w:w="900" w:type="dxa"/>
            <w:noWrap w:val="0"/>
            <w:vAlign w:val="center"/>
          </w:tcPr>
          <w:p>
            <w:pPr>
              <w:pStyle w:val="179"/>
              <w:spacing w:line="240" w:lineRule="auto"/>
              <w:rPr>
                <w:rFonts w:hint="eastAsia" w:ascii="宋体" w:hAnsi="宋体"/>
                <w:color w:val="000000"/>
                <w:szCs w:val="21"/>
              </w:rPr>
            </w:pPr>
            <w:r>
              <w:rPr>
                <w:rFonts w:hint="eastAsia" w:ascii="宋体" w:hAnsi="宋体"/>
                <w:color w:val="000000"/>
                <w:szCs w:val="21"/>
              </w:rPr>
              <w:t>员工</w:t>
            </w:r>
          </w:p>
        </w:tc>
        <w:tc>
          <w:tcPr>
            <w:tcW w:w="90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F29</w:t>
            </w:r>
          </w:p>
        </w:tc>
        <w:tc>
          <w:tcPr>
            <w:tcW w:w="2517" w:type="dxa"/>
            <w:noWrap w:val="0"/>
            <w:vAlign w:val="top"/>
          </w:tcPr>
          <w:p>
            <w:pPr>
              <w:rPr>
                <w:rFonts w:ascii="宋体" w:hAnsi="宋体"/>
                <w:color w:val="000000"/>
                <w:szCs w:val="21"/>
              </w:rPr>
            </w:pPr>
            <w:r>
              <w:rPr>
                <w:rFonts w:hint="eastAsia" w:ascii="宋体" w:hAnsi="宋体"/>
                <w:color w:val="000000"/>
                <w:szCs w:val="21"/>
              </w:rPr>
              <w:t>对车间员工进行设备维护和使用培训</w:t>
            </w:r>
          </w:p>
        </w:tc>
        <w:tc>
          <w:tcPr>
            <w:tcW w:w="5282" w:type="dxa"/>
            <w:noWrap w:val="0"/>
            <w:vAlign w:val="top"/>
          </w:tcPr>
          <w:p>
            <w:pPr>
              <w:jc w:val="center"/>
              <w:rPr>
                <w:rFonts w:hint="eastAsia" w:ascii="宋体" w:hAnsi="宋体"/>
                <w:color w:val="000000"/>
                <w:szCs w:val="21"/>
              </w:rPr>
            </w:pPr>
            <w:r>
              <w:rPr>
                <w:rFonts w:hint="eastAsia" w:ascii="宋体" w:hAnsi="宋体"/>
                <w:color w:val="000000"/>
                <w:szCs w:val="21"/>
              </w:rPr>
              <w:t>车间主要设备操作应由经培训过的专业人员操作，以免因操作不当造成的损坏以及发生机械事故。</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0.6</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2520" w:type="dxa"/>
            <w:noWrap w:val="0"/>
            <w:vAlign w:val="center"/>
          </w:tcPr>
          <w:p>
            <w:pPr>
              <w:jc w:val="center"/>
              <w:rPr>
                <w:rFonts w:hint="eastAsia" w:ascii="宋体" w:hAnsi="宋体"/>
                <w:color w:val="000000"/>
                <w:szCs w:val="21"/>
              </w:rPr>
            </w:pPr>
            <w:r>
              <w:rPr>
                <w:rFonts w:hint="eastAsia" w:ascii="宋体" w:hAnsi="宋体"/>
                <w:color w:val="000000"/>
                <w:szCs w:val="21"/>
              </w:rPr>
              <w:t>加强设备管理及生产操作管理</w:t>
            </w:r>
          </w:p>
        </w:tc>
      </w:tr>
    </w:tbl>
    <w:p>
      <w:pPr>
        <w:tabs>
          <w:tab w:val="left" w:pos="0"/>
        </w:tabs>
        <w:jc w:val="left"/>
        <w:rPr>
          <w:rFonts w:hint="eastAsia" w:ascii="宋体" w:hAnsi="宋体"/>
          <w:color w:val="000000"/>
          <w:sz w:val="24"/>
        </w:rPr>
      </w:pPr>
    </w:p>
    <w:p>
      <w:pPr>
        <w:rPr>
          <w:color w:val="000000"/>
        </w:rPr>
      </w:pPr>
    </w:p>
    <w:p>
      <w:pPr>
        <w:pStyle w:val="4"/>
        <w:spacing w:line="360" w:lineRule="auto"/>
        <w:jc w:val="left"/>
        <w:rPr>
          <w:rFonts w:hint="eastAsia" w:ascii="宋体" w:hAnsi="宋体" w:eastAsia="宋体"/>
          <w:color w:val="000000"/>
          <w:lang w:val="zh-CN"/>
        </w:rPr>
        <w:sectPr>
          <w:pgSz w:w="16838" w:h="11906" w:orient="landscape"/>
          <w:pgMar w:top="1418" w:right="1247" w:bottom="1418" w:left="1247" w:header="720" w:footer="720" w:gutter="0"/>
          <w:cols w:space="720" w:num="1"/>
          <w:titlePg/>
        </w:sectPr>
      </w:pPr>
    </w:p>
    <w:p>
      <w:pPr>
        <w:pStyle w:val="4"/>
        <w:rPr>
          <w:rFonts w:hint="eastAsia"/>
          <w:color w:val="000000"/>
        </w:rPr>
      </w:pPr>
      <w:bookmarkStart w:id="420" w:name="_Toc23000910"/>
      <w:r>
        <w:rPr>
          <w:rFonts w:hint="eastAsia"/>
          <w:color w:val="000000"/>
        </w:rPr>
        <w:t>4.2方案的筛选</w:t>
      </w:r>
      <w:bookmarkEnd w:id="420"/>
    </w:p>
    <w:p>
      <w:pPr>
        <w:pStyle w:val="5"/>
        <w:rPr>
          <w:rFonts w:hint="eastAsia"/>
          <w:color w:val="000000"/>
        </w:rPr>
      </w:pPr>
      <w:bookmarkStart w:id="421" w:name="_Toc23000911"/>
      <w:r>
        <w:rPr>
          <w:rFonts w:hint="eastAsia"/>
          <w:color w:val="000000"/>
        </w:rPr>
        <w:t>4.2.1 方案的简易筛选</w:t>
      </w:r>
      <w:bookmarkEnd w:id="421"/>
    </w:p>
    <w:p>
      <w:pPr>
        <w:tabs>
          <w:tab w:val="left" w:pos="0"/>
        </w:tabs>
        <w:spacing w:line="360" w:lineRule="auto"/>
        <w:ind w:left="18" w:firstLine="463" w:firstLineChars="193"/>
        <w:jc w:val="left"/>
        <w:rPr>
          <w:rFonts w:hint="eastAsia" w:ascii="宋体" w:hAnsi="宋体"/>
          <w:color w:val="000000"/>
          <w:sz w:val="24"/>
        </w:rPr>
      </w:pPr>
      <w:r>
        <w:rPr>
          <w:rFonts w:hint="eastAsia" w:ascii="宋体" w:hAnsi="宋体"/>
          <w:color w:val="000000"/>
          <w:sz w:val="24"/>
        </w:rPr>
        <w:t>公司领导和审核小组从技术可行性、环境可行性、经济可行性、实施难易程度等方面对清洁生产方案进行了讨论和分析，对备选方案进行了初步的筛选，筛选情况见表4-2。</w:t>
      </w:r>
    </w:p>
    <w:p>
      <w:pPr>
        <w:tabs>
          <w:tab w:val="left" w:pos="0"/>
        </w:tabs>
        <w:spacing w:line="320" w:lineRule="exact"/>
        <w:jc w:val="center"/>
        <w:rPr>
          <w:rFonts w:hint="eastAsia" w:ascii="宋体" w:hAnsi="宋体"/>
          <w:b/>
          <w:color w:val="000000"/>
          <w:sz w:val="24"/>
        </w:rPr>
      </w:pPr>
      <w:r>
        <w:rPr>
          <w:rFonts w:hint="eastAsia" w:ascii="宋体" w:hAnsi="宋体"/>
          <w:b/>
          <w:color w:val="000000"/>
          <w:sz w:val="24"/>
        </w:rPr>
        <w:t>表4-2 清洁生产方案简易筛选表</w:t>
      </w:r>
    </w:p>
    <w:tbl>
      <w:tblPr>
        <w:tblStyle w:val="35"/>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2"/>
        <w:gridCol w:w="3310"/>
        <w:gridCol w:w="948"/>
        <w:gridCol w:w="900"/>
        <w:gridCol w:w="900"/>
        <w:gridCol w:w="900"/>
        <w:gridCol w:w="914"/>
        <w:gridCol w:w="12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tblHeader/>
          <w:jc w:val="center"/>
        </w:trPr>
        <w:tc>
          <w:tcPr>
            <w:tcW w:w="682"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编号</w:t>
            </w:r>
          </w:p>
        </w:tc>
        <w:tc>
          <w:tcPr>
            <w:tcW w:w="3310"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方案名称</w:t>
            </w:r>
          </w:p>
        </w:tc>
        <w:tc>
          <w:tcPr>
            <w:tcW w:w="4562" w:type="dxa"/>
            <w:gridSpan w:val="5"/>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简  易  分  析</w:t>
            </w:r>
          </w:p>
        </w:tc>
        <w:tc>
          <w:tcPr>
            <w:tcW w:w="1223" w:type="dxa"/>
            <w:vMerge w:val="restart"/>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结论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32" w:hRule="atLeast"/>
          <w:tblHeader/>
          <w:jc w:val="center"/>
        </w:trPr>
        <w:tc>
          <w:tcPr>
            <w:tcW w:w="682"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320" w:lineRule="exact"/>
              <w:jc w:val="center"/>
              <w:rPr>
                <w:rFonts w:hint="eastAsia" w:ascii="宋体" w:hAnsi="宋体"/>
                <w:bCs/>
                <w:color w:val="000000"/>
                <w:szCs w:val="21"/>
              </w:rPr>
            </w:pPr>
          </w:p>
        </w:tc>
        <w:tc>
          <w:tcPr>
            <w:tcW w:w="3310"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320" w:lineRule="exact"/>
              <w:jc w:val="center"/>
              <w:rPr>
                <w:rFonts w:hint="eastAsia" w:ascii="宋体" w:hAnsi="宋体"/>
                <w:bCs/>
                <w:color w:val="000000"/>
                <w:szCs w:val="21"/>
              </w:rPr>
            </w:pP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技术</w:t>
            </w:r>
          </w:p>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环境</w:t>
            </w:r>
          </w:p>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经济</w:t>
            </w:r>
          </w:p>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可行性</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实施难易程度</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对生产和产品的影响</w:t>
            </w:r>
          </w:p>
        </w:tc>
        <w:tc>
          <w:tcPr>
            <w:tcW w:w="1223"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320" w:lineRule="exact"/>
              <w:jc w:val="center"/>
              <w:rPr>
                <w:rFonts w:hint="eastAsia" w:ascii="宋体" w:hAnsi="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F1</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选厂化验室路段坡面设雨水沉淀池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F2</w:t>
            </w:r>
          </w:p>
        </w:tc>
        <w:tc>
          <w:tcPr>
            <w:tcW w:w="33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hint="eastAsia" w:ascii="宋体" w:hAnsi="宋体"/>
                <w:color w:val="000000"/>
                <w:szCs w:val="21"/>
              </w:rPr>
            </w:pPr>
            <w:r>
              <w:rPr>
                <w:rFonts w:hint="eastAsia" w:ascii="宋体" w:hAnsi="宋体"/>
                <w:color w:val="000000"/>
                <w:szCs w:val="21"/>
              </w:rPr>
              <w:t>原料堆场增设排水沟</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F3</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宋体" w:hAnsi="宋体"/>
                <w:color w:val="000000"/>
                <w:szCs w:val="21"/>
              </w:rPr>
            </w:pPr>
            <w:r>
              <w:rPr>
                <w:rFonts w:hint="eastAsia" w:ascii="宋体" w:hAnsi="宋体"/>
                <w:color w:val="000000"/>
                <w:szCs w:val="21"/>
              </w:rPr>
              <w:t>改进选矿生产工艺</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hint="eastAsia" w:ascii="宋体" w:hAnsi="宋体"/>
                <w:color w:val="000000"/>
                <w:szCs w:val="21"/>
              </w:rPr>
              <w:t>F4</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淘汰高噪音风机</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有</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spacing w:line="320" w:lineRule="exact"/>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选矿车间闸阀更换，管道维修</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有</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垃圾分类处理</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0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3310" w:type="dxa"/>
            <w:tcBorders>
              <w:top w:val="single" w:color="auto" w:sz="4" w:space="0"/>
              <w:left w:val="single" w:color="auto" w:sz="4" w:space="0"/>
              <w:bottom w:val="single" w:color="auto" w:sz="4" w:space="0"/>
              <w:right w:val="single" w:color="auto" w:sz="4" w:space="0"/>
            </w:tcBorders>
            <w:noWrap w:val="0"/>
            <w:vAlign w:val="top"/>
          </w:tcPr>
          <w:p>
            <w:pPr>
              <w:pStyle w:val="130"/>
              <w:spacing w:line="320" w:lineRule="exact"/>
              <w:rPr>
                <w:rFonts w:hint="eastAsia" w:ascii="宋体" w:hAnsi="宋体"/>
                <w:color w:val="000000"/>
              </w:rPr>
            </w:pPr>
            <w:r>
              <w:rPr>
                <w:rFonts w:hint="eastAsia" w:ascii="宋体" w:hAnsi="宋体"/>
                <w:color w:val="000000"/>
              </w:rPr>
              <w:t>药剂袋的处理</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原料矿仓增设雨棚</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磨浮尾水收集处硬化平整</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ascii="宋体" w:hAnsi="宋体"/>
                <w:color w:val="000000"/>
                <w:kern w:val="0"/>
                <w:szCs w:val="21"/>
              </w:rPr>
            </w:pPr>
            <w:r>
              <w:rPr>
                <w:rFonts w:hint="eastAsia" w:ascii="宋体" w:hAnsi="宋体"/>
                <w:color w:val="000000"/>
                <w:kern w:val="0"/>
                <w:szCs w:val="21"/>
              </w:rPr>
              <w:t>F10</w:t>
            </w:r>
          </w:p>
        </w:tc>
        <w:tc>
          <w:tcPr>
            <w:tcW w:w="3310" w:type="dxa"/>
            <w:tcBorders>
              <w:top w:val="single" w:color="auto" w:sz="4" w:space="0"/>
              <w:left w:val="single" w:color="auto" w:sz="4" w:space="0"/>
              <w:bottom w:val="single" w:color="auto" w:sz="4" w:space="0"/>
              <w:right w:val="single" w:color="auto" w:sz="4" w:space="0"/>
            </w:tcBorders>
            <w:noWrap w:val="0"/>
            <w:vAlign w:val="top"/>
          </w:tcPr>
          <w:p>
            <w:pPr>
              <w:pStyle w:val="130"/>
              <w:spacing w:line="320" w:lineRule="exact"/>
              <w:rPr>
                <w:rFonts w:hint="eastAsia" w:ascii="宋体" w:hAnsi="宋体"/>
                <w:color w:val="000000"/>
              </w:rPr>
            </w:pPr>
            <w:r>
              <w:rPr>
                <w:rFonts w:hint="eastAsia" w:ascii="宋体" w:hAnsi="宋体"/>
                <w:color w:val="000000"/>
              </w:rPr>
              <w:t>原矿破碎除尘塔降尘管道嫁接</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1"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center"/>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F11</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宋体" w:hAnsi="宋体"/>
                <w:color w:val="000000"/>
                <w:szCs w:val="21"/>
              </w:rPr>
            </w:pPr>
            <w:r>
              <w:rPr>
                <w:rFonts w:hint="eastAsia" w:ascii="宋体" w:hAnsi="宋体"/>
                <w:color w:val="000000"/>
                <w:szCs w:val="21"/>
              </w:rPr>
              <w:t>完善矿井渣场排水沟</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F12</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井下投放垃圾桶</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F13</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建设污水沉淀池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F14</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建设废机油存放点</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F15</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集中处理生活垃圾</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有</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F16</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井下照明采用节能灯</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F17</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原矿采用塑料布覆盖</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F18</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ascii="宋体" w:hAnsi="宋体"/>
                <w:color w:val="000000"/>
                <w:szCs w:val="21"/>
              </w:rPr>
            </w:pPr>
            <w:r>
              <w:rPr>
                <w:rFonts w:hint="eastAsia" w:ascii="宋体" w:hAnsi="宋体"/>
                <w:color w:val="000000"/>
                <w:szCs w:val="21"/>
              </w:rPr>
              <w:t>定期对井下地下水采样跟踪</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1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F19</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选矿车间房顶落水管道改造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F20</w:t>
            </w:r>
          </w:p>
        </w:tc>
        <w:tc>
          <w:tcPr>
            <w:tcW w:w="331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320" w:lineRule="exact"/>
              <w:rPr>
                <w:rFonts w:hint="eastAsia" w:ascii="宋体" w:hAnsi="宋体" w:cs="宋体"/>
                <w:color w:val="000000"/>
                <w:kern w:val="0"/>
                <w:szCs w:val="21"/>
              </w:rPr>
            </w:pPr>
            <w:r>
              <w:rPr>
                <w:rFonts w:hint="eastAsia" w:ascii="宋体" w:hAnsi="宋体" w:cs="宋体"/>
                <w:color w:val="000000"/>
                <w:kern w:val="0"/>
                <w:szCs w:val="21"/>
              </w:rPr>
              <w:t>磨浮工段底部增设沉淀池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F21</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精矿堆场增设洗车器</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F22</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宋体" w:hAnsi="宋体"/>
                <w:color w:val="000000"/>
                <w:szCs w:val="21"/>
              </w:rPr>
            </w:pPr>
            <w:r>
              <w:rPr>
                <w:rFonts w:hint="eastAsia" w:ascii="宋体" w:hAnsi="宋体"/>
                <w:color w:val="000000"/>
                <w:szCs w:val="21"/>
              </w:rPr>
              <w:t>质检科增设废液收集池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F23</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宋体" w:hAnsi="宋体"/>
                <w:color w:val="000000"/>
                <w:szCs w:val="21"/>
              </w:rPr>
            </w:pPr>
            <w:r>
              <w:rPr>
                <w:rFonts w:hint="eastAsia" w:ascii="宋体" w:hAnsi="宋体"/>
                <w:color w:val="000000"/>
                <w:szCs w:val="21"/>
              </w:rPr>
              <w:t>采矿井口完善井下涌水沉淀池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40"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ascii="宋体" w:hAnsi="宋体"/>
                <w:color w:val="000000"/>
                <w:kern w:val="0"/>
                <w:szCs w:val="21"/>
              </w:rPr>
            </w:pPr>
            <w:r>
              <w:rPr>
                <w:rFonts w:hint="eastAsia" w:ascii="宋体" w:hAnsi="宋体"/>
                <w:color w:val="000000"/>
                <w:kern w:val="0"/>
                <w:szCs w:val="21"/>
              </w:rPr>
              <w:t>F24</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完善选矿厂雨污分流系统</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F25</w:t>
            </w:r>
          </w:p>
        </w:tc>
        <w:tc>
          <w:tcPr>
            <w:tcW w:w="3310" w:type="dxa"/>
            <w:tcBorders>
              <w:top w:val="single" w:color="auto" w:sz="4" w:space="0"/>
              <w:left w:val="single" w:color="auto" w:sz="4" w:space="0"/>
              <w:bottom w:val="single" w:color="auto" w:sz="4" w:space="0"/>
              <w:right w:val="single" w:color="auto" w:sz="4" w:space="0"/>
            </w:tcBorders>
            <w:noWrap w:val="0"/>
            <w:vAlign w:val="center"/>
          </w:tcPr>
          <w:p>
            <w:pPr>
              <w:spacing w:line="320" w:lineRule="exact"/>
              <w:rPr>
                <w:rFonts w:hint="eastAsia" w:ascii="宋体" w:hAnsi="宋体"/>
                <w:color w:val="000000"/>
                <w:szCs w:val="21"/>
              </w:rPr>
            </w:pPr>
            <w:r>
              <w:rPr>
                <w:rFonts w:hint="eastAsia" w:ascii="宋体" w:hAnsi="宋体"/>
                <w:color w:val="000000"/>
                <w:szCs w:val="21"/>
              </w:rPr>
              <w:t>精矿库维护改造</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F26</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建立清洁生产管理和生产操作规程相结合管理制度</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F27</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尾矿库堆场监测口设标志牌</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F28</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hint="eastAsia" w:ascii="宋体" w:hAnsi="宋体"/>
                <w:color w:val="000000"/>
                <w:szCs w:val="21"/>
              </w:rPr>
            </w:pPr>
            <w:r>
              <w:rPr>
                <w:rFonts w:hint="eastAsia" w:ascii="宋体" w:hAnsi="宋体"/>
                <w:color w:val="000000"/>
                <w:szCs w:val="21"/>
              </w:rPr>
              <w:t>尾矿库设危废间暂存水处理污泥</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rPr>
            </w:pPr>
            <w:r>
              <w:rPr>
                <w:rFonts w:hint="eastAsia" w:ascii="宋体" w:hAnsi="宋体"/>
                <w:bCs/>
                <w:color w:val="000000"/>
                <w:szCs w:val="21"/>
              </w:rPr>
              <w:t>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7" w:hRule="atLeast"/>
          <w:jc w:val="center"/>
        </w:trPr>
        <w:tc>
          <w:tcPr>
            <w:tcW w:w="682" w:type="dxa"/>
            <w:tcBorders>
              <w:top w:val="single" w:color="auto" w:sz="4" w:space="0"/>
              <w:left w:val="single" w:color="auto" w:sz="4" w:space="0"/>
              <w:bottom w:val="single" w:color="auto" w:sz="4" w:space="0"/>
              <w:right w:val="single" w:color="auto" w:sz="4" w:space="0"/>
            </w:tcBorders>
            <w:noWrap w:val="0"/>
            <w:vAlign w:val="top"/>
          </w:tcPr>
          <w:p>
            <w:pPr>
              <w:widowControl/>
              <w:spacing w:line="320" w:lineRule="exact"/>
              <w:jc w:val="center"/>
              <w:rPr>
                <w:rFonts w:hint="eastAsia" w:ascii="宋体" w:hAnsi="宋体"/>
                <w:color w:val="000000"/>
                <w:kern w:val="0"/>
                <w:szCs w:val="21"/>
              </w:rPr>
            </w:pPr>
            <w:r>
              <w:rPr>
                <w:rFonts w:hint="eastAsia" w:ascii="宋体" w:hAnsi="宋体"/>
                <w:color w:val="000000"/>
                <w:kern w:val="0"/>
                <w:szCs w:val="21"/>
              </w:rPr>
              <w:t>F29</w:t>
            </w:r>
          </w:p>
        </w:tc>
        <w:tc>
          <w:tcPr>
            <w:tcW w:w="3310" w:type="dxa"/>
            <w:tcBorders>
              <w:top w:val="single" w:color="auto" w:sz="4" w:space="0"/>
              <w:left w:val="single" w:color="auto" w:sz="4" w:space="0"/>
              <w:bottom w:val="single" w:color="auto" w:sz="4" w:space="0"/>
              <w:right w:val="single" w:color="auto" w:sz="4" w:space="0"/>
            </w:tcBorders>
            <w:noWrap w:val="0"/>
            <w:vAlign w:val="top"/>
          </w:tcPr>
          <w:p>
            <w:pPr>
              <w:spacing w:line="320" w:lineRule="exact"/>
              <w:rPr>
                <w:rFonts w:ascii="宋体" w:hAnsi="宋体"/>
                <w:color w:val="000000"/>
                <w:szCs w:val="21"/>
              </w:rPr>
            </w:pPr>
            <w:r>
              <w:rPr>
                <w:rFonts w:hint="eastAsia" w:ascii="宋体" w:hAnsi="宋体"/>
                <w:color w:val="000000"/>
                <w:szCs w:val="21"/>
              </w:rPr>
              <w:t>对车间员工进行设备维护和使用培训</w:t>
            </w:r>
          </w:p>
        </w:tc>
        <w:tc>
          <w:tcPr>
            <w:tcW w:w="94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可行</w:t>
            </w:r>
          </w:p>
        </w:tc>
        <w:tc>
          <w:tcPr>
            <w:tcW w:w="90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易</w:t>
            </w:r>
          </w:p>
        </w:tc>
        <w:tc>
          <w:tcPr>
            <w:tcW w:w="9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20" w:lineRule="exact"/>
              <w:jc w:val="center"/>
              <w:rPr>
                <w:rFonts w:hint="eastAsia" w:ascii="宋体" w:hAnsi="宋体"/>
                <w:bCs/>
                <w:color w:val="000000"/>
                <w:szCs w:val="21"/>
              </w:rPr>
            </w:pPr>
            <w:r>
              <w:rPr>
                <w:rFonts w:hint="eastAsia" w:ascii="宋体" w:hAnsi="宋体"/>
                <w:bCs/>
                <w:color w:val="000000"/>
                <w:szCs w:val="21"/>
              </w:rPr>
              <w:t>无</w:t>
            </w:r>
          </w:p>
        </w:tc>
        <w:tc>
          <w:tcPr>
            <w:tcW w:w="1223" w:type="dxa"/>
            <w:tcBorders>
              <w:top w:val="single" w:color="auto" w:sz="4" w:space="0"/>
              <w:left w:val="single" w:color="auto" w:sz="4" w:space="0"/>
              <w:bottom w:val="single" w:color="auto" w:sz="4" w:space="0"/>
              <w:right w:val="single" w:color="auto" w:sz="4" w:space="0"/>
            </w:tcBorders>
            <w:noWrap w:val="0"/>
            <w:vAlign w:val="top"/>
          </w:tcPr>
          <w:p>
            <w:pPr>
              <w:spacing w:line="320" w:lineRule="exact"/>
              <w:jc w:val="center"/>
              <w:rPr>
                <w:rFonts w:ascii="宋体" w:hAnsi="宋体"/>
                <w:color w:val="000000"/>
              </w:rPr>
            </w:pPr>
            <w:r>
              <w:rPr>
                <w:rFonts w:hint="eastAsia" w:ascii="宋体" w:hAnsi="宋体"/>
                <w:bCs/>
                <w:color w:val="000000"/>
                <w:szCs w:val="21"/>
              </w:rPr>
              <w:t>可行</w:t>
            </w:r>
          </w:p>
        </w:tc>
      </w:tr>
    </w:tbl>
    <w:p>
      <w:pPr>
        <w:tabs>
          <w:tab w:val="left" w:pos="0"/>
        </w:tabs>
        <w:spacing w:before="120" w:beforeLines="50" w:line="360" w:lineRule="auto"/>
        <w:ind w:firstLine="480" w:firstLineChars="200"/>
        <w:jc w:val="left"/>
        <w:rPr>
          <w:rFonts w:hint="eastAsia" w:ascii="宋体" w:hAnsi="宋体"/>
          <w:color w:val="000000"/>
          <w:sz w:val="24"/>
        </w:rPr>
      </w:pPr>
      <w:r>
        <w:rPr>
          <w:rFonts w:hint="eastAsia" w:ascii="宋体" w:hAnsi="宋体"/>
          <w:color w:val="000000"/>
          <w:sz w:val="24"/>
        </w:rPr>
        <w:t>从上表4-2可以看出，在本次清洁生产审核中，所提出的方案在技术、经济和环境等方面都具有可行性。筛选结果见表4-3.</w:t>
      </w:r>
    </w:p>
    <w:p>
      <w:pPr>
        <w:tabs>
          <w:tab w:val="left" w:pos="0"/>
        </w:tabs>
        <w:spacing w:line="360" w:lineRule="exact"/>
        <w:jc w:val="center"/>
        <w:rPr>
          <w:rFonts w:hint="eastAsia" w:ascii="宋体" w:hAnsi="宋体"/>
          <w:b/>
          <w:color w:val="000000"/>
          <w:sz w:val="24"/>
        </w:rPr>
      </w:pPr>
      <w:bookmarkStart w:id="422" w:name="_Toc291960351"/>
      <w:bookmarkStart w:id="423" w:name="_Toc287917969"/>
      <w:bookmarkStart w:id="424" w:name="_Toc296604629"/>
      <w:bookmarkStart w:id="425" w:name="_Toc427653784"/>
      <w:bookmarkStart w:id="426" w:name="_Toc433986931"/>
      <w:bookmarkStart w:id="427" w:name="_Toc296604632"/>
      <w:bookmarkStart w:id="428" w:name="_Toc287653869"/>
      <w:r>
        <w:rPr>
          <w:rFonts w:hint="eastAsia" w:ascii="宋体" w:hAnsi="宋体"/>
          <w:b/>
          <w:color w:val="000000"/>
          <w:sz w:val="24"/>
        </w:rPr>
        <w:t xml:space="preserve">表4-3 </w:t>
      </w:r>
      <w:r>
        <w:rPr>
          <w:rFonts w:hint="eastAsia" w:ascii="宋体" w:hAnsi="宋体"/>
          <w:color w:val="000000"/>
          <w:sz w:val="24"/>
        </w:rPr>
        <w:t xml:space="preserve"> </w:t>
      </w:r>
      <w:r>
        <w:rPr>
          <w:rFonts w:hint="eastAsia" w:ascii="宋体" w:hAnsi="宋体"/>
          <w:b/>
          <w:color w:val="000000"/>
          <w:sz w:val="24"/>
        </w:rPr>
        <w:t>方案筛选结果汇总表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74"/>
        <w:gridCol w:w="752"/>
        <w:gridCol w:w="4998"/>
        <w:gridCol w:w="9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0" w:hRule="atLeast"/>
          <w:tblHeader/>
          <w:jc w:val="center"/>
        </w:trPr>
        <w:tc>
          <w:tcPr>
            <w:tcW w:w="2874" w:type="dxa"/>
            <w:noWrap w:val="0"/>
            <w:vAlign w:val="center"/>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筛选结果</w:t>
            </w:r>
          </w:p>
        </w:tc>
        <w:tc>
          <w:tcPr>
            <w:tcW w:w="752" w:type="dxa"/>
            <w:noWrap w:val="0"/>
            <w:vAlign w:val="center"/>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编号</w:t>
            </w:r>
          </w:p>
        </w:tc>
        <w:tc>
          <w:tcPr>
            <w:tcW w:w="4998" w:type="dxa"/>
            <w:noWrap w:val="0"/>
            <w:vAlign w:val="center"/>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方 案 名 称</w:t>
            </w:r>
          </w:p>
        </w:tc>
        <w:tc>
          <w:tcPr>
            <w:tcW w:w="925" w:type="dxa"/>
            <w:noWrap w:val="0"/>
            <w:vAlign w:val="top"/>
          </w:tcPr>
          <w:p>
            <w:pPr>
              <w:widowControl/>
              <w:tabs>
                <w:tab w:val="left" w:pos="0"/>
              </w:tabs>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restart"/>
            <w:noWrap w:val="0"/>
            <w:vAlign w:val="center"/>
          </w:tcPr>
          <w:p>
            <w:pPr>
              <w:tabs>
                <w:tab w:val="left" w:pos="0"/>
              </w:tabs>
              <w:autoSpaceDE w:val="0"/>
              <w:autoSpaceDN w:val="0"/>
              <w:adjustRightInd w:val="0"/>
              <w:spacing w:line="360" w:lineRule="exact"/>
              <w:jc w:val="center"/>
              <w:rPr>
                <w:rFonts w:hint="eastAsia" w:ascii="宋体" w:hAnsi="宋体"/>
                <w:bCs/>
                <w:color w:val="000000"/>
                <w:szCs w:val="21"/>
              </w:rPr>
            </w:pPr>
            <w:r>
              <w:rPr>
                <w:rFonts w:hint="eastAsia" w:ascii="宋体" w:hAnsi="宋体" w:cs="宋体"/>
                <w:bCs/>
                <w:color w:val="000000"/>
                <w:kern w:val="0"/>
                <w:szCs w:val="21"/>
              </w:rPr>
              <w:t>可行性的无/低费方案</w:t>
            </w:r>
          </w:p>
        </w:tc>
        <w:tc>
          <w:tcPr>
            <w:tcW w:w="752" w:type="dxa"/>
            <w:noWrap w:val="0"/>
            <w:vAlign w:val="center"/>
          </w:tcPr>
          <w:p>
            <w:pPr>
              <w:jc w:val="center"/>
              <w:rPr>
                <w:rFonts w:ascii="宋体" w:hAnsi="宋体"/>
                <w:color w:val="000000"/>
                <w:szCs w:val="21"/>
              </w:rPr>
            </w:pPr>
            <w:r>
              <w:rPr>
                <w:rFonts w:hint="eastAsia" w:ascii="宋体" w:hAnsi="宋体"/>
                <w:color w:val="000000"/>
                <w:szCs w:val="21"/>
              </w:rPr>
              <w:t>F1</w:t>
            </w:r>
          </w:p>
        </w:tc>
        <w:tc>
          <w:tcPr>
            <w:tcW w:w="4998" w:type="dxa"/>
            <w:noWrap w:val="0"/>
            <w:vAlign w:val="center"/>
          </w:tcPr>
          <w:p>
            <w:pPr>
              <w:rPr>
                <w:rFonts w:ascii="宋体" w:hAnsi="宋体"/>
                <w:color w:val="000000"/>
                <w:szCs w:val="21"/>
              </w:rPr>
            </w:pPr>
            <w:r>
              <w:rPr>
                <w:rFonts w:hint="eastAsia" w:ascii="宋体" w:hAnsi="宋体"/>
                <w:color w:val="000000"/>
                <w:szCs w:val="21"/>
              </w:rPr>
              <w:t>选厂化验室路段坡面设雨水沉淀池</w:t>
            </w:r>
          </w:p>
        </w:tc>
        <w:tc>
          <w:tcPr>
            <w:tcW w:w="925" w:type="dxa"/>
            <w:vMerge w:val="restart"/>
            <w:noWrap w:val="0"/>
            <w:vAlign w:val="top"/>
          </w:tcPr>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jc w:val="center"/>
              <w:rPr>
                <w:rFonts w:hint="eastAsia" w:ascii="宋体" w:hAnsi="宋体"/>
                <w:color w:val="000000"/>
                <w:szCs w:val="21"/>
              </w:rPr>
            </w:pPr>
            <w:r>
              <w:rPr>
                <w:rFonts w:hint="eastAsia" w:ascii="宋体" w:hAnsi="宋体"/>
                <w:color w:val="000000"/>
                <w:szCs w:val="21"/>
              </w:rPr>
              <w:t>43</w:t>
            </w:r>
            <w:r>
              <w:rPr>
                <w:rFonts w:hint="eastAsia" w:ascii="宋体" w:hAnsi="宋体" w:cs="宋体"/>
                <w:bCs/>
                <w:color w:val="000000"/>
                <w:kern w:val="0"/>
                <w:szCs w:val="21"/>
              </w:rPr>
              <w:t>（个）</w:t>
            </w: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p>
          <w:p>
            <w:pPr>
              <w:spacing w:line="360" w:lineRule="exact"/>
              <w:rPr>
                <w:rFonts w:hint="eastAsia" w:ascii="宋体" w:hAnsi="宋体"/>
                <w:color w:val="000000"/>
                <w:szCs w:val="21"/>
              </w:rPr>
            </w:pPr>
            <w:r>
              <w:rPr>
                <w:rFonts w:hint="eastAsia" w:ascii="宋体" w:hAnsi="宋体"/>
                <w:color w:val="000000"/>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hint="eastAsia" w:ascii="宋体" w:hAnsi="宋体"/>
                <w:color w:val="000000"/>
                <w:szCs w:val="21"/>
              </w:rPr>
              <w:t>F2</w:t>
            </w:r>
          </w:p>
        </w:tc>
        <w:tc>
          <w:tcPr>
            <w:tcW w:w="4998" w:type="dxa"/>
            <w:noWrap w:val="0"/>
            <w:vAlign w:val="top"/>
          </w:tcPr>
          <w:p>
            <w:pPr>
              <w:autoSpaceDE w:val="0"/>
              <w:autoSpaceDN w:val="0"/>
              <w:adjustRightInd w:val="0"/>
              <w:rPr>
                <w:rFonts w:hint="eastAsia" w:ascii="宋体" w:hAnsi="宋体"/>
                <w:color w:val="000000"/>
                <w:szCs w:val="21"/>
              </w:rPr>
            </w:pPr>
            <w:r>
              <w:rPr>
                <w:rFonts w:hint="eastAsia" w:ascii="宋体" w:hAnsi="宋体"/>
                <w:color w:val="000000"/>
                <w:szCs w:val="21"/>
              </w:rPr>
              <w:t>原料堆场增设排水沟</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hint="eastAsia" w:ascii="宋体" w:hAnsi="宋体"/>
                <w:color w:val="000000"/>
                <w:szCs w:val="21"/>
              </w:rPr>
              <w:t>F3</w:t>
            </w:r>
          </w:p>
        </w:tc>
        <w:tc>
          <w:tcPr>
            <w:tcW w:w="4998" w:type="dxa"/>
            <w:noWrap w:val="0"/>
            <w:vAlign w:val="center"/>
          </w:tcPr>
          <w:p>
            <w:pPr>
              <w:rPr>
                <w:rFonts w:hint="eastAsia" w:ascii="宋体" w:hAnsi="宋体"/>
                <w:color w:val="000000"/>
                <w:szCs w:val="21"/>
              </w:rPr>
            </w:pPr>
            <w:r>
              <w:rPr>
                <w:rFonts w:hint="eastAsia" w:ascii="宋体" w:hAnsi="宋体"/>
                <w:color w:val="000000"/>
                <w:szCs w:val="21"/>
              </w:rPr>
              <w:t>改进选矿生产工艺</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hint="eastAsia" w:ascii="宋体" w:hAnsi="宋体"/>
                <w:color w:val="000000"/>
                <w:szCs w:val="21"/>
              </w:rPr>
              <w:t>F4</w:t>
            </w:r>
          </w:p>
        </w:tc>
        <w:tc>
          <w:tcPr>
            <w:tcW w:w="4998" w:type="dxa"/>
            <w:noWrap w:val="0"/>
            <w:vAlign w:val="center"/>
          </w:tcPr>
          <w:p>
            <w:pPr>
              <w:rPr>
                <w:rFonts w:ascii="宋体" w:hAnsi="宋体"/>
                <w:color w:val="000000"/>
                <w:szCs w:val="21"/>
              </w:rPr>
            </w:pPr>
            <w:r>
              <w:rPr>
                <w:rFonts w:hint="eastAsia" w:ascii="宋体" w:hAnsi="宋体"/>
                <w:color w:val="000000"/>
                <w:szCs w:val="21"/>
              </w:rPr>
              <w:t>淘汰高噪音风机</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90"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4998" w:type="dxa"/>
            <w:noWrap w:val="0"/>
            <w:vAlign w:val="top"/>
          </w:tcPr>
          <w:p>
            <w:pPr>
              <w:rPr>
                <w:rFonts w:hint="eastAsia" w:ascii="宋体" w:hAnsi="宋体"/>
                <w:color w:val="000000"/>
                <w:szCs w:val="21"/>
              </w:rPr>
            </w:pPr>
            <w:r>
              <w:rPr>
                <w:rFonts w:hint="eastAsia" w:ascii="宋体" w:hAnsi="宋体"/>
                <w:color w:val="000000"/>
                <w:szCs w:val="21"/>
              </w:rPr>
              <w:t>选矿车间闸阀更换，管道维修</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4998" w:type="dxa"/>
            <w:noWrap w:val="0"/>
            <w:vAlign w:val="center"/>
          </w:tcPr>
          <w:p>
            <w:pPr>
              <w:rPr>
                <w:rFonts w:ascii="宋体" w:hAnsi="宋体"/>
                <w:color w:val="000000"/>
                <w:szCs w:val="21"/>
              </w:rPr>
            </w:pPr>
            <w:r>
              <w:rPr>
                <w:rFonts w:hint="eastAsia" w:ascii="宋体" w:hAnsi="宋体"/>
                <w:color w:val="000000"/>
                <w:szCs w:val="21"/>
              </w:rPr>
              <w:t>垃圾分类处理</w:t>
            </w:r>
          </w:p>
        </w:tc>
        <w:tc>
          <w:tcPr>
            <w:tcW w:w="925" w:type="dxa"/>
            <w:vMerge w:val="continue"/>
            <w:noWrap w:val="0"/>
            <w:vAlign w:val="top"/>
          </w:tcPr>
          <w:p>
            <w:pPr>
              <w:spacing w:line="360" w:lineRule="exact"/>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4998" w:type="dxa"/>
            <w:noWrap w:val="0"/>
            <w:vAlign w:val="top"/>
          </w:tcPr>
          <w:p>
            <w:pPr>
              <w:pStyle w:val="130"/>
              <w:rPr>
                <w:rFonts w:hint="eastAsia" w:ascii="宋体" w:hAnsi="宋体"/>
                <w:color w:val="000000"/>
              </w:rPr>
            </w:pPr>
            <w:r>
              <w:rPr>
                <w:rFonts w:hint="eastAsia" w:ascii="宋体" w:hAnsi="宋体"/>
                <w:color w:val="000000"/>
              </w:rPr>
              <w:t>药剂袋的处理</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4998" w:type="dxa"/>
            <w:noWrap w:val="0"/>
            <w:vAlign w:val="top"/>
          </w:tcPr>
          <w:p>
            <w:pPr>
              <w:rPr>
                <w:rFonts w:hint="eastAsia" w:ascii="宋体" w:hAnsi="宋体"/>
                <w:color w:val="000000"/>
                <w:szCs w:val="21"/>
              </w:rPr>
            </w:pPr>
            <w:r>
              <w:rPr>
                <w:rFonts w:hint="eastAsia" w:ascii="宋体" w:hAnsi="宋体"/>
                <w:color w:val="000000"/>
                <w:szCs w:val="21"/>
              </w:rPr>
              <w:t>原料矿仓增设雨棚</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4998" w:type="dxa"/>
            <w:noWrap w:val="0"/>
            <w:vAlign w:val="top"/>
          </w:tcPr>
          <w:p>
            <w:pPr>
              <w:rPr>
                <w:rFonts w:hint="eastAsia" w:ascii="宋体" w:hAnsi="宋体"/>
                <w:color w:val="000000"/>
                <w:szCs w:val="21"/>
              </w:rPr>
            </w:pPr>
            <w:r>
              <w:rPr>
                <w:rFonts w:hint="eastAsia" w:ascii="宋体" w:hAnsi="宋体"/>
                <w:color w:val="000000"/>
                <w:szCs w:val="21"/>
              </w:rPr>
              <w:t>磨浮尾水收集处硬化平整</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ascii="宋体" w:hAnsi="宋体"/>
                <w:color w:val="000000"/>
                <w:kern w:val="0"/>
                <w:szCs w:val="21"/>
              </w:rPr>
            </w:pPr>
            <w:r>
              <w:rPr>
                <w:rFonts w:hint="eastAsia" w:ascii="宋体" w:hAnsi="宋体"/>
                <w:color w:val="000000"/>
                <w:kern w:val="0"/>
                <w:szCs w:val="21"/>
              </w:rPr>
              <w:t>F10</w:t>
            </w:r>
          </w:p>
        </w:tc>
        <w:tc>
          <w:tcPr>
            <w:tcW w:w="4998" w:type="dxa"/>
            <w:noWrap w:val="0"/>
            <w:vAlign w:val="top"/>
          </w:tcPr>
          <w:p>
            <w:pPr>
              <w:pStyle w:val="130"/>
              <w:rPr>
                <w:rFonts w:hint="eastAsia" w:ascii="宋体" w:hAnsi="宋体"/>
                <w:color w:val="000000"/>
              </w:rPr>
            </w:pPr>
            <w:r>
              <w:rPr>
                <w:rFonts w:hint="eastAsia" w:ascii="宋体" w:hAnsi="宋体"/>
                <w:color w:val="000000"/>
              </w:rPr>
              <w:t>原矿破碎除尘塔降尘管道嫁接</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F11</w:t>
            </w:r>
          </w:p>
        </w:tc>
        <w:tc>
          <w:tcPr>
            <w:tcW w:w="4998" w:type="dxa"/>
            <w:noWrap w:val="0"/>
            <w:vAlign w:val="center"/>
          </w:tcPr>
          <w:p>
            <w:pPr>
              <w:rPr>
                <w:rFonts w:hint="eastAsia" w:ascii="宋体" w:hAnsi="宋体"/>
                <w:color w:val="000000"/>
                <w:szCs w:val="21"/>
              </w:rPr>
            </w:pPr>
            <w:r>
              <w:rPr>
                <w:rFonts w:hint="eastAsia" w:ascii="宋体" w:hAnsi="宋体"/>
                <w:color w:val="000000"/>
                <w:szCs w:val="21"/>
              </w:rPr>
              <w:t>完善矿井渣场排水沟</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F12</w:t>
            </w:r>
          </w:p>
        </w:tc>
        <w:tc>
          <w:tcPr>
            <w:tcW w:w="4998" w:type="dxa"/>
            <w:noWrap w:val="0"/>
            <w:vAlign w:val="center"/>
          </w:tcPr>
          <w:p>
            <w:pPr>
              <w:rPr>
                <w:rFonts w:ascii="宋体" w:hAnsi="宋体"/>
                <w:color w:val="000000"/>
                <w:szCs w:val="21"/>
              </w:rPr>
            </w:pPr>
            <w:r>
              <w:rPr>
                <w:rFonts w:hint="eastAsia" w:ascii="宋体" w:hAnsi="宋体"/>
                <w:color w:val="000000"/>
                <w:szCs w:val="21"/>
              </w:rPr>
              <w:t>井下投放垃圾桶</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F13</w:t>
            </w:r>
          </w:p>
        </w:tc>
        <w:tc>
          <w:tcPr>
            <w:tcW w:w="4998" w:type="dxa"/>
            <w:noWrap w:val="0"/>
            <w:vAlign w:val="center"/>
          </w:tcPr>
          <w:p>
            <w:pPr>
              <w:rPr>
                <w:rFonts w:ascii="宋体" w:hAnsi="宋体"/>
                <w:color w:val="000000"/>
                <w:szCs w:val="21"/>
              </w:rPr>
            </w:pPr>
            <w:r>
              <w:rPr>
                <w:rFonts w:hint="eastAsia" w:ascii="宋体" w:hAnsi="宋体"/>
                <w:color w:val="000000"/>
                <w:szCs w:val="21"/>
              </w:rPr>
              <w:t>建设污水沉淀池</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F14</w:t>
            </w:r>
          </w:p>
        </w:tc>
        <w:tc>
          <w:tcPr>
            <w:tcW w:w="4998" w:type="dxa"/>
            <w:noWrap w:val="0"/>
            <w:vAlign w:val="center"/>
          </w:tcPr>
          <w:p>
            <w:pPr>
              <w:rPr>
                <w:rFonts w:ascii="宋体" w:hAnsi="宋体"/>
                <w:color w:val="000000"/>
                <w:szCs w:val="21"/>
              </w:rPr>
            </w:pPr>
            <w:r>
              <w:rPr>
                <w:rFonts w:hint="eastAsia" w:ascii="宋体" w:hAnsi="宋体"/>
                <w:color w:val="000000"/>
                <w:szCs w:val="21"/>
              </w:rPr>
              <w:t>建设废机油存放点</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F15</w:t>
            </w:r>
          </w:p>
        </w:tc>
        <w:tc>
          <w:tcPr>
            <w:tcW w:w="4998" w:type="dxa"/>
            <w:noWrap w:val="0"/>
            <w:vAlign w:val="center"/>
          </w:tcPr>
          <w:p>
            <w:pPr>
              <w:rPr>
                <w:rFonts w:ascii="宋体" w:hAnsi="宋体"/>
                <w:color w:val="000000"/>
                <w:szCs w:val="21"/>
              </w:rPr>
            </w:pPr>
            <w:r>
              <w:rPr>
                <w:rFonts w:hint="eastAsia" w:ascii="宋体" w:hAnsi="宋体"/>
                <w:color w:val="000000"/>
                <w:szCs w:val="21"/>
              </w:rPr>
              <w:t>集中处理生活垃圾</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F16</w:t>
            </w:r>
          </w:p>
        </w:tc>
        <w:tc>
          <w:tcPr>
            <w:tcW w:w="4998" w:type="dxa"/>
            <w:noWrap w:val="0"/>
            <w:vAlign w:val="center"/>
          </w:tcPr>
          <w:p>
            <w:pPr>
              <w:rPr>
                <w:rFonts w:ascii="宋体" w:hAnsi="宋体"/>
                <w:color w:val="000000"/>
                <w:szCs w:val="21"/>
              </w:rPr>
            </w:pPr>
            <w:r>
              <w:rPr>
                <w:rFonts w:hint="eastAsia" w:ascii="宋体" w:hAnsi="宋体"/>
                <w:color w:val="000000"/>
                <w:szCs w:val="21"/>
              </w:rPr>
              <w:t>井下照明采用节能灯</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F17</w:t>
            </w:r>
          </w:p>
        </w:tc>
        <w:tc>
          <w:tcPr>
            <w:tcW w:w="4998" w:type="dxa"/>
            <w:noWrap w:val="0"/>
            <w:vAlign w:val="center"/>
          </w:tcPr>
          <w:p>
            <w:pPr>
              <w:rPr>
                <w:rFonts w:ascii="宋体" w:hAnsi="宋体"/>
                <w:color w:val="000000"/>
                <w:szCs w:val="21"/>
              </w:rPr>
            </w:pPr>
            <w:r>
              <w:rPr>
                <w:rFonts w:hint="eastAsia" w:ascii="宋体" w:hAnsi="宋体"/>
                <w:color w:val="000000"/>
                <w:szCs w:val="21"/>
              </w:rPr>
              <w:t>原矿采用塑料布覆盖</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F18</w:t>
            </w:r>
          </w:p>
        </w:tc>
        <w:tc>
          <w:tcPr>
            <w:tcW w:w="4998" w:type="dxa"/>
            <w:noWrap w:val="0"/>
            <w:vAlign w:val="center"/>
          </w:tcPr>
          <w:p>
            <w:pPr>
              <w:rPr>
                <w:rFonts w:ascii="宋体" w:hAnsi="宋体"/>
                <w:color w:val="000000"/>
                <w:szCs w:val="21"/>
              </w:rPr>
            </w:pPr>
            <w:r>
              <w:rPr>
                <w:rFonts w:hint="eastAsia" w:ascii="宋体" w:hAnsi="宋体"/>
                <w:color w:val="000000"/>
                <w:szCs w:val="21"/>
              </w:rPr>
              <w:t>定期对井下地下水采样跟踪</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F19</w:t>
            </w:r>
          </w:p>
        </w:tc>
        <w:tc>
          <w:tcPr>
            <w:tcW w:w="4998" w:type="dxa"/>
            <w:noWrap w:val="0"/>
            <w:vAlign w:val="top"/>
          </w:tcPr>
          <w:p>
            <w:pPr>
              <w:rPr>
                <w:rFonts w:hint="eastAsia" w:ascii="宋体" w:hAnsi="宋体"/>
                <w:color w:val="000000"/>
                <w:szCs w:val="21"/>
              </w:rPr>
            </w:pPr>
            <w:r>
              <w:rPr>
                <w:rFonts w:hint="eastAsia" w:ascii="宋体" w:hAnsi="宋体"/>
                <w:color w:val="000000"/>
                <w:szCs w:val="21"/>
              </w:rPr>
              <w:t>选矿车间房顶落水管道改造</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F20</w:t>
            </w:r>
          </w:p>
        </w:tc>
        <w:tc>
          <w:tcPr>
            <w:tcW w:w="4998" w:type="dxa"/>
            <w:noWrap w:val="0"/>
            <w:vAlign w:val="top"/>
          </w:tcPr>
          <w:p>
            <w:pPr>
              <w:autoSpaceDE w:val="0"/>
              <w:autoSpaceDN w:val="0"/>
              <w:adjustRightInd w:val="0"/>
              <w:rPr>
                <w:rFonts w:hint="eastAsia" w:ascii="宋体" w:hAnsi="宋体" w:cs="宋体"/>
                <w:color w:val="000000"/>
                <w:kern w:val="0"/>
                <w:szCs w:val="21"/>
              </w:rPr>
            </w:pPr>
            <w:r>
              <w:rPr>
                <w:rFonts w:hint="eastAsia" w:ascii="宋体" w:hAnsi="宋体" w:cs="宋体"/>
                <w:color w:val="000000"/>
                <w:kern w:val="0"/>
                <w:szCs w:val="21"/>
              </w:rPr>
              <w:t>磨浮工段底部增设沉淀池</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F21</w:t>
            </w:r>
          </w:p>
        </w:tc>
        <w:tc>
          <w:tcPr>
            <w:tcW w:w="4998" w:type="dxa"/>
            <w:noWrap w:val="0"/>
            <w:vAlign w:val="top"/>
          </w:tcPr>
          <w:p>
            <w:pPr>
              <w:rPr>
                <w:rFonts w:hint="eastAsia" w:ascii="宋体" w:hAnsi="宋体"/>
                <w:color w:val="000000"/>
                <w:szCs w:val="21"/>
              </w:rPr>
            </w:pPr>
            <w:r>
              <w:rPr>
                <w:rFonts w:hint="eastAsia" w:ascii="宋体" w:hAnsi="宋体"/>
                <w:color w:val="000000"/>
                <w:szCs w:val="21"/>
              </w:rPr>
              <w:t>精矿堆场增设洗车器</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F22</w:t>
            </w:r>
          </w:p>
        </w:tc>
        <w:tc>
          <w:tcPr>
            <w:tcW w:w="4998" w:type="dxa"/>
            <w:noWrap w:val="0"/>
            <w:vAlign w:val="center"/>
          </w:tcPr>
          <w:p>
            <w:pPr>
              <w:rPr>
                <w:rFonts w:hint="eastAsia" w:ascii="宋体" w:hAnsi="宋体"/>
                <w:color w:val="000000"/>
                <w:szCs w:val="21"/>
              </w:rPr>
            </w:pPr>
            <w:r>
              <w:rPr>
                <w:rFonts w:hint="eastAsia" w:ascii="宋体" w:hAnsi="宋体"/>
                <w:color w:val="000000"/>
                <w:szCs w:val="21"/>
              </w:rPr>
              <w:t>质检科增设废液收集池</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F23</w:t>
            </w:r>
          </w:p>
        </w:tc>
        <w:tc>
          <w:tcPr>
            <w:tcW w:w="4998" w:type="dxa"/>
            <w:noWrap w:val="0"/>
            <w:vAlign w:val="center"/>
          </w:tcPr>
          <w:p>
            <w:pPr>
              <w:rPr>
                <w:rFonts w:hint="eastAsia" w:ascii="宋体" w:hAnsi="宋体"/>
                <w:color w:val="000000"/>
                <w:szCs w:val="21"/>
              </w:rPr>
            </w:pPr>
            <w:r>
              <w:rPr>
                <w:rFonts w:hint="eastAsia" w:ascii="宋体" w:hAnsi="宋体"/>
                <w:color w:val="000000"/>
                <w:szCs w:val="21"/>
              </w:rPr>
              <w:t>采矿井口完善井下涌水沉淀池</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F26</w:t>
            </w:r>
          </w:p>
        </w:tc>
        <w:tc>
          <w:tcPr>
            <w:tcW w:w="4998" w:type="dxa"/>
            <w:noWrap w:val="0"/>
            <w:vAlign w:val="top"/>
          </w:tcPr>
          <w:p>
            <w:pPr>
              <w:rPr>
                <w:rFonts w:hint="eastAsia" w:ascii="宋体" w:hAnsi="宋体"/>
                <w:color w:val="000000"/>
                <w:szCs w:val="21"/>
              </w:rPr>
            </w:pPr>
            <w:r>
              <w:rPr>
                <w:rFonts w:hint="eastAsia" w:ascii="宋体" w:hAnsi="宋体"/>
                <w:color w:val="000000"/>
                <w:szCs w:val="21"/>
              </w:rPr>
              <w:t>建立清洁生产管理和生产操作规程相结合管理制度</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F27</w:t>
            </w:r>
          </w:p>
        </w:tc>
        <w:tc>
          <w:tcPr>
            <w:tcW w:w="4998" w:type="dxa"/>
            <w:noWrap w:val="0"/>
            <w:vAlign w:val="top"/>
          </w:tcPr>
          <w:p>
            <w:pPr>
              <w:rPr>
                <w:rFonts w:hint="eastAsia" w:ascii="宋体" w:hAnsi="宋体"/>
                <w:color w:val="000000"/>
                <w:szCs w:val="21"/>
              </w:rPr>
            </w:pPr>
            <w:r>
              <w:rPr>
                <w:rFonts w:hint="eastAsia" w:ascii="宋体" w:hAnsi="宋体"/>
                <w:color w:val="000000"/>
                <w:szCs w:val="21"/>
              </w:rPr>
              <w:t>尾矿库堆场监测口设标志牌</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F28</w:t>
            </w:r>
          </w:p>
        </w:tc>
        <w:tc>
          <w:tcPr>
            <w:tcW w:w="4998" w:type="dxa"/>
            <w:noWrap w:val="0"/>
            <w:vAlign w:val="top"/>
          </w:tcPr>
          <w:p>
            <w:pPr>
              <w:rPr>
                <w:rFonts w:hint="eastAsia" w:ascii="宋体" w:hAnsi="宋体"/>
                <w:color w:val="000000"/>
                <w:szCs w:val="21"/>
              </w:rPr>
            </w:pPr>
            <w:r>
              <w:rPr>
                <w:rFonts w:hint="eastAsia" w:ascii="宋体" w:hAnsi="宋体"/>
                <w:color w:val="000000"/>
                <w:szCs w:val="21"/>
              </w:rPr>
              <w:t>尾矿库设危废间暂存水处理污泥</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21" w:hRule="atLeast"/>
          <w:jc w:val="center"/>
        </w:trPr>
        <w:tc>
          <w:tcPr>
            <w:tcW w:w="2874" w:type="dxa"/>
            <w:vMerge w:val="continue"/>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F29</w:t>
            </w:r>
          </w:p>
        </w:tc>
        <w:tc>
          <w:tcPr>
            <w:tcW w:w="4998" w:type="dxa"/>
            <w:noWrap w:val="0"/>
            <w:vAlign w:val="top"/>
          </w:tcPr>
          <w:p>
            <w:pPr>
              <w:rPr>
                <w:rFonts w:ascii="宋体" w:hAnsi="宋体"/>
                <w:color w:val="000000"/>
                <w:szCs w:val="21"/>
              </w:rPr>
            </w:pPr>
            <w:r>
              <w:rPr>
                <w:rFonts w:hint="eastAsia" w:ascii="宋体" w:hAnsi="宋体"/>
                <w:color w:val="000000"/>
                <w:szCs w:val="21"/>
              </w:rPr>
              <w:t>对车间员工进行设备维护和使用培训</w:t>
            </w:r>
          </w:p>
        </w:tc>
        <w:tc>
          <w:tcPr>
            <w:tcW w:w="925" w:type="dxa"/>
            <w:vMerge w:val="continue"/>
            <w:noWrap w:val="0"/>
            <w:vAlign w:val="top"/>
          </w:tcPr>
          <w:p>
            <w:pPr>
              <w:spacing w:line="360" w:lineRule="exact"/>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1" w:hRule="atLeast"/>
          <w:jc w:val="center"/>
        </w:trPr>
        <w:tc>
          <w:tcPr>
            <w:tcW w:w="2874" w:type="dxa"/>
            <w:vMerge w:val="restart"/>
            <w:noWrap w:val="0"/>
            <w:vAlign w:val="center"/>
          </w:tcPr>
          <w:p>
            <w:pPr>
              <w:tabs>
                <w:tab w:val="left" w:pos="0"/>
              </w:tabs>
              <w:spacing w:line="360" w:lineRule="exact"/>
              <w:jc w:val="center"/>
              <w:rPr>
                <w:rFonts w:hint="eastAsia" w:ascii="宋体" w:hAnsi="宋体"/>
                <w:bCs/>
                <w:color w:val="000000"/>
                <w:szCs w:val="21"/>
              </w:rPr>
            </w:pPr>
            <w:r>
              <w:rPr>
                <w:rFonts w:hint="eastAsia" w:ascii="宋体" w:hAnsi="宋体" w:cs="宋体"/>
                <w:bCs/>
                <w:color w:val="000000"/>
                <w:kern w:val="0"/>
                <w:szCs w:val="21"/>
              </w:rPr>
              <w:t>初步可行的中/高费方案</w:t>
            </w: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F24</w:t>
            </w:r>
          </w:p>
        </w:tc>
        <w:tc>
          <w:tcPr>
            <w:tcW w:w="4998" w:type="dxa"/>
            <w:noWrap w:val="0"/>
            <w:vAlign w:val="top"/>
          </w:tcPr>
          <w:p>
            <w:pPr>
              <w:rPr>
                <w:rFonts w:hint="eastAsia" w:ascii="宋体" w:hAnsi="宋体"/>
                <w:color w:val="000000"/>
                <w:szCs w:val="21"/>
              </w:rPr>
            </w:pPr>
            <w:r>
              <w:rPr>
                <w:rFonts w:hint="eastAsia" w:ascii="宋体" w:hAnsi="宋体"/>
                <w:color w:val="000000"/>
                <w:szCs w:val="21"/>
              </w:rPr>
              <w:t>完善选矿厂雨污分流系统</w:t>
            </w:r>
          </w:p>
        </w:tc>
        <w:tc>
          <w:tcPr>
            <w:tcW w:w="925" w:type="dxa"/>
            <w:vMerge w:val="restart"/>
            <w:noWrap w:val="0"/>
            <w:vAlign w:val="top"/>
          </w:tcPr>
          <w:p>
            <w:pPr>
              <w:spacing w:line="360" w:lineRule="exact"/>
              <w:jc w:val="center"/>
              <w:rPr>
                <w:rFonts w:hint="eastAsia" w:ascii="宋体" w:hAnsi="宋体"/>
                <w:color w:val="000000"/>
                <w:szCs w:val="21"/>
              </w:rPr>
            </w:pPr>
            <w:r>
              <w:rPr>
                <w:rFonts w:hint="eastAsia" w:ascii="宋体" w:hAnsi="宋体"/>
                <w:color w:val="000000"/>
                <w:szCs w:val="21"/>
              </w:rPr>
              <w:t>2（个）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1" w:hRule="atLeast"/>
          <w:jc w:val="center"/>
        </w:trPr>
        <w:tc>
          <w:tcPr>
            <w:tcW w:w="2874" w:type="dxa"/>
            <w:vMerge w:val="continue"/>
            <w:noWrap w:val="0"/>
            <w:vAlign w:val="center"/>
          </w:tcPr>
          <w:p>
            <w:pPr>
              <w:tabs>
                <w:tab w:val="left" w:pos="0"/>
              </w:tabs>
              <w:spacing w:line="360" w:lineRule="exact"/>
              <w:jc w:val="center"/>
              <w:rPr>
                <w:rFonts w:hint="eastAsia" w:ascii="宋体" w:hAnsi="宋体" w:cs="宋体"/>
                <w:bCs/>
                <w:color w:val="000000"/>
                <w:kern w:val="0"/>
                <w:szCs w:val="21"/>
              </w:rPr>
            </w:pPr>
          </w:p>
        </w:tc>
        <w:tc>
          <w:tcPr>
            <w:tcW w:w="752"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F25</w:t>
            </w:r>
          </w:p>
        </w:tc>
        <w:tc>
          <w:tcPr>
            <w:tcW w:w="4998" w:type="dxa"/>
            <w:noWrap w:val="0"/>
            <w:vAlign w:val="center"/>
          </w:tcPr>
          <w:p>
            <w:pPr>
              <w:rPr>
                <w:rFonts w:hint="eastAsia" w:ascii="宋体" w:hAnsi="宋体"/>
                <w:color w:val="000000"/>
                <w:szCs w:val="21"/>
              </w:rPr>
            </w:pPr>
            <w:r>
              <w:rPr>
                <w:rFonts w:hint="eastAsia" w:ascii="宋体" w:hAnsi="宋体"/>
                <w:color w:val="000000"/>
                <w:szCs w:val="21"/>
              </w:rPr>
              <w:t>精矿库维护改造</w:t>
            </w:r>
          </w:p>
        </w:tc>
        <w:tc>
          <w:tcPr>
            <w:tcW w:w="925" w:type="dxa"/>
            <w:vMerge w:val="continue"/>
            <w:noWrap w:val="0"/>
            <w:vAlign w:val="top"/>
          </w:tcPr>
          <w:p>
            <w:pPr>
              <w:spacing w:line="360" w:lineRule="exact"/>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8" w:hRule="atLeast"/>
          <w:jc w:val="center"/>
        </w:trPr>
        <w:tc>
          <w:tcPr>
            <w:tcW w:w="2874" w:type="dxa"/>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不可行方案</w:t>
            </w:r>
          </w:p>
        </w:tc>
        <w:tc>
          <w:tcPr>
            <w:tcW w:w="752" w:type="dxa"/>
            <w:noWrap w:val="0"/>
            <w:vAlign w:val="top"/>
          </w:tcPr>
          <w:p>
            <w:pPr>
              <w:widowControl/>
              <w:spacing w:line="360" w:lineRule="exact"/>
              <w:jc w:val="center"/>
              <w:rPr>
                <w:rFonts w:hint="eastAsia" w:ascii="宋体" w:hAnsi="宋体"/>
                <w:color w:val="000000"/>
                <w:kern w:val="0"/>
                <w:szCs w:val="21"/>
              </w:rPr>
            </w:pPr>
          </w:p>
        </w:tc>
        <w:tc>
          <w:tcPr>
            <w:tcW w:w="4998" w:type="dxa"/>
            <w:noWrap w:val="0"/>
            <w:vAlign w:val="top"/>
          </w:tcPr>
          <w:p>
            <w:pPr>
              <w:widowControl/>
              <w:spacing w:line="360" w:lineRule="exact"/>
              <w:jc w:val="center"/>
              <w:rPr>
                <w:rFonts w:hint="eastAsia" w:ascii="宋体" w:hAnsi="宋体"/>
                <w:color w:val="000000"/>
                <w:szCs w:val="21"/>
              </w:rPr>
            </w:pPr>
            <w:r>
              <w:rPr>
                <w:rFonts w:hint="eastAsia" w:ascii="宋体" w:hAnsi="宋体"/>
                <w:color w:val="000000"/>
                <w:szCs w:val="21"/>
              </w:rPr>
              <w:t>（无）</w:t>
            </w:r>
          </w:p>
        </w:tc>
        <w:tc>
          <w:tcPr>
            <w:tcW w:w="925" w:type="dxa"/>
            <w:noWrap w:val="0"/>
            <w:vAlign w:val="top"/>
          </w:tcPr>
          <w:p>
            <w:pPr>
              <w:tabs>
                <w:tab w:val="left" w:pos="0"/>
              </w:tabs>
              <w:spacing w:line="360" w:lineRule="exact"/>
              <w:jc w:val="center"/>
              <w:rPr>
                <w:rFonts w:hint="eastAsia" w:ascii="宋体" w:hAnsi="宋体"/>
                <w:bCs/>
                <w:color w:val="000000"/>
                <w:szCs w:val="21"/>
              </w:rPr>
            </w:pPr>
            <w:r>
              <w:rPr>
                <w:rFonts w:hint="eastAsia" w:ascii="宋体" w:hAnsi="宋体"/>
                <w:bCs/>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28" w:hRule="atLeast"/>
          <w:jc w:val="center"/>
        </w:trPr>
        <w:tc>
          <w:tcPr>
            <w:tcW w:w="2874" w:type="dxa"/>
            <w:noWrap w:val="0"/>
            <w:vAlign w:val="center"/>
          </w:tcPr>
          <w:p>
            <w:pPr>
              <w:tabs>
                <w:tab w:val="left" w:pos="0"/>
              </w:tabs>
              <w:autoSpaceDE w:val="0"/>
              <w:autoSpaceDN w:val="0"/>
              <w:adjustRightInd w:val="0"/>
              <w:spacing w:line="360" w:lineRule="exact"/>
              <w:jc w:val="center"/>
              <w:rPr>
                <w:rFonts w:hint="eastAsia" w:ascii="宋体" w:hAnsi="宋体" w:cs="宋体"/>
                <w:bCs/>
                <w:color w:val="000000"/>
                <w:kern w:val="0"/>
                <w:szCs w:val="21"/>
              </w:rPr>
            </w:pPr>
            <w:r>
              <w:rPr>
                <w:rFonts w:hint="eastAsia" w:ascii="宋体" w:hAnsi="宋体" w:cs="宋体"/>
                <w:bCs/>
                <w:color w:val="000000"/>
                <w:kern w:val="0"/>
                <w:szCs w:val="21"/>
              </w:rPr>
              <w:t>不可行方案说明</w:t>
            </w:r>
          </w:p>
        </w:tc>
        <w:tc>
          <w:tcPr>
            <w:tcW w:w="752" w:type="dxa"/>
            <w:noWrap w:val="0"/>
            <w:vAlign w:val="top"/>
          </w:tcPr>
          <w:p>
            <w:pPr>
              <w:widowControl/>
              <w:spacing w:line="360" w:lineRule="exact"/>
              <w:jc w:val="center"/>
              <w:rPr>
                <w:rFonts w:hint="eastAsia" w:ascii="宋体" w:hAnsi="宋体"/>
                <w:color w:val="000000"/>
                <w:kern w:val="0"/>
                <w:szCs w:val="21"/>
              </w:rPr>
            </w:pPr>
          </w:p>
        </w:tc>
        <w:tc>
          <w:tcPr>
            <w:tcW w:w="4998" w:type="dxa"/>
            <w:noWrap w:val="0"/>
            <w:vAlign w:val="top"/>
          </w:tcPr>
          <w:p>
            <w:pPr>
              <w:widowControl/>
              <w:spacing w:line="360" w:lineRule="exact"/>
              <w:rPr>
                <w:rFonts w:hint="eastAsia" w:ascii="宋体" w:hAnsi="宋体"/>
                <w:color w:val="000000"/>
                <w:szCs w:val="21"/>
              </w:rPr>
            </w:pPr>
          </w:p>
        </w:tc>
        <w:tc>
          <w:tcPr>
            <w:tcW w:w="925" w:type="dxa"/>
            <w:noWrap w:val="0"/>
            <w:vAlign w:val="top"/>
          </w:tcPr>
          <w:p>
            <w:pPr>
              <w:tabs>
                <w:tab w:val="left" w:pos="0"/>
              </w:tabs>
              <w:spacing w:line="360" w:lineRule="exact"/>
              <w:jc w:val="left"/>
              <w:rPr>
                <w:rFonts w:hint="eastAsia" w:ascii="宋体" w:hAnsi="宋体"/>
                <w:bCs/>
                <w:color w:val="000000"/>
                <w:szCs w:val="21"/>
              </w:rPr>
            </w:pPr>
          </w:p>
        </w:tc>
      </w:tr>
    </w:tbl>
    <w:p>
      <w:pPr>
        <w:pStyle w:val="5"/>
        <w:spacing w:before="0" w:after="0" w:line="360" w:lineRule="auto"/>
        <w:rPr>
          <w:rFonts w:hint="eastAsia"/>
          <w:color w:val="000000"/>
        </w:rPr>
      </w:pPr>
      <w:bookmarkStart w:id="429" w:name="_Toc287917966"/>
      <w:bookmarkStart w:id="430" w:name="_Toc291960350"/>
      <w:bookmarkStart w:id="431" w:name="_Toc296604628"/>
      <w:bookmarkStart w:id="432" w:name="_Toc427653782"/>
      <w:bookmarkStart w:id="433" w:name="_Toc433986929"/>
      <w:bookmarkStart w:id="434" w:name="_Toc23000912"/>
      <w:r>
        <w:rPr>
          <w:rFonts w:hint="eastAsia"/>
          <w:color w:val="000000"/>
        </w:rPr>
        <w:t>4.2.2 中/高费方案筛选</w:t>
      </w:r>
      <w:bookmarkEnd w:id="429"/>
      <w:bookmarkEnd w:id="430"/>
      <w:bookmarkEnd w:id="431"/>
      <w:bookmarkEnd w:id="432"/>
      <w:bookmarkEnd w:id="433"/>
      <w:bookmarkEnd w:id="434"/>
    </w:p>
    <w:p>
      <w:pPr>
        <w:spacing w:line="360" w:lineRule="auto"/>
        <w:ind w:firstLine="480" w:firstLineChars="200"/>
        <w:rPr>
          <w:rFonts w:hint="eastAsia" w:ascii="宋体" w:hAnsi="宋体"/>
          <w:color w:val="000000"/>
          <w:kern w:val="0"/>
          <w:sz w:val="24"/>
        </w:rPr>
      </w:pPr>
      <w:r>
        <w:rPr>
          <w:rFonts w:hint="eastAsia" w:ascii="宋体" w:hAnsi="宋体"/>
          <w:color w:val="000000"/>
          <w:kern w:val="0"/>
          <w:sz w:val="24"/>
        </w:rPr>
        <w:t>对于上述2个中/高费方案，审核小组决定采取权重总和积分排序法对其进行筛选，确定权重因素为经济效益、节能效果、技术可行性、降耗、实施难易程度进行评分，权重值 ：</w:t>
      </w:r>
      <w:r>
        <w:rPr>
          <w:rFonts w:hint="eastAsia" w:ascii="宋体" w:hAnsi="宋体"/>
          <w:color w:val="000000"/>
          <w:sz w:val="24"/>
        </w:rPr>
        <w:t>环境效果</w:t>
      </w:r>
      <w:r>
        <w:rPr>
          <w:rFonts w:hint="eastAsia" w:ascii="宋体" w:hAnsi="宋体"/>
          <w:color w:val="000000"/>
          <w:kern w:val="0"/>
          <w:sz w:val="24"/>
        </w:rPr>
        <w:t>＝10，</w:t>
      </w:r>
      <w:r>
        <w:rPr>
          <w:rFonts w:hint="eastAsia" w:ascii="宋体" w:hAnsi="宋体"/>
          <w:color w:val="000000"/>
          <w:sz w:val="24"/>
        </w:rPr>
        <w:t>经济可行性</w:t>
      </w:r>
      <w:r>
        <w:rPr>
          <w:rFonts w:hint="eastAsia" w:ascii="宋体" w:hAnsi="宋体"/>
          <w:color w:val="000000"/>
          <w:kern w:val="0"/>
          <w:sz w:val="24"/>
        </w:rPr>
        <w:t>＝8、</w:t>
      </w:r>
      <w:r>
        <w:rPr>
          <w:rFonts w:hint="eastAsia" w:ascii="宋体" w:hAnsi="宋体"/>
          <w:color w:val="000000"/>
          <w:sz w:val="24"/>
        </w:rPr>
        <w:t>技术可行性</w:t>
      </w:r>
      <w:r>
        <w:rPr>
          <w:rFonts w:hint="eastAsia" w:ascii="宋体" w:hAnsi="宋体"/>
          <w:color w:val="000000"/>
          <w:kern w:val="0"/>
          <w:sz w:val="24"/>
        </w:rPr>
        <w:t>＝6、</w:t>
      </w:r>
      <w:r>
        <w:rPr>
          <w:rFonts w:hint="eastAsia" w:ascii="宋体" w:hAnsi="宋体"/>
          <w:color w:val="000000"/>
          <w:sz w:val="24"/>
        </w:rPr>
        <w:t>可实施性</w:t>
      </w:r>
      <w:r>
        <w:rPr>
          <w:rFonts w:hint="eastAsia" w:ascii="宋体" w:hAnsi="宋体"/>
          <w:color w:val="000000"/>
          <w:kern w:val="0"/>
          <w:sz w:val="24"/>
        </w:rPr>
        <w:t>＝5、实施难易程度＝4。详见表4-4。</w:t>
      </w:r>
    </w:p>
    <w:p>
      <w:pPr>
        <w:spacing w:line="280" w:lineRule="exact"/>
        <w:jc w:val="center"/>
        <w:rPr>
          <w:rFonts w:hint="eastAsia" w:ascii="宋体" w:hAnsi="宋体"/>
          <w:b/>
          <w:color w:val="000000"/>
          <w:sz w:val="24"/>
        </w:rPr>
      </w:pPr>
      <w:r>
        <w:rPr>
          <w:rFonts w:hint="eastAsia" w:ascii="宋体" w:hAnsi="宋体"/>
          <w:b/>
          <w:color w:val="000000"/>
          <w:sz w:val="24"/>
        </w:rPr>
        <w:t>表4－4   方案的权重总和积分排序表</w:t>
      </w:r>
    </w:p>
    <w:tbl>
      <w:tblPr>
        <w:tblStyle w:val="35"/>
        <w:tblW w:w="0" w:type="auto"/>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4"/>
        <w:gridCol w:w="1446"/>
        <w:gridCol w:w="1157"/>
        <w:gridCol w:w="1446"/>
        <w:gridCol w:w="1017"/>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5" w:hRule="atLeast"/>
        </w:trPr>
        <w:tc>
          <w:tcPr>
            <w:tcW w:w="2134" w:type="dxa"/>
            <w:vMerge w:val="restart"/>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权重因素</w:t>
            </w:r>
          </w:p>
        </w:tc>
        <w:tc>
          <w:tcPr>
            <w:tcW w:w="1446" w:type="dxa"/>
            <w:vMerge w:val="restart"/>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权重值</w:t>
            </w:r>
          </w:p>
          <w:p>
            <w:pPr>
              <w:spacing w:line="280" w:lineRule="exact"/>
              <w:jc w:val="center"/>
              <w:rPr>
                <w:rFonts w:hint="eastAsia" w:ascii="宋体" w:hAnsi="宋体"/>
                <w:color w:val="000000"/>
                <w:szCs w:val="21"/>
              </w:rPr>
            </w:pPr>
            <w:r>
              <w:rPr>
                <w:rFonts w:hint="eastAsia" w:ascii="宋体" w:hAnsi="宋体"/>
                <w:color w:val="000000"/>
                <w:szCs w:val="21"/>
              </w:rPr>
              <w:t>（W）</w:t>
            </w:r>
          </w:p>
        </w:tc>
        <w:tc>
          <w:tcPr>
            <w:tcW w:w="2603" w:type="dxa"/>
            <w:gridSpan w:val="2"/>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方案</w:t>
            </w:r>
            <w:r>
              <w:rPr>
                <w:rFonts w:hint="eastAsia" w:ascii="宋体" w:hAnsi="宋体" w:cs="宋体"/>
                <w:color w:val="000000"/>
                <w:kern w:val="0"/>
                <w:szCs w:val="21"/>
              </w:rPr>
              <w:t>F24</w:t>
            </w:r>
          </w:p>
        </w:tc>
        <w:tc>
          <w:tcPr>
            <w:tcW w:w="2637" w:type="dxa"/>
            <w:gridSpan w:val="2"/>
            <w:noWrap w:val="0"/>
            <w:vAlign w:val="top"/>
          </w:tcPr>
          <w:p>
            <w:pPr>
              <w:widowControl/>
              <w:spacing w:line="280" w:lineRule="exact"/>
              <w:jc w:val="center"/>
              <w:rPr>
                <w:rFonts w:hint="eastAsia" w:ascii="宋体" w:hAnsi="宋体"/>
                <w:color w:val="000000"/>
                <w:kern w:val="0"/>
                <w:sz w:val="28"/>
                <w:szCs w:val="28"/>
              </w:rPr>
            </w:pPr>
            <w:r>
              <w:rPr>
                <w:rFonts w:hint="eastAsia" w:ascii="宋体" w:hAnsi="宋体"/>
                <w:color w:val="000000"/>
                <w:szCs w:val="21"/>
              </w:rPr>
              <w:t>方案</w:t>
            </w:r>
            <w:r>
              <w:rPr>
                <w:rFonts w:hint="eastAsia" w:ascii="宋体" w:hAnsi="宋体" w:cs="宋体"/>
                <w:color w:val="000000"/>
                <w:kern w:val="0"/>
                <w:szCs w:val="21"/>
              </w:rPr>
              <w:t>F25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134" w:type="dxa"/>
            <w:vMerge w:val="continue"/>
            <w:noWrap w:val="0"/>
            <w:vAlign w:val="center"/>
          </w:tcPr>
          <w:p>
            <w:pPr>
              <w:spacing w:line="280" w:lineRule="exact"/>
              <w:ind w:firstLine="480"/>
              <w:jc w:val="center"/>
              <w:rPr>
                <w:rFonts w:hint="eastAsia" w:ascii="宋体" w:hAnsi="宋体"/>
                <w:color w:val="000000"/>
                <w:szCs w:val="21"/>
              </w:rPr>
            </w:pPr>
          </w:p>
        </w:tc>
        <w:tc>
          <w:tcPr>
            <w:tcW w:w="1446" w:type="dxa"/>
            <w:vMerge w:val="continue"/>
            <w:noWrap w:val="0"/>
            <w:vAlign w:val="top"/>
          </w:tcPr>
          <w:p>
            <w:pPr>
              <w:spacing w:line="280" w:lineRule="exact"/>
              <w:ind w:firstLine="480"/>
              <w:jc w:val="center"/>
              <w:rPr>
                <w:rFonts w:hint="eastAsia" w:ascii="宋体" w:hAnsi="宋体"/>
                <w:color w:val="000000"/>
                <w:szCs w:val="21"/>
              </w:rPr>
            </w:pPr>
          </w:p>
        </w:tc>
        <w:tc>
          <w:tcPr>
            <w:tcW w:w="1157"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w:t>
            </w:r>
          </w:p>
        </w:tc>
        <w:tc>
          <w:tcPr>
            <w:tcW w:w="1446"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RXW</w:t>
            </w:r>
          </w:p>
        </w:tc>
        <w:tc>
          <w:tcPr>
            <w:tcW w:w="1017"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w:t>
            </w:r>
          </w:p>
        </w:tc>
        <w:tc>
          <w:tcPr>
            <w:tcW w:w="1620"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RXW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134" w:type="dxa"/>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环境效果</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10</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10</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100</w:t>
            </w:r>
          </w:p>
        </w:tc>
        <w:tc>
          <w:tcPr>
            <w:tcW w:w="1017"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10</w:t>
            </w:r>
          </w:p>
        </w:tc>
        <w:tc>
          <w:tcPr>
            <w:tcW w:w="1620"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134" w:type="dxa"/>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经济可行性</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8</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6</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48</w:t>
            </w:r>
          </w:p>
        </w:tc>
        <w:tc>
          <w:tcPr>
            <w:tcW w:w="1017"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5</w:t>
            </w:r>
          </w:p>
        </w:tc>
        <w:tc>
          <w:tcPr>
            <w:tcW w:w="1620"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134" w:type="dxa"/>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技术可行性</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6</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9</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54</w:t>
            </w:r>
          </w:p>
        </w:tc>
        <w:tc>
          <w:tcPr>
            <w:tcW w:w="1017"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8</w:t>
            </w:r>
          </w:p>
        </w:tc>
        <w:tc>
          <w:tcPr>
            <w:tcW w:w="1620"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134" w:type="dxa"/>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可实施性</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5</w:t>
            </w:r>
          </w:p>
        </w:tc>
        <w:tc>
          <w:tcPr>
            <w:tcW w:w="1157"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9</w:t>
            </w: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45</w:t>
            </w:r>
          </w:p>
        </w:tc>
        <w:tc>
          <w:tcPr>
            <w:tcW w:w="1017"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9</w:t>
            </w:r>
          </w:p>
        </w:tc>
        <w:tc>
          <w:tcPr>
            <w:tcW w:w="1620"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134" w:type="dxa"/>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总分（R×W）</w:t>
            </w:r>
          </w:p>
        </w:tc>
        <w:tc>
          <w:tcPr>
            <w:tcW w:w="1446" w:type="dxa"/>
            <w:noWrap w:val="0"/>
            <w:vAlign w:val="top"/>
          </w:tcPr>
          <w:p>
            <w:pPr>
              <w:spacing w:line="280" w:lineRule="exact"/>
              <w:jc w:val="center"/>
              <w:rPr>
                <w:rFonts w:hint="eastAsia" w:ascii="宋体" w:hAnsi="宋体"/>
                <w:color w:val="000000"/>
                <w:szCs w:val="21"/>
              </w:rPr>
            </w:pPr>
          </w:p>
        </w:tc>
        <w:tc>
          <w:tcPr>
            <w:tcW w:w="1157" w:type="dxa"/>
            <w:noWrap w:val="0"/>
            <w:vAlign w:val="top"/>
          </w:tcPr>
          <w:p>
            <w:pPr>
              <w:spacing w:line="280" w:lineRule="exact"/>
              <w:jc w:val="center"/>
              <w:rPr>
                <w:rFonts w:hint="eastAsia" w:ascii="宋体" w:hAnsi="宋体"/>
                <w:color w:val="000000"/>
                <w:szCs w:val="21"/>
              </w:rPr>
            </w:pP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247</w:t>
            </w:r>
          </w:p>
        </w:tc>
        <w:tc>
          <w:tcPr>
            <w:tcW w:w="1017" w:type="dxa"/>
            <w:noWrap w:val="0"/>
            <w:vAlign w:val="top"/>
          </w:tcPr>
          <w:p>
            <w:pPr>
              <w:widowControl/>
              <w:spacing w:line="280" w:lineRule="exact"/>
              <w:jc w:val="center"/>
              <w:rPr>
                <w:rFonts w:hint="eastAsia" w:ascii="宋体" w:hAnsi="宋体"/>
                <w:color w:val="000000"/>
                <w:kern w:val="0"/>
                <w:szCs w:val="21"/>
              </w:rPr>
            </w:pPr>
          </w:p>
        </w:tc>
        <w:tc>
          <w:tcPr>
            <w:tcW w:w="1620"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1" w:hRule="atLeast"/>
        </w:trPr>
        <w:tc>
          <w:tcPr>
            <w:tcW w:w="2134" w:type="dxa"/>
            <w:noWrap w:val="0"/>
            <w:vAlign w:val="center"/>
          </w:tcPr>
          <w:p>
            <w:pPr>
              <w:spacing w:line="280" w:lineRule="exact"/>
              <w:jc w:val="center"/>
              <w:rPr>
                <w:rFonts w:hint="eastAsia" w:ascii="宋体" w:hAnsi="宋体"/>
                <w:color w:val="000000"/>
                <w:szCs w:val="21"/>
              </w:rPr>
            </w:pPr>
            <w:r>
              <w:rPr>
                <w:rFonts w:hint="eastAsia" w:ascii="宋体" w:hAnsi="宋体"/>
                <w:color w:val="000000"/>
                <w:szCs w:val="21"/>
              </w:rPr>
              <w:t>合计</w:t>
            </w:r>
          </w:p>
        </w:tc>
        <w:tc>
          <w:tcPr>
            <w:tcW w:w="1446" w:type="dxa"/>
            <w:noWrap w:val="0"/>
            <w:vAlign w:val="top"/>
          </w:tcPr>
          <w:p>
            <w:pPr>
              <w:spacing w:line="280" w:lineRule="exact"/>
              <w:jc w:val="center"/>
              <w:rPr>
                <w:rFonts w:hint="eastAsia" w:ascii="宋体" w:hAnsi="宋体"/>
                <w:color w:val="000000"/>
                <w:szCs w:val="21"/>
              </w:rPr>
            </w:pPr>
          </w:p>
        </w:tc>
        <w:tc>
          <w:tcPr>
            <w:tcW w:w="1157" w:type="dxa"/>
            <w:noWrap w:val="0"/>
            <w:vAlign w:val="top"/>
          </w:tcPr>
          <w:p>
            <w:pPr>
              <w:spacing w:line="280" w:lineRule="exact"/>
              <w:jc w:val="center"/>
              <w:rPr>
                <w:rFonts w:hint="eastAsia" w:ascii="宋体" w:hAnsi="宋体"/>
                <w:color w:val="000000"/>
                <w:szCs w:val="21"/>
              </w:rPr>
            </w:pPr>
          </w:p>
        </w:tc>
        <w:tc>
          <w:tcPr>
            <w:tcW w:w="1446"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1</w:t>
            </w:r>
          </w:p>
        </w:tc>
        <w:tc>
          <w:tcPr>
            <w:tcW w:w="1017" w:type="dxa"/>
            <w:noWrap w:val="0"/>
            <w:vAlign w:val="top"/>
          </w:tcPr>
          <w:p>
            <w:pPr>
              <w:widowControl/>
              <w:spacing w:line="280" w:lineRule="exact"/>
              <w:jc w:val="center"/>
              <w:rPr>
                <w:rFonts w:hint="eastAsia" w:ascii="宋体" w:hAnsi="宋体"/>
                <w:color w:val="000000"/>
                <w:kern w:val="0"/>
                <w:szCs w:val="21"/>
              </w:rPr>
            </w:pPr>
          </w:p>
        </w:tc>
        <w:tc>
          <w:tcPr>
            <w:tcW w:w="1620" w:type="dxa"/>
            <w:noWrap w:val="0"/>
            <w:vAlign w:val="top"/>
          </w:tcPr>
          <w:p>
            <w:pPr>
              <w:widowControl/>
              <w:spacing w:line="280" w:lineRule="exact"/>
              <w:jc w:val="center"/>
              <w:rPr>
                <w:rFonts w:hint="eastAsia" w:ascii="宋体" w:hAnsi="宋体"/>
                <w:color w:val="000000"/>
                <w:kern w:val="0"/>
                <w:szCs w:val="21"/>
              </w:rPr>
            </w:pPr>
            <w:r>
              <w:rPr>
                <w:rFonts w:hint="eastAsia" w:ascii="宋体" w:hAnsi="宋体"/>
                <w:color w:val="000000"/>
                <w:kern w:val="0"/>
                <w:szCs w:val="21"/>
              </w:rPr>
              <w:t>2</w:t>
            </w:r>
          </w:p>
        </w:tc>
      </w:tr>
    </w:tbl>
    <w:p>
      <w:pPr>
        <w:widowControl/>
        <w:spacing w:before="120" w:beforeLines="50" w:line="360" w:lineRule="auto"/>
        <w:ind w:firstLine="470" w:firstLineChars="196"/>
        <w:rPr>
          <w:rFonts w:ascii="宋体" w:hAnsi="宋体"/>
          <w:color w:val="000000"/>
          <w:kern w:val="0"/>
          <w:sz w:val="24"/>
        </w:rPr>
      </w:pPr>
      <w:r>
        <w:rPr>
          <w:rFonts w:hint="eastAsia" w:ascii="宋体" w:hAnsi="宋体"/>
          <w:color w:val="000000"/>
          <w:kern w:val="0"/>
          <w:sz w:val="24"/>
        </w:rPr>
        <w:t>从表中可以看出F24、F25方案虽然经济效益较差，但具有良好的环境效果，且技术上都是比较成熟。这两个项目主要是环保项目，产生有经济效益不高，但对控制污染物排放方面有效好的环境效益，可以实施。因此，审核小组决定对方案进入下一阶段的经济、技术、环境可行性分析，确定投资收益。</w:t>
      </w:r>
    </w:p>
    <w:p>
      <w:pPr>
        <w:pStyle w:val="4"/>
        <w:spacing w:before="240" w:after="120" w:line="415" w:lineRule="auto"/>
        <w:rPr>
          <w:rFonts w:hint="eastAsia"/>
          <w:color w:val="000000"/>
        </w:rPr>
      </w:pPr>
      <w:bookmarkStart w:id="435" w:name="_Toc282248889"/>
      <w:bookmarkStart w:id="436" w:name="_Toc291960352"/>
      <w:bookmarkStart w:id="437" w:name="_Toc433986930"/>
      <w:bookmarkStart w:id="438" w:name="_Toc296604630"/>
      <w:bookmarkStart w:id="439" w:name="_Toc427653783"/>
      <w:bookmarkStart w:id="440" w:name="_Toc280366472"/>
      <w:bookmarkStart w:id="441" w:name="_Toc280366591"/>
      <w:bookmarkStart w:id="442" w:name="_Toc23000913"/>
      <w:r>
        <w:rPr>
          <w:rFonts w:hint="eastAsia"/>
          <w:color w:val="000000"/>
        </w:rPr>
        <w:t>4.3 方案的研制</w:t>
      </w:r>
      <w:bookmarkEnd w:id="435"/>
      <w:bookmarkEnd w:id="436"/>
      <w:bookmarkEnd w:id="437"/>
      <w:bookmarkEnd w:id="438"/>
      <w:bookmarkEnd w:id="439"/>
      <w:bookmarkEnd w:id="440"/>
      <w:bookmarkEnd w:id="441"/>
      <w:bookmarkEnd w:id="442"/>
    </w:p>
    <w:p>
      <w:pPr>
        <w:widowControl/>
        <w:spacing w:line="360" w:lineRule="auto"/>
        <w:ind w:firstLine="470" w:firstLineChars="196"/>
        <w:rPr>
          <w:rFonts w:ascii="宋体" w:hAnsi="宋体"/>
          <w:color w:val="000000"/>
          <w:kern w:val="0"/>
          <w:sz w:val="24"/>
        </w:rPr>
      </w:pPr>
      <w:r>
        <w:rPr>
          <w:rFonts w:hint="eastAsia" w:ascii="宋体" w:hAnsi="宋体"/>
          <w:color w:val="000000"/>
          <w:kern w:val="0"/>
          <w:sz w:val="24"/>
        </w:rPr>
        <w:t>对得出的2个中</w:t>
      </w:r>
      <w:r>
        <w:rPr>
          <w:rFonts w:ascii="宋体" w:hAnsi="宋体"/>
          <w:color w:val="000000"/>
          <w:kern w:val="0"/>
          <w:sz w:val="24"/>
        </w:rPr>
        <w:t>/</w:t>
      </w:r>
      <w:r>
        <w:rPr>
          <w:rFonts w:hint="eastAsia" w:ascii="宋体" w:hAnsi="宋体"/>
          <w:color w:val="000000"/>
          <w:kern w:val="0"/>
          <w:sz w:val="24"/>
        </w:rPr>
        <w:t>高费清洁生产方案，现对其进行研制。详见表4－5、4－6。</w:t>
      </w:r>
    </w:p>
    <w:p>
      <w:pPr>
        <w:spacing w:line="360" w:lineRule="auto"/>
        <w:jc w:val="center"/>
        <w:rPr>
          <w:rFonts w:hint="eastAsia" w:ascii="宋体" w:hAnsi="宋体"/>
          <w:b/>
          <w:bCs/>
          <w:color w:val="000000"/>
          <w:sz w:val="24"/>
          <w:szCs w:val="24"/>
        </w:rPr>
      </w:pPr>
      <w:r>
        <w:rPr>
          <w:rFonts w:hint="eastAsia" w:ascii="宋体" w:hAnsi="宋体"/>
          <w:b/>
          <w:bCs/>
          <w:color w:val="000000"/>
          <w:sz w:val="24"/>
          <w:szCs w:val="24"/>
        </w:rPr>
        <w:t>表4－5   方案F24完善选矿厂雨污分流系统的研制</w:t>
      </w:r>
    </w:p>
    <w:tbl>
      <w:tblPr>
        <w:tblStyle w:val="35"/>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0"/>
        <w:gridCol w:w="3974"/>
        <w:gridCol w:w="1477"/>
        <w:gridCol w:w="1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21" w:hRule="exact"/>
          <w:tblHeader/>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方案名称</w:t>
            </w:r>
          </w:p>
        </w:tc>
        <w:tc>
          <w:tcPr>
            <w:tcW w:w="397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jc w:val="center"/>
              <w:rPr>
                <w:rFonts w:hint="eastAsia" w:ascii="宋体" w:hAnsi="宋体" w:cs="宋体"/>
                <w:bCs/>
                <w:color w:val="000000"/>
                <w:kern w:val="0"/>
                <w:szCs w:val="21"/>
              </w:rPr>
            </w:pPr>
            <w:r>
              <w:rPr>
                <w:rFonts w:hint="eastAsia" w:ascii="宋体" w:hAnsi="宋体"/>
                <w:color w:val="000000"/>
                <w:szCs w:val="21"/>
              </w:rPr>
              <w:t>完善选矿厂雨污分流系统</w:t>
            </w:r>
          </w:p>
        </w:tc>
        <w:tc>
          <w:tcPr>
            <w:tcW w:w="1477"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方案编号</w:t>
            </w:r>
          </w:p>
        </w:tc>
        <w:tc>
          <w:tcPr>
            <w:tcW w:w="1749"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F24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1235" w:hRule="exac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方案内容和</w:t>
            </w:r>
          </w:p>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技术要点</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ascii="宋体" w:hAnsi="宋体" w:cs="宋体"/>
                <w:color w:val="000000"/>
                <w:szCs w:val="21"/>
              </w:rPr>
            </w:pPr>
            <w:r>
              <w:rPr>
                <w:rFonts w:hint="eastAsia" w:ascii="宋体" w:hAnsi="宋体"/>
                <w:color w:val="000000"/>
                <w:szCs w:val="21"/>
              </w:rPr>
              <w:t>将选矿原料、破碎生产区，渣水分离工作区，矿办公区雨水统一收集到沟下面收集池，用于收集初期雨水。同时可将收集的雨水回用于生产，节约资源。对选矿区的浮选车间，精矿车间的污水（包含雨水）全部收集于污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77"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主要设备</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color w:val="000000"/>
                <w:szCs w:val="21"/>
              </w:rPr>
            </w:pPr>
            <w:r>
              <w:rPr>
                <w:rFonts w:hint="eastAsia" w:ascii="宋体" w:hAnsi="宋体"/>
                <w:color w:val="000000"/>
                <w:szCs w:val="21"/>
              </w:rPr>
              <w:t>收集池,污水应急池,厂区水沟,管道.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61"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实施费用</w:t>
            </w:r>
          </w:p>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(预计投资)</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color w:val="000000"/>
                <w:szCs w:val="21"/>
              </w:rPr>
            </w:pPr>
            <w:r>
              <w:rPr>
                <w:rFonts w:hint="eastAsia" w:ascii="宋体" w:hAnsi="宋体"/>
                <w:color w:val="000000"/>
                <w:szCs w:val="21"/>
              </w:rPr>
              <w:t>70万元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1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经济效益</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spacing w:line="300" w:lineRule="exact"/>
              <w:ind w:firstLine="420" w:firstLineChars="200"/>
              <w:rPr>
                <w:rFonts w:hint="eastAsia" w:ascii="宋体" w:hAnsi="宋体"/>
                <w:color w:val="000000"/>
                <w:szCs w:val="21"/>
              </w:rPr>
            </w:pPr>
            <w:r>
              <w:rPr>
                <w:rFonts w:hint="eastAsia" w:ascii="宋体" w:hAnsi="宋体"/>
                <w:color w:val="000000"/>
                <w:szCs w:val="21"/>
              </w:rPr>
              <w:t>15万元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8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环境效益</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color w:val="000000"/>
                <w:szCs w:val="21"/>
              </w:rPr>
              <w:t>年节水25000吨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623"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是否</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成熟的技术</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420" w:firstLineChars="200"/>
              <w:rPr>
                <w:rFonts w:hint="eastAsia" w:ascii="宋体" w:hAnsi="宋体"/>
                <w:bCs/>
                <w:color w:val="000000"/>
                <w:szCs w:val="21"/>
              </w:rPr>
            </w:pPr>
            <w:r>
              <w:rPr>
                <w:rFonts w:hint="eastAsia" w:ascii="宋体" w:hAnsi="宋体"/>
                <w:bCs/>
                <w:color w:val="000000"/>
                <w:szCs w:val="21"/>
              </w:rPr>
              <w:t>技术简单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69"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初步评价</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bCs/>
                <w:color w:val="000000"/>
                <w:szCs w:val="21"/>
              </w:rPr>
              <w:t>可行</w:t>
            </w:r>
          </w:p>
        </w:tc>
      </w:tr>
    </w:tbl>
    <w:p>
      <w:pPr>
        <w:spacing w:line="240" w:lineRule="exact"/>
        <w:jc w:val="center"/>
        <w:rPr>
          <w:rFonts w:hint="eastAsia" w:ascii="宋体" w:hAnsi="宋体"/>
          <w:b/>
          <w:bCs/>
          <w:color w:val="000000"/>
          <w:sz w:val="24"/>
          <w:szCs w:val="24"/>
        </w:rPr>
      </w:pPr>
    </w:p>
    <w:p>
      <w:pPr>
        <w:spacing w:line="360" w:lineRule="auto"/>
        <w:jc w:val="center"/>
        <w:rPr>
          <w:rFonts w:hint="eastAsia" w:ascii="宋体" w:hAnsi="宋体"/>
          <w:b/>
          <w:bCs/>
          <w:color w:val="000000"/>
          <w:sz w:val="24"/>
          <w:szCs w:val="24"/>
        </w:rPr>
      </w:pPr>
      <w:r>
        <w:rPr>
          <w:rFonts w:hint="eastAsia" w:ascii="宋体" w:hAnsi="宋体"/>
          <w:b/>
          <w:bCs/>
          <w:color w:val="000000"/>
          <w:sz w:val="24"/>
          <w:szCs w:val="24"/>
        </w:rPr>
        <w:t>表4－6  方案F25  精矿库维护改造的研制</w:t>
      </w:r>
    </w:p>
    <w:tbl>
      <w:tblPr>
        <w:tblStyle w:val="35"/>
        <w:tblW w:w="8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20"/>
        <w:gridCol w:w="4173"/>
        <w:gridCol w:w="1620"/>
        <w:gridCol w:w="14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443" w:hRule="exac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方案名称</w:t>
            </w:r>
          </w:p>
        </w:tc>
        <w:tc>
          <w:tcPr>
            <w:tcW w:w="4173"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jc w:val="center"/>
              <w:rPr>
                <w:rFonts w:hint="eastAsia" w:ascii="宋体" w:hAnsi="宋体" w:cs="宋体"/>
                <w:bCs/>
                <w:color w:val="000000"/>
                <w:kern w:val="0"/>
                <w:szCs w:val="21"/>
              </w:rPr>
            </w:pPr>
            <w:r>
              <w:rPr>
                <w:rFonts w:hint="eastAsia" w:ascii="宋体" w:hAnsi="宋体"/>
                <w:color w:val="000000"/>
                <w:szCs w:val="21"/>
              </w:rPr>
              <w:t>精矿库维护改造</w:t>
            </w:r>
          </w:p>
        </w:tc>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方案编号</w:t>
            </w:r>
          </w:p>
        </w:tc>
        <w:tc>
          <w:tcPr>
            <w:tcW w:w="1407"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color w:val="000000"/>
                <w:kern w:val="0"/>
                <w:szCs w:val="21"/>
              </w:rPr>
              <w:t>F25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9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方案内容和</w:t>
            </w:r>
          </w:p>
          <w:p>
            <w:pPr>
              <w:tabs>
                <w:tab w:val="left" w:pos="0"/>
              </w:tabs>
              <w:spacing w:line="300" w:lineRule="exact"/>
              <w:ind w:firstLine="8" w:firstLineChars="4"/>
              <w:jc w:val="center"/>
              <w:rPr>
                <w:rFonts w:hint="eastAsia" w:ascii="宋体" w:hAnsi="宋体"/>
                <w:bCs/>
                <w:color w:val="000000"/>
                <w:szCs w:val="21"/>
              </w:rPr>
            </w:pPr>
            <w:r>
              <w:rPr>
                <w:rFonts w:hint="eastAsia" w:ascii="宋体" w:hAnsi="宋体"/>
                <w:bCs/>
                <w:color w:val="000000"/>
                <w:szCs w:val="21"/>
              </w:rPr>
              <w:t>技术要点</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spacing w:line="360" w:lineRule="auto"/>
              <w:ind w:firstLine="420" w:firstLineChars="200"/>
              <w:rPr>
                <w:rFonts w:hint="eastAsia"/>
                <w:color w:val="000000"/>
                <w:szCs w:val="21"/>
              </w:rPr>
            </w:pPr>
            <w:r>
              <w:rPr>
                <w:rFonts w:hint="eastAsia" w:ascii="宋体" w:hAnsi="宋体"/>
                <w:color w:val="000000"/>
                <w:szCs w:val="21"/>
              </w:rPr>
              <w:t>对精矿库地面进行防渗、固化，对库房进行封闭、维护,防止精矿渗入地下或外部环境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8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304" w:hanging="304" w:hangingChars="145"/>
              <w:jc w:val="center"/>
              <w:rPr>
                <w:rFonts w:hint="eastAsia" w:ascii="宋体" w:hAnsi="宋体"/>
                <w:bCs/>
                <w:color w:val="000000"/>
                <w:szCs w:val="21"/>
              </w:rPr>
            </w:pPr>
            <w:r>
              <w:rPr>
                <w:rFonts w:hint="eastAsia" w:ascii="宋体" w:hAnsi="宋体"/>
                <w:bCs/>
                <w:color w:val="000000"/>
                <w:szCs w:val="21"/>
              </w:rPr>
              <w:t>主要设备</w:t>
            </w:r>
          </w:p>
        </w:tc>
        <w:tc>
          <w:tcPr>
            <w:tcW w:w="7200" w:type="dxa"/>
            <w:gridSpan w:val="3"/>
            <w:tcBorders>
              <w:top w:val="single" w:color="auto" w:sz="4" w:space="0"/>
              <w:left w:val="single" w:color="auto" w:sz="4" w:space="0"/>
              <w:bottom w:val="single" w:color="auto" w:sz="4" w:space="0"/>
              <w:right w:val="single" w:color="auto" w:sz="4" w:space="0"/>
            </w:tcBorders>
            <w:noWrap w:val="0"/>
            <w:vAlign w:val="top"/>
          </w:tcPr>
          <w:p>
            <w:pPr>
              <w:spacing w:line="300" w:lineRule="exact"/>
              <w:ind w:firstLine="420" w:firstLineChars="200"/>
              <w:rPr>
                <w:rFonts w:hint="eastAsia" w:ascii="宋体" w:hAnsi="宋体"/>
                <w:color w:val="000000"/>
                <w:kern w:val="0"/>
                <w:szCs w:val="21"/>
              </w:rPr>
            </w:pPr>
            <w:r>
              <w:rPr>
                <w:rFonts w:hint="eastAsia" w:ascii="宋体" w:hAnsi="宋体"/>
                <w:color w:val="000000"/>
                <w:kern w:val="0"/>
                <w:szCs w:val="21"/>
              </w:rPr>
              <w:t>混泥土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88"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实施费用</w:t>
            </w:r>
          </w:p>
          <w:p>
            <w:pPr>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(预计投资)</w:t>
            </w:r>
          </w:p>
        </w:tc>
        <w:tc>
          <w:tcPr>
            <w:tcW w:w="7200" w:type="dxa"/>
            <w:gridSpan w:val="3"/>
            <w:tcBorders>
              <w:top w:val="single" w:color="auto" w:sz="4" w:space="0"/>
              <w:left w:val="single" w:color="auto" w:sz="4" w:space="0"/>
              <w:bottom w:val="single" w:color="auto" w:sz="4" w:space="0"/>
              <w:right w:val="single" w:color="auto" w:sz="4" w:space="0"/>
            </w:tcBorders>
            <w:noWrap w:val="0"/>
            <w:vAlign w:val="top"/>
          </w:tcPr>
          <w:p>
            <w:pPr>
              <w:widowControl/>
              <w:spacing w:line="300" w:lineRule="exact"/>
              <w:ind w:firstLine="525" w:firstLineChars="250"/>
              <w:rPr>
                <w:rFonts w:hint="eastAsia" w:ascii="宋体" w:hAnsi="宋体"/>
                <w:color w:val="000000"/>
                <w:kern w:val="0"/>
                <w:szCs w:val="21"/>
              </w:rPr>
            </w:pPr>
            <w:r>
              <w:rPr>
                <w:rFonts w:hint="eastAsia" w:ascii="宋体" w:hAnsi="宋体"/>
                <w:color w:val="000000"/>
                <w:szCs w:val="21"/>
              </w:rPr>
              <w:t>20万元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9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经济效益（年）</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color w:val="000000"/>
                <w:szCs w:val="21"/>
              </w:rPr>
              <w:t>8万元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9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预期</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环境效益</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color w:val="000000"/>
                <w:szCs w:val="21"/>
              </w:rPr>
              <w:t>防止精矿渗入地下或外部环境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59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是否</w:t>
            </w:r>
          </w:p>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成熟的技术</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bCs/>
                <w:color w:val="000000"/>
                <w:szCs w:val="21"/>
              </w:rPr>
              <w:t>技术简单,按防渗要求施工.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316" w:hRule="atLeast"/>
          <w:jc w:val="center"/>
        </w:trPr>
        <w:tc>
          <w:tcPr>
            <w:tcW w:w="1620"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left="10" w:hanging="10" w:hangingChars="5"/>
              <w:jc w:val="center"/>
              <w:rPr>
                <w:rFonts w:hint="eastAsia" w:ascii="宋体" w:hAnsi="宋体"/>
                <w:bCs/>
                <w:color w:val="000000"/>
                <w:szCs w:val="21"/>
              </w:rPr>
            </w:pPr>
            <w:r>
              <w:rPr>
                <w:rFonts w:hint="eastAsia" w:ascii="宋体" w:hAnsi="宋体"/>
                <w:bCs/>
                <w:color w:val="000000"/>
                <w:szCs w:val="21"/>
              </w:rPr>
              <w:t>初步评价</w:t>
            </w:r>
          </w:p>
        </w:tc>
        <w:tc>
          <w:tcPr>
            <w:tcW w:w="7200" w:type="dxa"/>
            <w:gridSpan w:val="3"/>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00" w:lineRule="exact"/>
              <w:ind w:firstLine="525" w:firstLineChars="250"/>
              <w:rPr>
                <w:rFonts w:hint="eastAsia" w:ascii="宋体" w:hAnsi="宋体"/>
                <w:bCs/>
                <w:color w:val="000000"/>
                <w:szCs w:val="21"/>
              </w:rPr>
            </w:pPr>
            <w:r>
              <w:rPr>
                <w:rFonts w:hint="eastAsia" w:ascii="宋体" w:hAnsi="宋体"/>
                <w:bCs/>
                <w:color w:val="000000"/>
                <w:szCs w:val="21"/>
              </w:rPr>
              <w:t>可行</w:t>
            </w:r>
          </w:p>
        </w:tc>
      </w:tr>
      <w:bookmarkEnd w:id="422"/>
      <w:bookmarkEnd w:id="423"/>
      <w:bookmarkEnd w:id="424"/>
      <w:bookmarkEnd w:id="425"/>
      <w:bookmarkEnd w:id="426"/>
      <w:bookmarkEnd w:id="427"/>
      <w:bookmarkEnd w:id="428"/>
    </w:tbl>
    <w:p>
      <w:pPr>
        <w:pStyle w:val="4"/>
        <w:spacing w:before="240" w:beforeLines="100" w:after="120" w:afterLines="50" w:line="360" w:lineRule="auto"/>
        <w:rPr>
          <w:rFonts w:hint="eastAsia" w:ascii="宋体" w:hAnsi="宋体" w:eastAsia="宋体"/>
          <w:color w:val="000000"/>
        </w:rPr>
      </w:pPr>
      <w:bookmarkStart w:id="443" w:name="_Toc23000914"/>
      <w:bookmarkStart w:id="444" w:name="_Toc367782239"/>
      <w:bookmarkStart w:id="445" w:name="_Toc422252525"/>
      <w:bookmarkStart w:id="446" w:name="_Toc433986939"/>
      <w:bookmarkStart w:id="447" w:name="_Toc427653794"/>
      <w:r>
        <w:rPr>
          <w:rFonts w:hint="eastAsia" w:ascii="宋体" w:hAnsi="宋体" w:eastAsia="宋体"/>
          <w:color w:val="000000"/>
        </w:rPr>
        <w:t>4.4  继续实施无/低费清洁生产方案</w:t>
      </w:r>
      <w:bookmarkEnd w:id="443"/>
    </w:p>
    <w:p>
      <w:pPr>
        <w:tabs>
          <w:tab w:val="left" w:pos="0"/>
        </w:tabs>
        <w:spacing w:line="360" w:lineRule="auto"/>
        <w:ind w:left="2" w:leftChars="1" w:firstLine="540" w:firstLineChars="225"/>
        <w:jc w:val="left"/>
        <w:rPr>
          <w:rFonts w:hint="eastAsia" w:ascii="宋体" w:hAnsi="宋体"/>
          <w:color w:val="000000"/>
          <w:sz w:val="24"/>
        </w:rPr>
      </w:pPr>
      <w:r>
        <w:rPr>
          <w:rFonts w:hint="eastAsia" w:ascii="宋体" w:hAnsi="宋体"/>
          <w:color w:val="000000"/>
          <w:sz w:val="24"/>
        </w:rPr>
        <w:t>经过筛选得出投资少、见效快的无/低费清洁生产方案，无/低费清洁生产方案的实施，主要是对于一些实施难度不大，产生效果又明显的无/低费清洁生产方案立即组织实施。本着过审核边实施的原则，至本阶段已有15项无/低费方案实施完毕，取得了初步的成果。在此基础上，加大对广大员工清洁生产的宣传，提高员工参与的积极性。未实施的无/低费清洁生产方案继续实施。</w:t>
      </w:r>
    </w:p>
    <w:p>
      <w:pPr>
        <w:tabs>
          <w:tab w:val="left" w:pos="0"/>
        </w:tabs>
        <w:spacing w:line="240" w:lineRule="exact"/>
        <w:ind w:left="2" w:leftChars="1" w:firstLine="540" w:firstLineChars="225"/>
        <w:jc w:val="left"/>
        <w:rPr>
          <w:rFonts w:hint="eastAsia" w:ascii="宋体" w:hAnsi="宋体"/>
          <w:color w:val="000000"/>
          <w:sz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spacing w:line="240" w:lineRule="exact"/>
        <w:ind w:firstLine="480" w:firstLineChars="200"/>
        <w:rPr>
          <w:rFonts w:hint="eastAsia" w:ascii="宋体" w:hAnsi="宋体" w:cs="宋体"/>
          <w:color w:val="000000"/>
          <w:sz w:val="24"/>
          <w:szCs w:val="24"/>
        </w:rPr>
      </w:pPr>
    </w:p>
    <w:p>
      <w:pPr>
        <w:pStyle w:val="3"/>
        <w:spacing w:before="0" w:after="0" w:line="540" w:lineRule="auto"/>
        <w:jc w:val="center"/>
        <w:rPr>
          <w:rFonts w:hint="eastAsia" w:ascii="宋体" w:hAnsi="宋体"/>
          <w:color w:val="000000"/>
        </w:rPr>
      </w:pPr>
      <w:bookmarkStart w:id="448" w:name="_Toc23000915"/>
      <w:r>
        <w:rPr>
          <w:rFonts w:hint="eastAsia" w:ascii="宋体" w:hAnsi="宋体"/>
          <w:color w:val="000000"/>
        </w:rPr>
        <w:t>第5章 可行性分析</w:t>
      </w:r>
      <w:bookmarkEnd w:id="444"/>
      <w:bookmarkEnd w:id="445"/>
      <w:bookmarkEnd w:id="448"/>
    </w:p>
    <w:p>
      <w:pPr>
        <w:tabs>
          <w:tab w:val="left" w:pos="0"/>
        </w:tabs>
        <w:spacing w:line="360" w:lineRule="auto"/>
        <w:ind w:left="2" w:leftChars="1" w:firstLine="540" w:firstLineChars="225"/>
        <w:jc w:val="left"/>
        <w:rPr>
          <w:rFonts w:ascii="宋体" w:hAnsi="宋体"/>
          <w:color w:val="000000"/>
          <w:sz w:val="24"/>
        </w:rPr>
      </w:pPr>
      <w:r>
        <w:rPr>
          <w:rFonts w:hint="eastAsia" w:ascii="宋体" w:hAnsi="宋体"/>
          <w:color w:val="000000"/>
          <w:sz w:val="24"/>
        </w:rPr>
        <w:t>本阶段的目的是对初步筛选出来的中/高费清洁生产方案进行分析和评估，以选择最佳的、可实施的清洁生产方案。本阶段的工作重点是：在结合市场调查和收集一定资料的基础上，进行方案的技术、环境、经济的可行性分析和比较，从中选择和推荐最佳的实施方案，以得到最佳的清洁生产效果。最佳的可行方案是指该项投资方案在技术先进、在经济上合理、同时又能保护环境的最优方案。</w:t>
      </w:r>
    </w:p>
    <w:bookmarkEnd w:id="446"/>
    <w:bookmarkEnd w:id="447"/>
    <w:p>
      <w:pPr>
        <w:pStyle w:val="4"/>
        <w:rPr>
          <w:rFonts w:hint="eastAsia"/>
          <w:color w:val="000000"/>
        </w:rPr>
      </w:pPr>
      <w:bookmarkStart w:id="449" w:name="_Toc280366475"/>
      <w:bookmarkStart w:id="450" w:name="_Toc280366593"/>
      <w:bookmarkStart w:id="451" w:name="_Toc282271800"/>
      <w:bookmarkStart w:id="452" w:name="_Toc287917971"/>
      <w:bookmarkStart w:id="453" w:name="_Toc291960354"/>
      <w:bookmarkStart w:id="454" w:name="_Toc296604640"/>
      <w:bookmarkStart w:id="455" w:name="_Toc367782240"/>
      <w:bookmarkStart w:id="456" w:name="_Toc422252526"/>
      <w:bookmarkStart w:id="457" w:name="_Toc23000916"/>
      <w:bookmarkStart w:id="458" w:name="_Toc433986940"/>
      <w:bookmarkStart w:id="459" w:name="_Toc427653795"/>
      <w:r>
        <w:rPr>
          <w:rFonts w:hint="eastAsia"/>
          <w:color w:val="000000"/>
        </w:rPr>
        <w:t>5.1 方案的技术</w:t>
      </w:r>
      <w:bookmarkEnd w:id="449"/>
      <w:bookmarkEnd w:id="450"/>
      <w:bookmarkEnd w:id="451"/>
      <w:r>
        <w:rPr>
          <w:rFonts w:hint="eastAsia"/>
          <w:color w:val="000000"/>
        </w:rPr>
        <w:t>分析</w:t>
      </w:r>
      <w:bookmarkEnd w:id="452"/>
      <w:bookmarkEnd w:id="453"/>
      <w:bookmarkEnd w:id="454"/>
      <w:bookmarkEnd w:id="455"/>
      <w:bookmarkEnd w:id="456"/>
      <w:bookmarkEnd w:id="457"/>
    </w:p>
    <w:p>
      <w:pPr>
        <w:pStyle w:val="5"/>
        <w:rPr>
          <w:rFonts w:hint="eastAsia"/>
          <w:color w:val="000000"/>
          <w:szCs w:val="28"/>
        </w:rPr>
      </w:pPr>
      <w:bookmarkStart w:id="460" w:name="_Toc422252527"/>
      <w:bookmarkStart w:id="461" w:name="_Toc296604641"/>
      <w:bookmarkStart w:id="462" w:name="_Toc367782241"/>
      <w:bookmarkStart w:id="463" w:name="_Toc23000917"/>
      <w:bookmarkStart w:id="464" w:name="_Toc433986935"/>
      <w:bookmarkStart w:id="465" w:name="_Toc5177"/>
      <w:bookmarkStart w:id="466" w:name="_Toc427653788"/>
      <w:r>
        <w:rPr>
          <w:rFonts w:hint="eastAsia"/>
          <w:color w:val="000000"/>
        </w:rPr>
        <w:t>5.1.1 方案F24</w:t>
      </w:r>
      <w:r>
        <w:rPr>
          <w:rFonts w:hint="eastAsia"/>
          <w:color w:val="000000"/>
          <w:szCs w:val="21"/>
        </w:rPr>
        <w:t>完善选矿厂雨污分流系统</w:t>
      </w:r>
      <w:r>
        <w:rPr>
          <w:rFonts w:hint="eastAsia"/>
          <w:color w:val="000000"/>
        </w:rPr>
        <w:t>技术分析</w:t>
      </w:r>
      <w:bookmarkEnd w:id="460"/>
      <w:bookmarkEnd w:id="461"/>
      <w:bookmarkEnd w:id="462"/>
      <w:bookmarkEnd w:id="463"/>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选矿厂的雨污分流项目根据各片区目前存在的问题，有针对性地进行改造。</w:t>
      </w:r>
    </w:p>
    <w:p>
      <w:pPr>
        <w:tabs>
          <w:tab w:val="left" w:pos="0"/>
        </w:tabs>
        <w:spacing w:line="360" w:lineRule="auto"/>
        <w:ind w:firstLine="482" w:firstLineChars="200"/>
        <w:jc w:val="left"/>
        <w:rPr>
          <w:rFonts w:hint="eastAsia" w:ascii="宋体" w:hAnsi="宋体"/>
          <w:b/>
          <w:color w:val="000000"/>
          <w:sz w:val="24"/>
        </w:rPr>
      </w:pPr>
      <w:r>
        <w:rPr>
          <w:rFonts w:hint="eastAsia" w:ascii="宋体" w:hAnsi="宋体"/>
          <w:b/>
          <w:color w:val="000000"/>
          <w:sz w:val="24"/>
        </w:rPr>
        <w:t>5.1.1.1  A汇水分区</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现状分析:</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（1）原矿堆场为敞开式，堆场上方无遮挡，造成该片区内雨水带有部分原矿矿料。该部分雨水通过现有 PE 排水管汇集至污水池内，最终通过提升泵提升至污水处理站进行处理。</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（2）现有PE 排水管标识不清晰；污水收集池标识错误。</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完善措施：</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近期：</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（1）由于该片区内雨水含有部分原矿矿料，利用现有收集管线，将该片区内雨水全部汇集至污水处理池，最终提升至污水处理站处理。</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（2）加设排水管道标识，更改污水收集池标识。</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远期 ：</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在原料堆场上方加设雨棚，避免雨水直接冲刷矿料，则该分区内雨水可直接通过雨棚上的雨落管直接流至堆场旁边公路一侧的雨水沟内，不需再汇入到污水收集池内。</w:t>
      </w:r>
    </w:p>
    <w:p>
      <w:pPr>
        <w:tabs>
          <w:tab w:val="left" w:pos="0"/>
        </w:tabs>
        <w:spacing w:line="360" w:lineRule="auto"/>
        <w:ind w:firstLine="482" w:firstLineChars="200"/>
        <w:jc w:val="left"/>
        <w:outlineLvl w:val="0"/>
        <w:rPr>
          <w:rFonts w:hint="eastAsia" w:ascii="宋体" w:hAnsi="宋体"/>
          <w:b/>
          <w:color w:val="000000"/>
          <w:sz w:val="24"/>
        </w:rPr>
      </w:pPr>
      <w:r>
        <w:rPr>
          <w:rFonts w:hint="eastAsia" w:ascii="宋体" w:hAnsi="宋体"/>
          <w:b/>
          <w:color w:val="000000"/>
          <w:sz w:val="24"/>
        </w:rPr>
        <w:t>5.1.1.2  B汇水分区</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现状分析：</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（1）该分区雨水沟在厂区大门处与外界雨水沟相连，使得厂区外大量雨水流入该片区内。</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（2）该片区破碎工段降尘废水汇入现状收集池内，利用现有收集管线，将降尘汇集至污水处理池，最终提升至污水处理站处理。</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（3）该分区内雨水沟已基本完善，雨水通过现有雨水沟自流至末端地下涵洞处，最终排入块泽河内。</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完善措施：</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（1）厂区大门处新建 6m 长的 DN300 钢筋混凝土管：用以截断厂区外部雨水流入厂区；</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（2）完善降尘废水收集池以及废水排放管线标识标牌。</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（3）在该分区雨水沟末端增设三级沉淀池一座，雨水经三级沉淀池处理后直接排入地下涵洞。</w:t>
      </w:r>
    </w:p>
    <w:p>
      <w:pPr>
        <w:tabs>
          <w:tab w:val="left" w:pos="0"/>
        </w:tabs>
        <w:spacing w:line="360" w:lineRule="auto"/>
        <w:ind w:firstLine="482" w:firstLineChars="200"/>
        <w:jc w:val="left"/>
        <w:rPr>
          <w:rFonts w:hint="eastAsia" w:ascii="宋体" w:hAnsi="宋体"/>
          <w:b/>
          <w:color w:val="000000"/>
          <w:sz w:val="24"/>
        </w:rPr>
      </w:pPr>
      <w:r>
        <w:rPr>
          <w:rFonts w:hint="eastAsia" w:ascii="宋体" w:hAnsi="宋体"/>
          <w:b/>
          <w:color w:val="000000"/>
          <w:sz w:val="24"/>
        </w:rPr>
        <w:t>5.1.1.3  C汇水分区</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现状分析：</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该分区内无污水产生单元；雨水沟渠也基本完善，只有部分雨水沟渠未串联在一起。</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完善措施：</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（1）新建 15m 长的 DN300 钢筋混凝土管，用以连接该分区内现有雨水沟渠，该分区雨水最终流向详见附图五。</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（2）完善雨水沟相关标识标牌。</w:t>
      </w:r>
    </w:p>
    <w:p>
      <w:pPr>
        <w:tabs>
          <w:tab w:val="left" w:pos="0"/>
        </w:tabs>
        <w:spacing w:line="360" w:lineRule="auto"/>
        <w:ind w:firstLine="482" w:firstLineChars="200"/>
        <w:jc w:val="left"/>
        <w:outlineLvl w:val="0"/>
        <w:rPr>
          <w:rFonts w:hint="eastAsia" w:ascii="宋体" w:hAnsi="宋体"/>
          <w:b/>
          <w:color w:val="000000"/>
          <w:sz w:val="24"/>
        </w:rPr>
      </w:pPr>
      <w:r>
        <w:rPr>
          <w:rFonts w:hint="eastAsia" w:ascii="宋体" w:hAnsi="宋体"/>
          <w:b/>
          <w:color w:val="000000"/>
          <w:sz w:val="24"/>
        </w:rPr>
        <w:t>5.1.1.4  D汇水分区</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现状分析：</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（1）污水收集设施已基本完善。浮选工段污水收集池底泥淤积严重，部分设施老化，相关标识不清晰。</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（2）该分区部分区域雨污混流情况严重，雨污水全部流入污水收集池内。</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完善措施：</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（1）定期清掏各污水收集池内底泥，完善相关标识标牌；</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（2）由于到该分区内各工艺段的垂直高差较大、管线情况复杂以及工程改造难度较大，则将整个分区内的雨污水通过现有管线全部汇集至各个污水收集池内，最终提升至污水处理站处理回用。</w:t>
      </w:r>
    </w:p>
    <w:p>
      <w:pPr>
        <w:tabs>
          <w:tab w:val="left" w:pos="0"/>
        </w:tabs>
        <w:spacing w:line="360" w:lineRule="auto"/>
        <w:ind w:firstLine="482" w:firstLineChars="200"/>
        <w:jc w:val="left"/>
        <w:outlineLvl w:val="0"/>
        <w:rPr>
          <w:rFonts w:hint="eastAsia" w:ascii="宋体" w:hAnsi="宋体"/>
          <w:b/>
          <w:color w:val="000000"/>
          <w:sz w:val="24"/>
        </w:rPr>
      </w:pPr>
      <w:r>
        <w:rPr>
          <w:rFonts w:hint="eastAsia" w:ascii="宋体" w:hAnsi="宋体"/>
          <w:b/>
          <w:color w:val="000000"/>
          <w:sz w:val="24"/>
        </w:rPr>
        <w:t>5.1.1.5  E汇水分区</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现状分析：</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（1）该分区无污水产生点，主要是屋面雨水，雨水可直接排出到厂区外，各厂房雨落管已基本设置完善，但是部分雨落管直接入到厂区内部；</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（2）精矿库雨棚已设置，但是雨棚四周无围挡。</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完善措施：</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（1）对部分雨落管进行改造，使得厂区屋顶雨水直接自流出厂区外；</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（2）对雨棚四周加设围挡，防止雨水吹入精矿库内。</w:t>
      </w:r>
    </w:p>
    <w:p>
      <w:pPr>
        <w:tabs>
          <w:tab w:val="left" w:pos="0"/>
        </w:tabs>
        <w:spacing w:line="360" w:lineRule="auto"/>
        <w:ind w:firstLine="482" w:firstLineChars="200"/>
        <w:jc w:val="left"/>
        <w:outlineLvl w:val="0"/>
        <w:rPr>
          <w:rFonts w:hint="eastAsia" w:ascii="宋体" w:hAnsi="宋体"/>
          <w:b/>
          <w:color w:val="000000"/>
          <w:sz w:val="24"/>
        </w:rPr>
      </w:pPr>
      <w:r>
        <w:rPr>
          <w:rFonts w:hint="eastAsia" w:ascii="宋体" w:hAnsi="宋体"/>
          <w:b/>
          <w:color w:val="000000"/>
          <w:sz w:val="24"/>
        </w:rPr>
        <w:t>5.1.1.6  F汇水分区</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现状分析：</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（1）该分区污水收集设施已完善，部分标识标牌设置不清晰。</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（2）该分区污染源主要为尾矿料，由于雨棚摘挡不全面，则分区内雨水会带入部分尾矿料。</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完善措施：</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近期：</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（1）完善相关标识标牌；</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（2）该分区带有尾矿料的雨水通过现状收集设施自流至污水收集池，最终提升至污水处理池内处理回用。</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远期：</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扩宽尾矿库雨棚，截断雨水对尾矿料冲刷，雨水直接通过雨棚的雨落管排入到厂区外。</w:t>
      </w:r>
    </w:p>
    <w:p>
      <w:pPr>
        <w:tabs>
          <w:tab w:val="left" w:pos="0"/>
        </w:tabs>
        <w:spacing w:line="360" w:lineRule="auto"/>
        <w:ind w:firstLine="482" w:firstLineChars="200"/>
        <w:jc w:val="left"/>
        <w:rPr>
          <w:rFonts w:hint="eastAsia" w:ascii="宋体" w:hAnsi="宋体"/>
          <w:b/>
          <w:color w:val="000000"/>
          <w:sz w:val="24"/>
        </w:rPr>
      </w:pPr>
      <w:r>
        <w:rPr>
          <w:rFonts w:hint="eastAsia" w:ascii="宋体" w:hAnsi="宋体"/>
          <w:b/>
          <w:color w:val="000000"/>
          <w:sz w:val="24"/>
        </w:rPr>
        <w:t>5.1.1.7其他</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现状分析：</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（1）选矿厂应急事故池底泥淤积，池壁破损，部分设备老化。</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（2）采矿场无原矿堆场，开采出来的原矿直接堆放在地面上。</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完善措施：</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（1）清理应急事故池内淤积的底泥，并妥善处置；</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（2）在原来应急事故池的位置上新建事故应急池一座；</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（3）在采矿场新建一块 10m×15m 硬化场地，用作原矿堆场；并为原矿堆场配套建设一座三级沉淀池；</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（4）完善相关标识标牌。</w:t>
      </w:r>
    </w:p>
    <w:p>
      <w:pPr>
        <w:spacing w:line="360" w:lineRule="auto"/>
        <w:ind w:firstLine="480" w:firstLineChars="200"/>
        <w:rPr>
          <w:rFonts w:hint="eastAsia" w:ascii="宋体" w:hAnsi="宋体" w:cs="宋体"/>
          <w:color w:val="000000"/>
          <w:sz w:val="24"/>
          <w:szCs w:val="24"/>
        </w:rPr>
      </w:pPr>
    </w:p>
    <w:p>
      <w:pPr>
        <w:spacing w:line="360" w:lineRule="auto"/>
        <w:ind w:firstLine="480" w:firstLineChars="200"/>
        <w:rPr>
          <w:rFonts w:hint="eastAsia" w:ascii="宋体" w:hAnsi="宋体" w:cs="宋体"/>
          <w:color w:val="000000"/>
          <w:sz w:val="24"/>
          <w:szCs w:val="24"/>
        </w:rPr>
      </w:pPr>
    </w:p>
    <w:p>
      <w:pPr>
        <w:pStyle w:val="5"/>
        <w:rPr>
          <w:rFonts w:hint="eastAsia"/>
          <w:color w:val="000000"/>
        </w:rPr>
      </w:pPr>
      <w:bookmarkStart w:id="467" w:name="_Toc23000918"/>
      <w:r>
        <w:rPr>
          <w:rFonts w:hint="eastAsia"/>
          <w:color w:val="000000"/>
        </w:rPr>
        <w:t>5.1.2方案F25</w:t>
      </w:r>
      <w:r>
        <w:rPr>
          <w:rFonts w:hint="eastAsia"/>
          <w:color w:val="000000"/>
          <w:szCs w:val="21"/>
        </w:rPr>
        <w:t>精矿库维护改造</w:t>
      </w:r>
      <w:r>
        <w:rPr>
          <w:rFonts w:hint="eastAsia"/>
          <w:color w:val="000000"/>
        </w:rPr>
        <w:t>技术分析</w:t>
      </w:r>
      <w:bookmarkEnd w:id="464"/>
      <w:bookmarkEnd w:id="465"/>
      <w:bookmarkEnd w:id="466"/>
      <w:bookmarkEnd w:id="467"/>
    </w:p>
    <w:p>
      <w:pPr>
        <w:tabs>
          <w:tab w:val="left" w:pos="0"/>
        </w:tabs>
        <w:spacing w:line="360" w:lineRule="auto"/>
        <w:ind w:firstLine="480" w:firstLineChars="200"/>
        <w:jc w:val="left"/>
        <w:rPr>
          <w:rFonts w:hint="eastAsia" w:ascii="宋体" w:hAnsi="宋体"/>
          <w:color w:val="000000"/>
          <w:sz w:val="24"/>
        </w:rPr>
      </w:pPr>
      <w:bookmarkStart w:id="468" w:name="_Toc291960357"/>
      <w:bookmarkStart w:id="469" w:name="_Toc296604647"/>
      <w:r>
        <w:rPr>
          <w:rFonts w:hint="eastAsia" w:ascii="宋体" w:hAnsi="宋体"/>
          <w:color w:val="000000"/>
          <w:sz w:val="24"/>
        </w:rPr>
        <w:t>精矿库维护改造项目主要是精矿库的内部和外部的地面改造。目前部分区域水泥地面已产生较大的裂隙，在车间废水或雨季污水流入情况下对局部区域造成积水。因此，对精矿库地面部分区域进行清理，清除旧的混凝土，重新按照防渗要求进行混凝土辅设。具体要求如下：</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防渗要求为：等效粘土防渗层 Mb≥6.0m，渗透系数≤1×10 -10 cm/s。内外防渗区地面以 25cm 厚度混凝土搅拌压实地坪作为基础防渗措施，在地表形成一层不透水盖层，在水泥地面上和墙角竖面再铺设 2mm 厚的高密度聚乙烯，墙角竖面铺设的高密度聚乙烯高度为30cm，达到地基和墙角竖面防渗和防腐的目的，整个地面渗透系数小于 1×10-10 cm/s。重点防渗区的所有地面全部采用钢筋混凝土结构，渗透系数小于 1×10-10 cm/s。</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维护面积目前为长15米宽8米左右，但按照具体清理的清理情况而定。</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除精矿库地面维护外，还需对库内防雨设施进行加固处理，以减轻雨水对库内的影响。</w:t>
      </w:r>
    </w:p>
    <w:p>
      <w:pPr>
        <w:pStyle w:val="4"/>
        <w:rPr>
          <w:rFonts w:hint="eastAsia"/>
          <w:color w:val="000000"/>
        </w:rPr>
      </w:pPr>
      <w:bookmarkStart w:id="470" w:name="_Toc433986936"/>
      <w:bookmarkStart w:id="471" w:name="_Toc23000919"/>
      <w:bookmarkStart w:id="472" w:name="_Toc427653790"/>
      <w:r>
        <w:rPr>
          <w:rFonts w:hint="eastAsia"/>
          <w:color w:val="000000"/>
        </w:rPr>
        <w:t>5.2  对方案进行环境分析</w:t>
      </w:r>
      <w:bookmarkEnd w:id="468"/>
      <w:bookmarkEnd w:id="469"/>
      <w:bookmarkEnd w:id="470"/>
      <w:bookmarkEnd w:id="471"/>
      <w:bookmarkEnd w:id="472"/>
      <w:r>
        <w:rPr>
          <w:rFonts w:hint="eastAsia"/>
          <w:color w:val="000000"/>
        </w:rPr>
        <w:t xml:space="preserve"> </w:t>
      </w:r>
    </w:p>
    <w:p>
      <w:pPr>
        <w:pStyle w:val="5"/>
        <w:rPr>
          <w:color w:val="000000"/>
        </w:rPr>
      </w:pPr>
      <w:bookmarkStart w:id="473" w:name="_Toc23000920"/>
      <w:r>
        <w:rPr>
          <w:rFonts w:hint="eastAsia"/>
          <w:color w:val="000000"/>
        </w:rPr>
        <w:t>5.2.1 方案F24</w:t>
      </w:r>
      <w:r>
        <w:rPr>
          <w:rFonts w:hint="eastAsia"/>
          <w:color w:val="000000"/>
          <w:szCs w:val="21"/>
        </w:rPr>
        <w:t>完善选矿厂雨污分流系统</w:t>
      </w:r>
      <w:r>
        <w:rPr>
          <w:rFonts w:hint="eastAsia"/>
          <w:color w:val="000000"/>
        </w:rPr>
        <w:t>环境分析</w:t>
      </w:r>
      <w:bookmarkEnd w:id="473"/>
    </w:p>
    <w:p>
      <w:pPr>
        <w:spacing w:line="360" w:lineRule="auto"/>
        <w:ind w:firstLine="480" w:firstLineChars="200"/>
        <w:rPr>
          <w:rFonts w:hint="eastAsia" w:ascii="宋体" w:hAnsi="宋体"/>
          <w:color w:val="000000"/>
          <w:sz w:val="24"/>
        </w:rPr>
      </w:pPr>
      <w:r>
        <w:rPr>
          <w:rFonts w:hint="eastAsia" w:ascii="宋体" w:hAnsi="宋体"/>
          <w:color w:val="000000"/>
          <w:sz w:val="24"/>
        </w:rPr>
        <w:t>选矿厂雨污分流系统直接的环境效益是将雨污水全部收集，并进行综合利用，从而降低鲜水用量，节约了水资源消耗，从近三年来公司的用水数据，鲜水用量偏高。同时，完善雨污分流后，生产污水得到有效治理，避免污水随雨水外入外部环境造成重金属污染。根据节水测算，年约节水25000吨左右。</w:t>
      </w:r>
    </w:p>
    <w:p>
      <w:pPr>
        <w:pStyle w:val="5"/>
        <w:rPr>
          <w:rFonts w:hint="eastAsia"/>
          <w:color w:val="000000"/>
          <w:szCs w:val="28"/>
        </w:rPr>
      </w:pPr>
      <w:bookmarkStart w:id="474" w:name="_Toc23000921"/>
      <w:r>
        <w:rPr>
          <w:rFonts w:hint="eastAsia"/>
          <w:color w:val="000000"/>
        </w:rPr>
        <w:t>5.2.2方案F25</w:t>
      </w:r>
      <w:r>
        <w:rPr>
          <w:rFonts w:hint="eastAsia"/>
          <w:color w:val="000000"/>
          <w:szCs w:val="21"/>
        </w:rPr>
        <w:t>精矿库维护改造</w:t>
      </w:r>
      <w:r>
        <w:rPr>
          <w:rFonts w:hint="eastAsia"/>
          <w:color w:val="000000"/>
        </w:rPr>
        <w:t>环境分析</w:t>
      </w:r>
      <w:bookmarkEnd w:id="474"/>
    </w:p>
    <w:p>
      <w:pPr>
        <w:spacing w:line="360" w:lineRule="auto"/>
        <w:ind w:left="210" w:leftChars="100" w:firstLine="480" w:firstLineChars="200"/>
        <w:rPr>
          <w:rFonts w:hint="eastAsia"/>
          <w:color w:val="000000"/>
          <w:sz w:val="24"/>
          <w:szCs w:val="24"/>
        </w:rPr>
      </w:pPr>
      <w:r>
        <w:rPr>
          <w:rFonts w:hint="eastAsia" w:ascii="宋体" w:hAnsi="宋体"/>
          <w:color w:val="000000"/>
          <w:sz w:val="24"/>
          <w:szCs w:val="24"/>
        </w:rPr>
        <w:t>精矿库的维护主要是防止精矿流失，或渗入地下或外部环境造成的污染。</w:t>
      </w:r>
    </w:p>
    <w:p>
      <w:pPr>
        <w:pStyle w:val="4"/>
        <w:rPr>
          <w:rFonts w:hint="eastAsia"/>
          <w:color w:val="000000"/>
        </w:rPr>
      </w:pPr>
      <w:bookmarkStart w:id="475" w:name="_Toc23000922"/>
      <w:r>
        <w:rPr>
          <w:rFonts w:hint="eastAsia"/>
          <w:color w:val="000000"/>
        </w:rPr>
        <w:t>5.3对方案进行经济分析</w:t>
      </w:r>
      <w:bookmarkEnd w:id="475"/>
    </w:p>
    <w:p>
      <w:pPr>
        <w:spacing w:line="360" w:lineRule="auto"/>
        <w:ind w:left="210" w:leftChars="100" w:firstLine="480" w:firstLineChars="200"/>
        <w:rPr>
          <w:rFonts w:hint="eastAsia"/>
          <w:color w:val="000000"/>
          <w:sz w:val="24"/>
        </w:rPr>
      </w:pPr>
      <w:bookmarkStart w:id="476" w:name="_Toc6989"/>
      <w:bookmarkStart w:id="477" w:name="_Toc19030"/>
      <w:bookmarkStart w:id="478" w:name="_Toc13672"/>
      <w:bookmarkStart w:id="479" w:name="_Toc26152"/>
      <w:r>
        <w:rPr>
          <w:rFonts w:hint="eastAsia" w:ascii="宋体" w:hAnsi="宋体"/>
          <w:color w:val="000000"/>
          <w:sz w:val="24"/>
        </w:rPr>
        <w:t>完善选矿厂雨污分流系统达到年节水25000吨，按吨水2元计算，年节省5万元，同时，通过理顺雨污分流系统，完善雨污水管网建设，加强水的循环使用，促进生产环节的良性循环，达到提高产能的目的，因而带来的效益年达10万元左右。</w:t>
      </w:r>
    </w:p>
    <w:p>
      <w:pPr>
        <w:spacing w:line="360" w:lineRule="auto"/>
        <w:ind w:left="210" w:leftChars="100" w:firstLine="480" w:firstLineChars="200"/>
        <w:rPr>
          <w:color w:val="000000"/>
          <w:sz w:val="24"/>
        </w:rPr>
      </w:pPr>
      <w:r>
        <w:rPr>
          <w:rFonts w:hint="eastAsia"/>
          <w:color w:val="000000"/>
          <w:sz w:val="24"/>
        </w:rPr>
        <w:t>精矿库维护改造，减少精矿的流失，促进生产各环节的发展，年间接效益约为8万元。</w:t>
      </w:r>
    </w:p>
    <w:p>
      <w:pPr>
        <w:pStyle w:val="17"/>
        <w:tabs>
          <w:tab w:val="left" w:pos="0"/>
        </w:tabs>
        <w:spacing w:line="360" w:lineRule="auto"/>
        <w:ind w:firstLine="480" w:firstLineChars="200"/>
        <w:rPr>
          <w:rFonts w:hint="eastAsia" w:hAnsi="宋体"/>
          <w:color w:val="000000"/>
          <w:sz w:val="24"/>
          <w:szCs w:val="24"/>
        </w:rPr>
      </w:pPr>
      <w:r>
        <w:rPr>
          <w:rFonts w:hint="eastAsia" w:hAnsi="宋体"/>
          <w:bCs/>
          <w:color w:val="000000"/>
          <w:sz w:val="24"/>
          <w:szCs w:val="24"/>
        </w:rPr>
        <w:t>1．经济效益投资费用统</w:t>
      </w:r>
      <w:r>
        <w:rPr>
          <w:rFonts w:hint="eastAsia" w:hAnsi="宋体"/>
          <w:color w:val="000000"/>
          <w:sz w:val="24"/>
          <w:szCs w:val="24"/>
        </w:rPr>
        <w:t>计</w:t>
      </w:r>
      <w:bookmarkEnd w:id="476"/>
      <w:bookmarkEnd w:id="477"/>
      <w:bookmarkEnd w:id="478"/>
      <w:bookmarkEnd w:id="479"/>
      <w:r>
        <w:rPr>
          <w:rFonts w:hint="eastAsia" w:hAnsi="宋体"/>
          <w:color w:val="000000"/>
          <w:sz w:val="24"/>
          <w:szCs w:val="24"/>
        </w:rPr>
        <w:t>，见表5-3、5-4。</w:t>
      </w:r>
    </w:p>
    <w:p>
      <w:pPr>
        <w:pStyle w:val="17"/>
        <w:tabs>
          <w:tab w:val="left" w:pos="0"/>
        </w:tabs>
        <w:spacing w:line="360" w:lineRule="exact"/>
        <w:jc w:val="center"/>
        <w:rPr>
          <w:rFonts w:hint="eastAsia" w:hAnsi="宋体"/>
          <w:color w:val="000000"/>
          <w:sz w:val="18"/>
          <w:szCs w:val="18"/>
        </w:rPr>
      </w:pPr>
      <w:r>
        <w:rPr>
          <w:rFonts w:hint="eastAsia" w:hAnsi="宋体"/>
          <w:b/>
          <w:color w:val="000000"/>
          <w:sz w:val="24"/>
        </w:rPr>
        <w:t xml:space="preserve">表5-3    投资费用统计表 </w:t>
      </w:r>
      <w:r>
        <w:rPr>
          <w:rFonts w:hint="eastAsia" w:hAnsi="宋体"/>
          <w:color w:val="000000"/>
          <w:sz w:val="24"/>
          <w:szCs w:val="28"/>
        </w:rPr>
        <w:t xml:space="preserve">   </w:t>
      </w:r>
      <w:r>
        <w:rPr>
          <w:rFonts w:hint="eastAsia" w:hAnsi="宋体"/>
          <w:color w:val="000000"/>
          <w:sz w:val="18"/>
          <w:szCs w:val="18"/>
        </w:rPr>
        <w:t>单位：万元</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0"/>
        <w:gridCol w:w="1724"/>
        <w:gridCol w:w="15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65" w:hRule="atLeast"/>
          <w:tblHeader/>
          <w:jc w:val="center"/>
        </w:trPr>
        <w:tc>
          <w:tcPr>
            <w:tcW w:w="4390"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项     目</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F24</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0"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1、基建投资</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70</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360" w:lineRule="exact"/>
              <w:ind w:left="0" w:leftChars="0"/>
              <w:jc w:val="left"/>
              <w:rPr>
                <w:rFonts w:hint="eastAsia" w:ascii="宋体" w:hAnsi="宋体"/>
                <w:color w:val="000000"/>
                <w:szCs w:val="21"/>
              </w:rPr>
            </w:pPr>
            <w:r>
              <w:rPr>
                <w:rFonts w:hint="eastAsia" w:ascii="宋体" w:hAnsi="宋体"/>
                <w:color w:val="000000"/>
                <w:szCs w:val="21"/>
              </w:rPr>
              <w:t>⑴固定资产投资</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70</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360" w:lineRule="exact"/>
              <w:ind w:left="0" w:leftChars="0"/>
              <w:jc w:val="left"/>
              <w:rPr>
                <w:rFonts w:hint="eastAsia" w:ascii="宋体" w:hAnsi="宋体"/>
                <w:color w:val="000000"/>
                <w:szCs w:val="21"/>
              </w:rPr>
            </w:pPr>
            <w:r>
              <w:rPr>
                <w:rFonts w:hint="eastAsia" w:ascii="宋体" w:hAnsi="宋体"/>
                <w:color w:val="000000"/>
                <w:szCs w:val="21"/>
              </w:rPr>
              <w:t>①设备购置</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2</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int="eastAsia" w:hAnsi="宋体"/>
                <w:color w:val="000000"/>
                <w:szCs w:val="21"/>
              </w:rPr>
            </w:pPr>
            <w:r>
              <w:rPr>
                <w:rFonts w:hint="eastAsia"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②与公用设施连接费(配套工程费，材料费)</w:t>
            </w:r>
          </w:p>
        </w:tc>
        <w:tc>
          <w:tcPr>
            <w:tcW w:w="1724"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50</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int="eastAsia" w:hAnsi="宋体"/>
                <w:color w:val="000000"/>
                <w:szCs w:val="21"/>
              </w:rPr>
            </w:pPr>
            <w:r>
              <w:rPr>
                <w:rFonts w:hint="eastAsia"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⑵无形资产投资</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01"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⑶开办费</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5"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⑷不可预见费</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2、建设期利息</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3、项目流动资金</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⑴原材料，燃料占用资金的增加</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1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4、补贴</w:t>
            </w:r>
          </w:p>
        </w:tc>
        <w:tc>
          <w:tcPr>
            <w:tcW w:w="1724"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rPr>
            </w:pPr>
            <w:r>
              <w:rPr>
                <w:rFonts w:hint="eastAsia" w:ascii="宋体" w:hAnsi="宋体"/>
                <w:color w:val="000000"/>
              </w:rPr>
              <w:t>0</w:t>
            </w:r>
          </w:p>
        </w:tc>
        <w:tc>
          <w:tcPr>
            <w:tcW w:w="1567" w:type="dxa"/>
            <w:tcBorders>
              <w:top w:val="single" w:color="auto" w:sz="4" w:space="0"/>
              <w:left w:val="single" w:color="auto" w:sz="4" w:space="0"/>
              <w:bottom w:val="single" w:color="auto" w:sz="4" w:space="0"/>
              <w:right w:val="single" w:color="auto" w:sz="4" w:space="0"/>
            </w:tcBorders>
            <w:noWrap w:val="0"/>
            <w:vAlign w:val="top"/>
          </w:tcPr>
          <w:p>
            <w:pPr>
              <w:jc w:val="center"/>
              <w:rPr>
                <w:rFonts w:hint="eastAsia" w:ascii="宋体" w:hAnsi="宋体"/>
                <w:color w:val="000000"/>
                <w:szCs w:val="21"/>
              </w:rPr>
            </w:pPr>
            <w:r>
              <w:rPr>
                <w:rFonts w:hint="eastAsia" w:ascii="宋体"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89" w:hRule="atLeast"/>
          <w:jc w:val="center"/>
        </w:trPr>
        <w:tc>
          <w:tcPr>
            <w:tcW w:w="4390"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color w:val="000000"/>
                <w:szCs w:val="21"/>
              </w:rPr>
            </w:pPr>
            <w:r>
              <w:rPr>
                <w:rFonts w:hint="eastAsia" w:hAnsi="宋体"/>
                <w:color w:val="000000"/>
                <w:szCs w:val="21"/>
              </w:rPr>
              <w:t>总投资费用(I)=1+2+3-4</w:t>
            </w:r>
          </w:p>
        </w:tc>
        <w:tc>
          <w:tcPr>
            <w:tcW w:w="172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71.85</w:t>
            </w:r>
          </w:p>
        </w:tc>
        <w:tc>
          <w:tcPr>
            <w:tcW w:w="1567"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20</w:t>
            </w:r>
          </w:p>
        </w:tc>
      </w:tr>
    </w:tbl>
    <w:p>
      <w:pPr>
        <w:pStyle w:val="17"/>
        <w:tabs>
          <w:tab w:val="left" w:pos="0"/>
        </w:tabs>
        <w:spacing w:line="240" w:lineRule="exact"/>
        <w:jc w:val="center"/>
        <w:rPr>
          <w:rFonts w:hint="eastAsia" w:hAnsi="宋体"/>
          <w:b/>
          <w:color w:val="000000"/>
          <w:sz w:val="24"/>
          <w:szCs w:val="28"/>
        </w:rPr>
      </w:pPr>
    </w:p>
    <w:p>
      <w:pPr>
        <w:pStyle w:val="17"/>
        <w:tabs>
          <w:tab w:val="left" w:pos="0"/>
        </w:tabs>
        <w:spacing w:line="360" w:lineRule="auto"/>
        <w:jc w:val="center"/>
        <w:rPr>
          <w:rFonts w:hint="eastAsia" w:hAnsi="宋体"/>
          <w:color w:val="000000"/>
          <w:sz w:val="32"/>
          <w:szCs w:val="32"/>
        </w:rPr>
      </w:pPr>
      <w:r>
        <w:rPr>
          <w:rFonts w:hint="eastAsia" w:hAnsi="宋体"/>
          <w:b/>
          <w:color w:val="000000"/>
          <w:sz w:val="24"/>
          <w:szCs w:val="28"/>
        </w:rPr>
        <w:t>表5-4 运行费用和收益统计表</w:t>
      </w:r>
      <w:r>
        <w:rPr>
          <w:rFonts w:hint="eastAsia" w:hAnsi="宋体"/>
          <w:b/>
          <w:color w:val="000000"/>
          <w:sz w:val="24"/>
          <w:szCs w:val="32"/>
        </w:rPr>
        <w:t xml:space="preserve">   </w:t>
      </w:r>
      <w:r>
        <w:rPr>
          <w:rFonts w:hint="eastAsia" w:hAnsi="宋体"/>
          <w:color w:val="000000"/>
          <w:sz w:val="32"/>
          <w:szCs w:val="32"/>
        </w:rPr>
        <w:t xml:space="preserve">  </w:t>
      </w:r>
      <w:r>
        <w:rPr>
          <w:rFonts w:hint="eastAsia" w:hAnsi="宋体"/>
          <w:color w:val="000000"/>
          <w:szCs w:val="21"/>
        </w:rPr>
        <w:t>单位：万元</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08"/>
        <w:gridCol w:w="2016"/>
        <w:gridCol w:w="23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17" w:hRule="atLeast"/>
          <w:tblHeader/>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rPr>
                <w:rFonts w:hint="eastAsia" w:hAnsi="宋体"/>
                <w:bCs/>
                <w:color w:val="000000"/>
                <w:szCs w:val="21"/>
              </w:rPr>
            </w:pPr>
            <w:r>
              <w:rPr>
                <w:rFonts w:hint="eastAsia" w:hAnsi="宋体"/>
                <w:bCs/>
                <w:color w:val="000000"/>
                <w:szCs w:val="21"/>
              </w:rPr>
              <w:t>项目</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F24</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43"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240" w:lineRule="auto"/>
              <w:ind w:left="0" w:leftChars="0"/>
              <w:jc w:val="left"/>
              <w:rPr>
                <w:rFonts w:hint="eastAsia" w:ascii="宋体" w:hAnsi="宋体"/>
                <w:bCs/>
                <w:color w:val="000000"/>
                <w:szCs w:val="21"/>
              </w:rPr>
            </w:pPr>
            <w:r>
              <w:rPr>
                <w:rFonts w:hint="eastAsia" w:ascii="宋体" w:hAnsi="宋体"/>
                <w:bCs/>
                <w:color w:val="000000"/>
                <w:szCs w:val="21"/>
              </w:rPr>
              <w:t>1.年运行费用总节省金额(P)=(1)+(2)</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7"/>
              <w:jc w:val="center"/>
              <w:rPr>
                <w:rFonts w:hint="eastAsia" w:hAnsi="宋体"/>
                <w:color w:val="000000"/>
                <w:szCs w:val="21"/>
              </w:rPr>
            </w:pPr>
            <w:r>
              <w:rPr>
                <w:rFonts w:hint="eastAsia" w:hAnsi="宋体"/>
                <w:color w:val="000000"/>
                <w:szCs w:val="21"/>
              </w:rPr>
              <w:t>15</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7"/>
              <w:jc w:val="center"/>
              <w:rPr>
                <w:rFonts w:hint="eastAsia" w:hAnsi="宋体"/>
                <w:color w:val="000000"/>
                <w:szCs w:val="21"/>
              </w:rPr>
            </w:pPr>
            <w:r>
              <w:rPr>
                <w:rFonts w:hint="eastAsia" w:hAnsi="宋体"/>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360" w:lineRule="exact"/>
              <w:ind w:left="0" w:leftChars="0"/>
              <w:jc w:val="left"/>
              <w:rPr>
                <w:rFonts w:hint="eastAsia" w:ascii="宋体" w:hAnsi="宋体"/>
                <w:bCs/>
                <w:color w:val="000000"/>
                <w:szCs w:val="21"/>
              </w:rPr>
            </w:pPr>
            <w:r>
              <w:rPr>
                <w:rFonts w:hint="eastAsia" w:ascii="宋体" w:hAnsi="宋体"/>
                <w:bCs/>
                <w:color w:val="000000"/>
                <w:szCs w:val="21"/>
              </w:rPr>
              <w:t>⑴收入增加额</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10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int="eastAsia" w:hAnsi="宋体"/>
                <w:color w:val="000000"/>
                <w:szCs w:val="21"/>
              </w:rPr>
            </w:pPr>
            <w:r>
              <w:rPr>
                <w:rFonts w:hint="eastAsia" w:hAnsi="宋体"/>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360" w:lineRule="exact"/>
              <w:ind w:left="0" w:leftChars="0"/>
              <w:jc w:val="left"/>
              <w:rPr>
                <w:rFonts w:hint="eastAsia" w:ascii="宋体" w:hAnsi="宋体"/>
                <w:bCs/>
                <w:color w:val="000000"/>
                <w:szCs w:val="21"/>
              </w:rPr>
            </w:pPr>
            <w:r>
              <w:rPr>
                <w:rFonts w:hint="eastAsia" w:ascii="宋体" w:hAnsi="宋体"/>
                <w:bCs/>
                <w:color w:val="000000"/>
                <w:szCs w:val="21"/>
              </w:rPr>
              <w:t>①由于产量增加的收入</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10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int="eastAsia" w:hAnsi="宋体"/>
                <w:color w:val="000000"/>
                <w:szCs w:val="21"/>
              </w:rPr>
            </w:pPr>
            <w:r>
              <w:rPr>
                <w:rFonts w:hint="eastAsia" w:hAnsi="宋体"/>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360" w:lineRule="exact"/>
              <w:ind w:left="0" w:leftChars="0"/>
              <w:jc w:val="left"/>
              <w:rPr>
                <w:rFonts w:hint="eastAsia" w:ascii="宋体" w:hAnsi="宋体"/>
                <w:bCs/>
                <w:color w:val="000000"/>
                <w:szCs w:val="21"/>
              </w:rPr>
            </w:pPr>
            <w:r>
              <w:rPr>
                <w:rFonts w:hint="eastAsia" w:ascii="宋体" w:hAnsi="宋体"/>
                <w:bCs/>
                <w:color w:val="000000"/>
                <w:szCs w:val="21"/>
              </w:rPr>
              <w:t>②其他收入增加额</w:t>
            </w:r>
          </w:p>
        </w:tc>
        <w:tc>
          <w:tcPr>
            <w:tcW w:w="2016" w:type="dxa"/>
            <w:tcBorders>
              <w:top w:val="single" w:color="auto" w:sz="4" w:space="0"/>
              <w:left w:val="single" w:color="auto" w:sz="4" w:space="0"/>
              <w:bottom w:val="single" w:color="auto" w:sz="4" w:space="0"/>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int="eastAsia" w:hAnsi="宋体"/>
                <w:color w:val="000000"/>
                <w:szCs w:val="21"/>
              </w:rPr>
            </w:pPr>
            <w:r>
              <w:rPr>
                <w:rFonts w:hint="eastAsia"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65"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⑵总运行费用的减少额</w:t>
            </w:r>
          </w:p>
        </w:tc>
        <w:tc>
          <w:tcPr>
            <w:tcW w:w="2016" w:type="dxa"/>
            <w:tcBorders>
              <w:top w:val="single" w:color="auto" w:sz="4" w:space="0"/>
              <w:left w:val="single" w:color="auto" w:sz="4" w:space="0"/>
              <w:bottom w:val="nil"/>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5</w:t>
            </w:r>
          </w:p>
        </w:tc>
        <w:tc>
          <w:tcPr>
            <w:tcW w:w="2327" w:type="dxa"/>
            <w:tcBorders>
              <w:top w:val="single" w:color="auto" w:sz="4" w:space="0"/>
              <w:left w:val="single" w:color="auto" w:sz="4" w:space="0"/>
              <w:bottom w:val="nil"/>
              <w:right w:val="single" w:color="auto" w:sz="4" w:space="0"/>
            </w:tcBorders>
            <w:noWrap w:val="0"/>
            <w:vAlign w:val="top"/>
          </w:tcPr>
          <w:p>
            <w:pPr>
              <w:pStyle w:val="17"/>
              <w:spacing w:line="360" w:lineRule="exact"/>
              <w:jc w:val="center"/>
              <w:rPr>
                <w:rFonts w:hint="eastAsia" w:hAnsi="宋体"/>
                <w:color w:val="000000"/>
                <w:szCs w:val="21"/>
              </w:rPr>
            </w:pPr>
            <w:r>
              <w:rPr>
                <w:rFonts w:hint="eastAsia" w:hAnsi="宋体"/>
                <w:color w:val="00000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①原材料消耗的减少</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5</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②动力和燃料费用的减少</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③工资和维修费用的减少</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2.新增设备年折旧费（D）</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7 (折旧期十年)</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2(折旧期十年)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78"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3.应税利润（T）</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8</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3" w:hRule="atLeast"/>
          <w:jc w:val="center"/>
        </w:trPr>
        <w:tc>
          <w:tcPr>
            <w:tcW w:w="3508"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left"/>
              <w:rPr>
                <w:rFonts w:hint="eastAsia" w:hAnsi="宋体"/>
                <w:bCs/>
                <w:color w:val="000000"/>
                <w:szCs w:val="21"/>
              </w:rPr>
            </w:pPr>
            <w:r>
              <w:rPr>
                <w:rFonts w:hint="eastAsia" w:hAnsi="宋体"/>
                <w:bCs/>
                <w:color w:val="000000"/>
                <w:szCs w:val="21"/>
              </w:rPr>
              <w:t>4.净利润</w:t>
            </w:r>
          </w:p>
        </w:tc>
        <w:tc>
          <w:tcPr>
            <w:tcW w:w="2016"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5.6</w:t>
            </w:r>
          </w:p>
        </w:tc>
        <w:tc>
          <w:tcPr>
            <w:tcW w:w="2327"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4.2</w:t>
            </w:r>
          </w:p>
        </w:tc>
      </w:tr>
    </w:tbl>
    <w:p>
      <w:pPr>
        <w:tabs>
          <w:tab w:val="left" w:pos="0"/>
        </w:tabs>
        <w:spacing w:before="240" w:beforeLines="100" w:line="360" w:lineRule="auto"/>
        <w:ind w:firstLine="463" w:firstLineChars="193"/>
        <w:jc w:val="left"/>
        <w:rPr>
          <w:rFonts w:hint="eastAsia" w:ascii="宋体" w:hAnsi="宋体"/>
          <w:color w:val="000000"/>
          <w:sz w:val="24"/>
        </w:rPr>
      </w:pPr>
      <w:r>
        <w:rPr>
          <w:rFonts w:hint="eastAsia" w:ascii="宋体" w:hAnsi="宋体"/>
          <w:color w:val="000000"/>
          <w:sz w:val="24"/>
        </w:rPr>
        <w:t>注：税率：30%</w:t>
      </w:r>
    </w:p>
    <w:p>
      <w:pPr>
        <w:spacing w:line="360" w:lineRule="auto"/>
        <w:ind w:firstLine="480" w:firstLineChars="200"/>
        <w:rPr>
          <w:rFonts w:hint="eastAsia" w:ascii="宋体" w:hAnsi="宋体"/>
          <w:color w:val="000000"/>
          <w:sz w:val="24"/>
        </w:rPr>
      </w:pPr>
      <w:bookmarkStart w:id="480" w:name="_Toc367781213"/>
      <w:bookmarkStart w:id="481" w:name="_Toc19144"/>
      <w:bookmarkStart w:id="482" w:name="_Toc17539"/>
      <w:bookmarkStart w:id="483" w:name="_Toc21436"/>
      <w:bookmarkStart w:id="484" w:name="_Toc9974"/>
      <w:r>
        <w:rPr>
          <w:rFonts w:hint="eastAsia" w:ascii="宋体" w:hAnsi="宋体"/>
          <w:color w:val="000000"/>
          <w:sz w:val="24"/>
        </w:rPr>
        <w:t>2、经济评估指标</w:t>
      </w:r>
      <w:bookmarkEnd w:id="480"/>
      <w:bookmarkEnd w:id="481"/>
      <w:bookmarkEnd w:id="482"/>
      <w:bookmarkEnd w:id="483"/>
      <w:bookmarkEnd w:id="484"/>
    </w:p>
    <w:p>
      <w:pPr>
        <w:spacing w:line="360" w:lineRule="auto"/>
        <w:ind w:firstLine="480" w:firstLineChars="200"/>
        <w:rPr>
          <w:rFonts w:hint="eastAsia" w:ascii="宋体" w:hAnsi="宋体"/>
          <w:color w:val="000000"/>
          <w:sz w:val="24"/>
          <w:lang w:val="zh-CN"/>
        </w:rPr>
      </w:pPr>
      <w:r>
        <w:rPr>
          <w:rFonts w:hint="eastAsia" w:ascii="宋体" w:hAnsi="宋体"/>
          <w:color w:val="000000"/>
          <w:sz w:val="24"/>
          <w:lang w:val="zh-CN"/>
        </w:rPr>
        <w:t>在评估经济可行性时，选择了以下指标：</w:t>
      </w:r>
    </w:p>
    <w:p>
      <w:pPr>
        <w:spacing w:line="360" w:lineRule="auto"/>
        <w:ind w:firstLine="480" w:firstLineChars="200"/>
        <w:rPr>
          <w:rFonts w:hint="eastAsia" w:ascii="宋体" w:hAnsi="宋体"/>
          <w:color w:val="000000"/>
          <w:sz w:val="24"/>
        </w:rPr>
      </w:pPr>
      <w:r>
        <w:rPr>
          <w:rFonts w:hint="eastAsia" w:ascii="宋体" w:hAnsi="宋体"/>
          <w:color w:val="000000"/>
          <w:sz w:val="24"/>
        </w:rPr>
        <w:t>⑴总投资费用（I）=总投资-补贴</w:t>
      </w:r>
    </w:p>
    <w:p>
      <w:pPr>
        <w:spacing w:line="360" w:lineRule="auto"/>
        <w:ind w:firstLine="480" w:firstLineChars="200"/>
        <w:rPr>
          <w:rFonts w:hint="eastAsia" w:ascii="宋体" w:hAnsi="宋体"/>
          <w:color w:val="000000"/>
          <w:sz w:val="24"/>
        </w:rPr>
      </w:pPr>
      <w:r>
        <w:rPr>
          <w:rFonts w:hint="eastAsia" w:ascii="宋体" w:hAnsi="宋体"/>
          <w:color w:val="000000"/>
          <w:sz w:val="24"/>
        </w:rPr>
        <w:t>⑵年折旧费（D）=固定资产投资费用/折旧年限</w:t>
      </w:r>
    </w:p>
    <w:p>
      <w:pPr>
        <w:spacing w:line="360" w:lineRule="auto"/>
        <w:ind w:firstLine="480" w:firstLineChars="200"/>
        <w:rPr>
          <w:rFonts w:hint="eastAsia" w:ascii="宋体" w:hAnsi="宋体"/>
          <w:color w:val="000000"/>
          <w:sz w:val="24"/>
        </w:rPr>
      </w:pPr>
      <w:r>
        <w:rPr>
          <w:rFonts w:hint="eastAsia" w:ascii="宋体" w:hAnsi="宋体"/>
          <w:color w:val="000000"/>
          <w:sz w:val="24"/>
        </w:rPr>
        <w:t>⑶年净现金流量F=(年运行费用总节省-年折旧费)×（1-综合税率）+年折旧费</w:t>
      </w:r>
    </w:p>
    <w:p>
      <w:pPr>
        <w:spacing w:line="360" w:lineRule="auto"/>
        <w:ind w:firstLine="480" w:firstLineChars="200"/>
        <w:rPr>
          <w:rFonts w:hint="eastAsia" w:ascii="宋体" w:hAnsi="宋体"/>
          <w:color w:val="000000"/>
          <w:sz w:val="24"/>
        </w:rPr>
      </w:pPr>
      <w:r>
        <w:rPr>
          <w:rFonts w:hint="eastAsia" w:ascii="宋体" w:hAnsi="宋体"/>
          <w:color w:val="000000"/>
          <w:sz w:val="24"/>
        </w:rPr>
        <w:t>⑷投资偿还期N=总投资费用I÷年净现金流量F</w:t>
      </w:r>
    </w:p>
    <w:p>
      <w:pPr>
        <w:spacing w:line="360" w:lineRule="auto"/>
        <w:ind w:firstLine="480" w:firstLineChars="200"/>
        <w:rPr>
          <w:rFonts w:hint="eastAsia" w:ascii="宋体" w:hAnsi="宋体"/>
          <w:color w:val="000000"/>
          <w:sz w:val="24"/>
        </w:rPr>
      </w:pPr>
      <w:r>
        <w:rPr>
          <w:rFonts w:hint="eastAsia" w:ascii="宋体" w:hAnsi="宋体"/>
          <w:color w:val="000000"/>
          <w:sz w:val="24"/>
        </w:rPr>
        <w:t>⑸净现值NPV=年净现金流量F×贴现值系数-I</w:t>
      </w:r>
    </w:p>
    <w:p>
      <w:pPr>
        <w:spacing w:line="360" w:lineRule="auto"/>
        <w:ind w:firstLine="480" w:firstLineChars="200"/>
        <w:rPr>
          <w:rFonts w:hint="eastAsia" w:ascii="宋体" w:hAnsi="宋体"/>
          <w:color w:val="000000"/>
          <w:sz w:val="24"/>
        </w:rPr>
      </w:pPr>
      <w:r>
        <w:rPr>
          <w:rFonts w:hint="eastAsia" w:ascii="宋体" w:hAnsi="宋体"/>
          <w:color w:val="000000"/>
          <w:sz w:val="24"/>
          <w:lang/>
        </w:rPr>
        <w:drawing>
          <wp:anchor distT="0" distB="0" distL="114300" distR="114300" simplePos="0" relativeHeight="251678720" behindDoc="0" locked="0" layoutInCell="1" allowOverlap="1">
            <wp:simplePos x="0" y="0"/>
            <wp:positionH relativeFrom="column">
              <wp:posOffset>2171700</wp:posOffset>
            </wp:positionH>
            <wp:positionV relativeFrom="paragraph">
              <wp:posOffset>305435</wp:posOffset>
            </wp:positionV>
            <wp:extent cx="2171700" cy="553720"/>
            <wp:effectExtent l="0" t="0" r="0" b="17780"/>
            <wp:wrapNone/>
            <wp:docPr id="158" name="图片 5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5376"/>
                    <pic:cNvPicPr>
                      <a:picLocks noChangeAspect="1"/>
                    </pic:cNvPicPr>
                  </pic:nvPicPr>
                  <pic:blipFill>
                    <a:blip r:embed="rId22"/>
                    <a:stretch>
                      <a:fillRect/>
                    </a:stretch>
                  </pic:blipFill>
                  <pic:spPr>
                    <a:xfrm>
                      <a:off x="0" y="0"/>
                      <a:ext cx="2171700" cy="553720"/>
                    </a:xfrm>
                    <a:prstGeom prst="rect">
                      <a:avLst/>
                    </a:prstGeom>
                    <a:noFill/>
                    <a:ln>
                      <a:noFill/>
                    </a:ln>
                  </pic:spPr>
                </pic:pic>
              </a:graphicData>
            </a:graphic>
          </wp:anchor>
        </w:drawing>
      </w:r>
      <w:r>
        <w:rPr>
          <w:rFonts w:hint="eastAsia" w:ascii="宋体" w:hAnsi="宋体"/>
          <w:color w:val="000000"/>
          <w:sz w:val="24"/>
        </w:rPr>
        <w:t>⑹净现值率NPVR=(净现值NPV÷总投资费用I)x100%</w:t>
      </w:r>
    </w:p>
    <w:p>
      <w:pPr>
        <w:spacing w:line="360" w:lineRule="auto"/>
        <w:ind w:firstLine="540" w:firstLineChars="225"/>
        <w:rPr>
          <w:rFonts w:hint="eastAsia" w:ascii="宋体" w:hAnsi="宋体"/>
          <w:color w:val="000000"/>
          <w:sz w:val="24"/>
        </w:rPr>
      </w:pPr>
      <w:r>
        <w:rPr>
          <w:rFonts w:hint="eastAsia" w:ascii="宋体" w:hAnsi="宋体"/>
          <w:color w:val="000000"/>
          <w:sz w:val="24"/>
        </w:rPr>
        <w:t>⑺内部收益率IRR=</w:t>
      </w:r>
    </w:p>
    <w:p>
      <w:pPr>
        <w:spacing w:line="360" w:lineRule="auto"/>
        <w:ind w:left="1118" w:leftChars="304" w:hanging="480" w:hangingChars="200"/>
        <w:rPr>
          <w:rFonts w:hint="eastAsia" w:ascii="宋体" w:hAnsi="宋体"/>
          <w:color w:val="000000"/>
          <w:sz w:val="24"/>
        </w:rPr>
      </w:pPr>
      <w:r>
        <w:rPr>
          <w:rFonts w:hint="eastAsia" w:ascii="宋体" w:hAnsi="宋体"/>
          <w:color w:val="000000"/>
          <w:sz w:val="24"/>
        </w:rPr>
        <w:t xml:space="preserve"> </w:t>
      </w:r>
    </w:p>
    <w:p>
      <w:pPr>
        <w:spacing w:line="360" w:lineRule="auto"/>
        <w:ind w:left="1118" w:leftChars="304" w:hanging="480" w:hangingChars="200"/>
        <w:rPr>
          <w:rFonts w:hint="eastAsia" w:ascii="宋体" w:hAnsi="宋体"/>
          <w:color w:val="000000"/>
          <w:sz w:val="24"/>
        </w:rPr>
      </w:pPr>
      <w:r>
        <w:rPr>
          <w:rFonts w:hint="eastAsia" w:ascii="宋体" w:hAnsi="宋体"/>
          <w:color w:val="000000"/>
          <w:sz w:val="24"/>
        </w:rPr>
        <w:t xml:space="preserve"> i</w:t>
      </w:r>
      <w:r>
        <w:rPr>
          <w:rFonts w:hint="eastAsia" w:ascii="宋体" w:hAnsi="宋体"/>
          <w:color w:val="000000"/>
          <w:sz w:val="24"/>
          <w:vertAlign w:val="subscript"/>
        </w:rPr>
        <w:t>1</w:t>
      </w:r>
      <w:r>
        <w:rPr>
          <w:rFonts w:hint="eastAsia" w:ascii="宋体" w:hAnsi="宋体"/>
          <w:color w:val="000000"/>
          <w:sz w:val="24"/>
        </w:rPr>
        <w:t>——当净现值NPV</w:t>
      </w:r>
      <w:r>
        <w:rPr>
          <w:rFonts w:hint="eastAsia" w:ascii="宋体" w:hAnsi="宋体"/>
          <w:color w:val="000000"/>
          <w:sz w:val="24"/>
          <w:vertAlign w:val="subscript"/>
        </w:rPr>
        <w:t>1</w:t>
      </w:r>
      <w:r>
        <w:rPr>
          <w:rFonts w:hint="eastAsia" w:ascii="宋体" w:hAnsi="宋体"/>
          <w:color w:val="000000"/>
          <w:sz w:val="24"/>
        </w:rPr>
        <w:t>为接近于零的正值时的贴现率；</w:t>
      </w:r>
      <w:r>
        <w:rPr>
          <w:rFonts w:hint="eastAsia" w:ascii="宋体" w:hAnsi="宋体"/>
          <w:color w:val="000000"/>
          <w:sz w:val="24"/>
        </w:rPr>
        <w:br w:type="textWrapping"/>
      </w:r>
      <w:r>
        <w:rPr>
          <w:rFonts w:hint="eastAsia" w:ascii="宋体" w:hAnsi="宋体"/>
          <w:color w:val="000000"/>
          <w:sz w:val="24"/>
        </w:rPr>
        <w:t>i</w:t>
      </w:r>
      <w:r>
        <w:rPr>
          <w:rFonts w:hint="eastAsia" w:ascii="宋体" w:hAnsi="宋体"/>
          <w:color w:val="000000"/>
          <w:sz w:val="24"/>
          <w:vertAlign w:val="subscript"/>
        </w:rPr>
        <w:t>2</w:t>
      </w:r>
      <w:r>
        <w:rPr>
          <w:rFonts w:hint="eastAsia" w:ascii="宋体" w:hAnsi="宋体"/>
          <w:color w:val="000000"/>
          <w:sz w:val="24"/>
        </w:rPr>
        <w:t>——当净现值NPV</w:t>
      </w:r>
      <w:r>
        <w:rPr>
          <w:rFonts w:hint="eastAsia" w:ascii="宋体" w:hAnsi="宋体"/>
          <w:color w:val="000000"/>
          <w:sz w:val="24"/>
          <w:vertAlign w:val="subscript"/>
        </w:rPr>
        <w:t>2</w:t>
      </w:r>
      <w:r>
        <w:rPr>
          <w:rFonts w:hint="eastAsia" w:ascii="宋体" w:hAnsi="宋体"/>
          <w:color w:val="000000"/>
          <w:sz w:val="24"/>
        </w:rPr>
        <w:t>为接近于零的负值时的贴现率。</w:t>
      </w:r>
      <w:r>
        <w:rPr>
          <w:rFonts w:hint="eastAsia" w:ascii="宋体" w:hAnsi="宋体"/>
          <w:color w:val="000000"/>
          <w:sz w:val="24"/>
        </w:rPr>
        <w:br w:type="textWrapping"/>
      </w:r>
      <w:r>
        <w:rPr>
          <w:rFonts w:hint="eastAsia" w:ascii="宋体" w:hAnsi="宋体"/>
          <w:color w:val="000000"/>
          <w:sz w:val="24"/>
        </w:rPr>
        <w:t>NPV</w:t>
      </w:r>
      <w:r>
        <w:rPr>
          <w:rFonts w:hint="eastAsia" w:ascii="宋体" w:hAnsi="宋体"/>
          <w:color w:val="000000"/>
          <w:sz w:val="24"/>
          <w:vertAlign w:val="subscript"/>
        </w:rPr>
        <w:t>1</w:t>
      </w:r>
      <w:r>
        <w:rPr>
          <w:rFonts w:hint="eastAsia" w:ascii="宋体" w:hAnsi="宋体"/>
          <w:color w:val="000000"/>
          <w:sz w:val="24"/>
        </w:rPr>
        <w:t>，NPV</w:t>
      </w:r>
      <w:r>
        <w:rPr>
          <w:rFonts w:hint="eastAsia" w:ascii="宋体" w:hAnsi="宋体"/>
          <w:color w:val="000000"/>
          <w:sz w:val="24"/>
          <w:vertAlign w:val="subscript"/>
        </w:rPr>
        <w:t>2</w:t>
      </w:r>
      <w:r>
        <w:rPr>
          <w:rFonts w:hint="eastAsia" w:ascii="宋体" w:hAnsi="宋体"/>
          <w:color w:val="000000"/>
          <w:sz w:val="24"/>
        </w:rPr>
        <w:t>分别为试算贴现率i</w:t>
      </w:r>
      <w:r>
        <w:rPr>
          <w:rFonts w:hint="eastAsia" w:ascii="宋体" w:hAnsi="宋体"/>
          <w:color w:val="000000"/>
          <w:sz w:val="24"/>
          <w:vertAlign w:val="subscript"/>
        </w:rPr>
        <w:t>1</w:t>
      </w:r>
      <w:r>
        <w:rPr>
          <w:rFonts w:hint="eastAsia" w:ascii="宋体" w:hAnsi="宋体"/>
          <w:color w:val="000000"/>
          <w:sz w:val="24"/>
        </w:rPr>
        <w:t>和i</w:t>
      </w:r>
      <w:r>
        <w:rPr>
          <w:rFonts w:hint="eastAsia" w:ascii="宋体" w:hAnsi="宋体"/>
          <w:color w:val="000000"/>
          <w:sz w:val="24"/>
          <w:vertAlign w:val="subscript"/>
        </w:rPr>
        <w:t>2</w:t>
      </w:r>
      <w:r>
        <w:rPr>
          <w:rFonts w:hint="eastAsia" w:ascii="宋体" w:hAnsi="宋体"/>
          <w:color w:val="000000"/>
          <w:sz w:val="24"/>
        </w:rPr>
        <w:t>时，对应的净现值。i</w:t>
      </w:r>
      <w:r>
        <w:rPr>
          <w:rFonts w:hint="eastAsia" w:ascii="宋体" w:hAnsi="宋体"/>
          <w:color w:val="000000"/>
          <w:sz w:val="24"/>
          <w:vertAlign w:val="subscript"/>
        </w:rPr>
        <w:t>1</w:t>
      </w:r>
      <w:r>
        <w:rPr>
          <w:rFonts w:hint="eastAsia" w:ascii="宋体" w:hAnsi="宋体"/>
          <w:color w:val="000000"/>
          <w:sz w:val="24"/>
        </w:rPr>
        <w:t>与i</w:t>
      </w:r>
      <w:r>
        <w:rPr>
          <w:rFonts w:hint="eastAsia" w:ascii="宋体" w:hAnsi="宋体"/>
          <w:color w:val="000000"/>
          <w:sz w:val="24"/>
          <w:vertAlign w:val="subscript"/>
        </w:rPr>
        <w:t>2</w:t>
      </w:r>
      <w:r>
        <w:rPr>
          <w:rFonts w:hint="eastAsia" w:ascii="宋体" w:hAnsi="宋体"/>
          <w:color w:val="000000"/>
          <w:sz w:val="24"/>
        </w:rPr>
        <w:t>可查表获得，i</w:t>
      </w:r>
      <w:r>
        <w:rPr>
          <w:rFonts w:hint="eastAsia" w:ascii="宋体" w:hAnsi="宋体"/>
          <w:color w:val="000000"/>
          <w:sz w:val="24"/>
          <w:vertAlign w:val="subscript"/>
        </w:rPr>
        <w:t>1</w:t>
      </w:r>
      <w:r>
        <w:rPr>
          <w:rFonts w:hint="eastAsia" w:ascii="宋体" w:hAnsi="宋体"/>
          <w:color w:val="000000"/>
          <w:sz w:val="24"/>
        </w:rPr>
        <w:t>与i</w:t>
      </w:r>
      <w:r>
        <w:rPr>
          <w:rFonts w:hint="eastAsia" w:ascii="宋体" w:hAnsi="宋体"/>
          <w:color w:val="000000"/>
          <w:sz w:val="24"/>
          <w:vertAlign w:val="subscript"/>
        </w:rPr>
        <w:t>2</w:t>
      </w:r>
      <w:r>
        <w:rPr>
          <w:rFonts w:hint="eastAsia" w:ascii="宋体" w:hAnsi="宋体"/>
          <w:color w:val="000000"/>
          <w:sz w:val="24"/>
        </w:rPr>
        <w:t xml:space="preserve">的差值不应当超过1％～2％。 </w:t>
      </w:r>
    </w:p>
    <w:p>
      <w:pPr>
        <w:spacing w:line="360" w:lineRule="auto"/>
        <w:ind w:firstLine="720" w:firstLineChars="300"/>
        <w:rPr>
          <w:rFonts w:hint="eastAsia" w:ascii="宋体" w:hAnsi="宋体"/>
          <w:color w:val="000000"/>
          <w:sz w:val="24"/>
        </w:rPr>
      </w:pPr>
      <w:r>
        <w:rPr>
          <w:rFonts w:hint="eastAsia" w:ascii="宋体" w:hAnsi="宋体"/>
          <w:color w:val="000000"/>
          <w:sz w:val="24"/>
        </w:rPr>
        <w:t>⑻贴现值系数=总投资费用I÷年净现金流量F</w:t>
      </w:r>
    </w:p>
    <w:p>
      <w:pPr>
        <w:pStyle w:val="17"/>
        <w:spacing w:before="120" w:line="360" w:lineRule="auto"/>
        <w:ind w:left="120" w:hanging="120" w:hangingChars="50"/>
        <w:rPr>
          <w:rFonts w:hint="eastAsia" w:hAnsi="宋体"/>
          <w:color w:val="000000"/>
          <w:sz w:val="24"/>
        </w:rPr>
      </w:pPr>
      <w:r>
        <w:rPr>
          <w:rFonts w:hint="eastAsia" w:hAnsi="宋体"/>
          <w:color w:val="000000"/>
          <w:sz w:val="24"/>
        </w:rPr>
        <w:t xml:space="preserve">     NPV﹥0,则投资可行，IRR是方案投资最高盈利率，也是方案投资所能支付贷款的最高临界利率，如IRR低于贷款利率，则方案投资会亏损，故IRR应高于等于基准收益率或银行贷款利率。详见表5-5。</w:t>
      </w:r>
    </w:p>
    <w:p>
      <w:pPr>
        <w:pStyle w:val="17"/>
        <w:tabs>
          <w:tab w:val="left" w:pos="0"/>
        </w:tabs>
        <w:spacing w:line="320" w:lineRule="exact"/>
        <w:jc w:val="center"/>
        <w:rPr>
          <w:rFonts w:hint="eastAsia" w:hAnsi="宋体"/>
          <w:color w:val="000000"/>
          <w:sz w:val="18"/>
          <w:szCs w:val="18"/>
        </w:rPr>
      </w:pPr>
      <w:r>
        <w:rPr>
          <w:rFonts w:hint="eastAsia" w:hAnsi="宋体"/>
          <w:b/>
          <w:color w:val="000000"/>
          <w:sz w:val="24"/>
        </w:rPr>
        <w:t xml:space="preserve">               表5-5 方案经济评估指标汇总表</w:t>
      </w:r>
      <w:r>
        <w:rPr>
          <w:rFonts w:hint="eastAsia" w:hAnsi="宋体"/>
          <w:b/>
          <w:color w:val="000000"/>
          <w:sz w:val="28"/>
          <w:szCs w:val="28"/>
        </w:rPr>
        <w:t xml:space="preserve">         </w:t>
      </w:r>
      <w:r>
        <w:rPr>
          <w:rFonts w:hint="eastAsia" w:hAnsi="宋体"/>
          <w:color w:val="000000"/>
          <w:sz w:val="18"/>
          <w:szCs w:val="18"/>
        </w:rPr>
        <w:t xml:space="preserve">单位：万元   </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4"/>
        <w:gridCol w:w="2044"/>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6" w:hRule="atLeast"/>
          <w:tblHeader/>
          <w:jc w:val="center"/>
        </w:trPr>
        <w:tc>
          <w:tcPr>
            <w:tcW w:w="325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经济评价指标</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F24</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F25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06"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1.总投资费用(I)</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70</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60" w:lineRule="exact"/>
              <w:ind w:left="304" w:hanging="304" w:hangingChars="145"/>
              <w:jc w:val="center"/>
              <w:rPr>
                <w:rFonts w:hint="eastAsia" w:hAnsi="宋体"/>
                <w:color w:val="000000"/>
                <w:szCs w:val="21"/>
              </w:rPr>
            </w:pPr>
            <w:r>
              <w:rPr>
                <w:rFonts w:hint="eastAsia" w:hAnsi="宋体"/>
                <w:color w:val="000000"/>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31"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320" w:lineRule="exact"/>
              <w:ind w:left="0" w:leftChars="0"/>
              <w:jc w:val="left"/>
              <w:rPr>
                <w:rFonts w:hint="eastAsia" w:ascii="宋体" w:hAnsi="宋体"/>
                <w:bCs/>
                <w:color w:val="000000"/>
                <w:szCs w:val="21"/>
              </w:rPr>
            </w:pPr>
            <w:r>
              <w:rPr>
                <w:rFonts w:hint="eastAsia" w:ascii="宋体" w:hAnsi="宋体"/>
                <w:bCs/>
                <w:color w:val="000000"/>
                <w:szCs w:val="21"/>
              </w:rPr>
              <w:t>2.年运行费用总节省(P)</w:t>
            </w:r>
          </w:p>
        </w:tc>
        <w:tc>
          <w:tcPr>
            <w:tcW w:w="2044" w:type="dxa"/>
            <w:tcBorders>
              <w:top w:val="single" w:color="auto" w:sz="4" w:space="0"/>
              <w:left w:val="single" w:color="auto" w:sz="4" w:space="0"/>
              <w:bottom w:val="single" w:color="auto" w:sz="4" w:space="0"/>
              <w:right w:val="single" w:color="auto" w:sz="4" w:space="0"/>
            </w:tcBorders>
            <w:noWrap w:val="0"/>
            <w:vAlign w:val="center"/>
          </w:tcPr>
          <w:p>
            <w:pPr>
              <w:pStyle w:val="17"/>
              <w:jc w:val="center"/>
              <w:rPr>
                <w:rFonts w:hint="eastAsia" w:hAnsi="宋体"/>
                <w:color w:val="000000"/>
                <w:szCs w:val="21"/>
              </w:rPr>
            </w:pPr>
            <w:r>
              <w:rPr>
                <w:rFonts w:hint="eastAsia" w:hAnsi="宋体"/>
                <w:color w:val="000000"/>
                <w:szCs w:val="21"/>
              </w:rPr>
              <w:t>15</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7"/>
              <w:jc w:val="center"/>
              <w:rPr>
                <w:rFonts w:hint="eastAsia" w:hAnsi="宋体"/>
                <w:color w:val="000000"/>
                <w:szCs w:val="21"/>
              </w:rPr>
            </w:pPr>
            <w:r>
              <w:rPr>
                <w:rFonts w:hint="eastAsia" w:hAnsi="宋体"/>
                <w:color w:val="000000"/>
                <w:szCs w:val="21"/>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66"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20"/>
              <w:widowControl/>
              <w:tabs>
                <w:tab w:val="left" w:pos="0"/>
              </w:tabs>
              <w:spacing w:after="0" w:line="320" w:lineRule="exact"/>
              <w:ind w:left="0" w:leftChars="0"/>
              <w:jc w:val="left"/>
              <w:rPr>
                <w:rFonts w:hint="eastAsia" w:ascii="宋体" w:hAnsi="宋体"/>
                <w:bCs/>
                <w:color w:val="000000"/>
                <w:szCs w:val="21"/>
              </w:rPr>
            </w:pPr>
            <w:r>
              <w:rPr>
                <w:rFonts w:hint="eastAsia" w:ascii="宋体" w:hAnsi="宋体"/>
                <w:bCs/>
                <w:color w:val="000000"/>
                <w:szCs w:val="21"/>
              </w:rPr>
              <w:t>3.新增设备年折旧费(D)</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7 (折旧期十年)</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18"/>
                <w:szCs w:val="18"/>
              </w:rPr>
            </w:pPr>
            <w:r>
              <w:rPr>
                <w:rFonts w:hint="eastAsia" w:ascii="宋体" w:hAnsi="宋体"/>
                <w:b w:val="0"/>
                <w:color w:val="000000"/>
                <w:sz w:val="18"/>
                <w:szCs w:val="18"/>
              </w:rPr>
              <w:t>2(折旧期十年)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4.应税利润(T)</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8</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5.净利润</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5.6</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60" w:lineRule="exact"/>
              <w:jc w:val="center"/>
              <w:rPr>
                <w:rFonts w:hint="eastAsia" w:ascii="宋体" w:hAnsi="宋体"/>
                <w:b w:val="0"/>
                <w:color w:val="000000"/>
                <w:sz w:val="21"/>
                <w:szCs w:val="21"/>
              </w:rPr>
            </w:pPr>
            <w:r>
              <w:rPr>
                <w:rFonts w:hint="eastAsia" w:ascii="宋体" w:hAnsi="宋体"/>
                <w:b w:val="0"/>
                <w:color w:val="000000"/>
                <w:sz w:val="21"/>
                <w:szCs w:val="21"/>
              </w:rPr>
              <w:t>4.2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6.年增加现金流量(F)</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12.6</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6.2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7.投资偿还期(N)</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5.555</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3.225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 xml:space="preserve">8.净现值(NPV)  </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97.29</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47.87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5"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top"/>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9.净现值率(NPVR)</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1.39</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9"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ind w:left="304" w:hanging="304" w:hangingChars="145"/>
              <w:jc w:val="left"/>
              <w:rPr>
                <w:rFonts w:hint="eastAsia" w:hAnsi="宋体"/>
                <w:bCs/>
                <w:color w:val="000000"/>
                <w:szCs w:val="21"/>
                <w:highlight w:val="yellow"/>
                <w:shd w:val="pct10" w:color="auto" w:fill="FFFFFF"/>
              </w:rPr>
            </w:pPr>
            <w:r>
              <w:rPr>
                <w:rFonts w:hint="eastAsia" w:hAnsi="宋体"/>
                <w:bCs/>
                <w:color w:val="000000"/>
                <w:szCs w:val="21"/>
              </w:rPr>
              <w:t>10.内部收益率(IRR)</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12.02</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28.15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59" w:hRule="atLeast"/>
          <w:jc w:val="center"/>
        </w:trPr>
        <w:tc>
          <w:tcPr>
            <w:tcW w:w="325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ind w:left="304" w:hanging="304" w:hangingChars="145"/>
              <w:jc w:val="left"/>
              <w:rPr>
                <w:rFonts w:hint="eastAsia" w:hAnsi="宋体"/>
                <w:bCs/>
                <w:color w:val="000000"/>
                <w:szCs w:val="21"/>
              </w:rPr>
            </w:pPr>
            <w:r>
              <w:rPr>
                <w:rFonts w:hint="eastAsia" w:hAnsi="宋体"/>
                <w:bCs/>
                <w:color w:val="000000"/>
                <w:szCs w:val="21"/>
              </w:rPr>
              <w:t>是否可行</w:t>
            </w:r>
          </w:p>
        </w:tc>
        <w:tc>
          <w:tcPr>
            <w:tcW w:w="2044"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≥10（可行）</w:t>
            </w:r>
          </w:p>
        </w:tc>
        <w:tc>
          <w:tcPr>
            <w:tcW w:w="2325" w:type="dxa"/>
            <w:tcBorders>
              <w:top w:val="single" w:color="auto" w:sz="4" w:space="0"/>
              <w:left w:val="single" w:color="auto" w:sz="4" w:space="0"/>
              <w:bottom w:val="single" w:color="auto" w:sz="4" w:space="0"/>
              <w:right w:val="single" w:color="auto" w:sz="4" w:space="0"/>
            </w:tcBorders>
            <w:noWrap w:val="0"/>
            <w:vAlign w:val="top"/>
          </w:tcPr>
          <w:p>
            <w:pPr>
              <w:pStyle w:val="13"/>
              <w:widowControl/>
              <w:tabs>
                <w:tab w:val="left" w:pos="0"/>
              </w:tabs>
              <w:spacing w:line="320" w:lineRule="exact"/>
              <w:jc w:val="center"/>
              <w:rPr>
                <w:rFonts w:hint="eastAsia" w:ascii="宋体" w:hAnsi="宋体"/>
                <w:b w:val="0"/>
                <w:color w:val="000000"/>
                <w:sz w:val="21"/>
                <w:szCs w:val="21"/>
              </w:rPr>
            </w:pPr>
            <w:r>
              <w:rPr>
                <w:rFonts w:hint="eastAsia" w:ascii="宋体" w:hAnsi="宋体"/>
                <w:b w:val="0"/>
                <w:color w:val="000000"/>
                <w:sz w:val="21"/>
                <w:szCs w:val="21"/>
              </w:rPr>
              <w:t>≥10（可行）</w:t>
            </w:r>
          </w:p>
        </w:tc>
      </w:tr>
    </w:tbl>
    <w:p>
      <w:pPr>
        <w:spacing w:before="120" w:beforeLines="50" w:line="360" w:lineRule="auto"/>
        <w:ind w:firstLine="561"/>
        <w:rPr>
          <w:rFonts w:hint="eastAsia" w:ascii="宋体" w:hAnsi="宋体"/>
          <w:color w:val="000000"/>
          <w:sz w:val="24"/>
        </w:rPr>
      </w:pPr>
      <w:r>
        <w:rPr>
          <w:rFonts w:hint="eastAsia" w:ascii="宋体" w:hAnsi="宋体"/>
          <w:color w:val="000000"/>
          <w:sz w:val="24"/>
        </w:rPr>
        <w:t>由上可知：F24方案净现值NPV较低，但IRR高于行业基准收益率10%，F25方案内部收益率为</w:t>
      </w:r>
      <w:r>
        <w:rPr>
          <w:rFonts w:hint="eastAsia" w:ascii="宋体" w:hAnsi="宋体"/>
          <w:color w:val="000000"/>
          <w:sz w:val="24"/>
          <w:szCs w:val="24"/>
        </w:rPr>
        <w:t>28.15%，</w:t>
      </w:r>
      <w:r>
        <w:rPr>
          <w:rFonts w:hint="eastAsia" w:ascii="宋体" w:hAnsi="宋体"/>
          <w:color w:val="000000"/>
          <w:sz w:val="24"/>
        </w:rPr>
        <w:t>属可行方案。F24、F25两个方案均是环境治理项目，本身产生的直接经济效益有限，但作为重金属行业，加强重金属的治理是企业的核心内容，做好精矿库维护管理是防止精矿散落于环境或渗透于地下影响环境；雨污分流则是选厂生产车间、道路都会产生重金属元素，需进行收集处理。因此，推荐上述2个方案作为可实施方案。</w:t>
      </w:r>
    </w:p>
    <w:p>
      <w:pPr>
        <w:pStyle w:val="4"/>
        <w:spacing w:before="120" w:beforeLines="50" w:after="120" w:afterLines="50" w:line="360" w:lineRule="auto"/>
        <w:jc w:val="left"/>
        <w:rPr>
          <w:rFonts w:hint="eastAsia" w:ascii="宋体" w:hAnsi="宋体" w:eastAsia="宋体"/>
          <w:color w:val="000000"/>
        </w:rPr>
      </w:pPr>
      <w:bookmarkStart w:id="485" w:name="_Toc23000923"/>
      <w:r>
        <w:rPr>
          <w:rFonts w:hint="eastAsia" w:ascii="宋体" w:hAnsi="宋体" w:eastAsia="宋体"/>
          <w:color w:val="000000"/>
        </w:rPr>
        <w:t>5.4  推荐可实施方案</w:t>
      </w:r>
      <w:bookmarkEnd w:id="458"/>
      <w:bookmarkEnd w:id="459"/>
      <w:bookmarkEnd w:id="485"/>
    </w:p>
    <w:p>
      <w:pPr>
        <w:spacing w:line="360" w:lineRule="auto"/>
        <w:ind w:firstLine="561"/>
        <w:rPr>
          <w:rFonts w:hint="eastAsia" w:ascii="宋体" w:hAnsi="宋体"/>
          <w:color w:val="000000"/>
          <w:sz w:val="24"/>
        </w:rPr>
      </w:pPr>
      <w:r>
        <w:rPr>
          <w:rFonts w:hint="eastAsia" w:ascii="宋体" w:hAnsi="宋体"/>
          <w:color w:val="000000"/>
          <w:sz w:val="24"/>
        </w:rPr>
        <w:t>从单个方案经济分析看，方案F24、F25均属可行方案。综合各项经济指标－投资回收期、净现值、净现值率、内部收益率均可行。因此，我们把这2个中/高费方案都作为推荐可实施方案。</w:t>
      </w: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spacing w:line="240" w:lineRule="exact"/>
        <w:ind w:firstLine="561"/>
        <w:rPr>
          <w:rFonts w:hint="eastAsia" w:ascii="宋体" w:hAnsi="宋体"/>
          <w:color w:val="000000"/>
          <w:sz w:val="24"/>
        </w:rPr>
      </w:pPr>
    </w:p>
    <w:p>
      <w:pPr>
        <w:pStyle w:val="3"/>
        <w:spacing w:before="0" w:after="0" w:line="480" w:lineRule="auto"/>
        <w:jc w:val="center"/>
        <w:rPr>
          <w:rFonts w:hint="eastAsia" w:ascii="宋体" w:hAnsi="宋体"/>
          <w:color w:val="000000"/>
        </w:rPr>
      </w:pPr>
      <w:bookmarkStart w:id="486" w:name="_Toc26795"/>
      <w:bookmarkStart w:id="487" w:name="_Toc25449"/>
      <w:bookmarkStart w:id="488" w:name="_Toc20542"/>
      <w:bookmarkStart w:id="489" w:name="_Toc8881"/>
      <w:bookmarkStart w:id="490" w:name="_Toc31978"/>
      <w:bookmarkStart w:id="491" w:name="_Toc280366484"/>
      <w:bookmarkStart w:id="492" w:name="_Toc280366602"/>
      <w:bookmarkStart w:id="493" w:name="_Toc286278046"/>
      <w:bookmarkStart w:id="494" w:name="_Toc286278550"/>
      <w:bookmarkStart w:id="495" w:name="_Toc291960362"/>
      <w:bookmarkStart w:id="496" w:name="_Toc296604658"/>
      <w:bookmarkStart w:id="497" w:name="_Toc367782251"/>
      <w:bookmarkStart w:id="498" w:name="_Toc422252534"/>
      <w:bookmarkStart w:id="499" w:name="_Toc23000924"/>
      <w:r>
        <w:rPr>
          <w:rFonts w:hint="eastAsia" w:ascii="宋体" w:hAnsi="宋体"/>
          <w:color w:val="000000"/>
        </w:rPr>
        <w:t>第6章  方案实施</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Start w:id="500" w:name="_Toc26607019"/>
      <w:bookmarkStart w:id="501" w:name="_Toc24854648"/>
      <w:bookmarkStart w:id="502" w:name="_Toc524360627"/>
      <w:bookmarkStart w:id="503" w:name="_Toc522431098"/>
      <w:bookmarkStart w:id="504" w:name="_Toc522431027"/>
      <w:bookmarkStart w:id="505" w:name="_Toc521059218"/>
      <w:bookmarkStart w:id="506" w:name="_Toc521059158"/>
      <w:bookmarkStart w:id="507" w:name="_Toc520533598"/>
      <w:bookmarkStart w:id="508" w:name="_Toc520533535"/>
      <w:bookmarkStart w:id="509" w:name="_Toc520097802"/>
      <w:bookmarkStart w:id="510" w:name="_Toc520097727"/>
      <w:bookmarkStart w:id="511" w:name="_Toc517573778"/>
      <w:bookmarkStart w:id="512" w:name="_Toc516036709"/>
      <w:bookmarkStart w:id="513" w:name="_Toc516036644"/>
      <w:bookmarkStart w:id="514" w:name="_Toc501884147"/>
      <w:bookmarkStart w:id="515" w:name="_Toc9018"/>
      <w:bookmarkStart w:id="516" w:name="_Toc280366485"/>
      <w:bookmarkStart w:id="517" w:name="_Toc280366603"/>
      <w:bookmarkStart w:id="518" w:name="_Toc286278047"/>
      <w:bookmarkStart w:id="519" w:name="_Toc286278551"/>
      <w:bookmarkStart w:id="520" w:name="_Toc291960363"/>
      <w:r>
        <w:rPr>
          <w:rFonts w:hint="eastAsia" w:ascii="宋体" w:hAnsi="宋体"/>
          <w:color w:val="000000"/>
        </w:rPr>
        <w:t xml:space="preserve"> </w:t>
      </w:r>
    </w:p>
    <w:p>
      <w:pPr>
        <w:pStyle w:val="4"/>
        <w:spacing w:before="0" w:after="0" w:line="360" w:lineRule="auto"/>
        <w:rPr>
          <w:rFonts w:hint="eastAsia" w:ascii="宋体" w:hAnsi="宋体" w:eastAsia="宋体"/>
          <w:color w:val="000000"/>
        </w:rPr>
      </w:pPr>
      <w:bookmarkStart w:id="521" w:name="_Toc296604659"/>
      <w:bookmarkStart w:id="522" w:name="_Toc367782252"/>
      <w:bookmarkStart w:id="523" w:name="_Toc422252535"/>
      <w:bookmarkStart w:id="524" w:name="_Toc23000925"/>
      <w:r>
        <w:rPr>
          <w:rFonts w:hint="eastAsia" w:ascii="宋体" w:hAnsi="宋体" w:eastAsia="宋体"/>
          <w:color w:val="000000"/>
        </w:rPr>
        <w:t>6.1 方案实施</w:t>
      </w:r>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r>
        <w:rPr>
          <w:rFonts w:hint="eastAsia" w:ascii="宋体" w:hAnsi="宋体" w:eastAsia="宋体"/>
          <w:color w:val="000000"/>
        </w:rPr>
        <w:t>情况简述</w:t>
      </w:r>
      <w:bookmarkEnd w:id="524"/>
    </w:p>
    <w:p>
      <w:pPr>
        <w:pStyle w:val="5"/>
        <w:spacing w:before="0" w:after="120" w:line="360" w:lineRule="auto"/>
        <w:jc w:val="left"/>
        <w:rPr>
          <w:rFonts w:hint="eastAsia" w:ascii="宋体" w:hAnsi="宋体"/>
          <w:color w:val="000000"/>
          <w:sz w:val="28"/>
          <w:szCs w:val="28"/>
        </w:rPr>
      </w:pPr>
      <w:bookmarkStart w:id="525" w:name="_Toc26607020"/>
      <w:bookmarkStart w:id="526" w:name="_Toc24854649"/>
      <w:bookmarkStart w:id="527" w:name="_Toc524360628"/>
      <w:bookmarkStart w:id="528" w:name="_Toc522431099"/>
      <w:bookmarkStart w:id="529" w:name="_Toc522431028"/>
      <w:bookmarkStart w:id="530" w:name="_Toc521059219"/>
      <w:bookmarkStart w:id="531" w:name="_Toc521059159"/>
      <w:bookmarkStart w:id="532" w:name="_Toc520533599"/>
      <w:bookmarkStart w:id="533" w:name="_Toc520533536"/>
      <w:bookmarkStart w:id="534" w:name="_Toc520097803"/>
      <w:bookmarkStart w:id="535" w:name="_Toc520097728"/>
      <w:bookmarkStart w:id="536" w:name="_Toc517573779"/>
      <w:bookmarkStart w:id="537" w:name="_Toc516036710"/>
      <w:bookmarkStart w:id="538" w:name="_Toc516036645"/>
      <w:bookmarkStart w:id="539" w:name="_Toc12729"/>
      <w:bookmarkStart w:id="540" w:name="_Toc280366486"/>
      <w:bookmarkStart w:id="541" w:name="_Toc280366604"/>
      <w:bookmarkStart w:id="542" w:name="_Toc286278048"/>
      <w:bookmarkStart w:id="543" w:name="_Toc286278552"/>
      <w:bookmarkStart w:id="544" w:name="_Toc291960364"/>
      <w:bookmarkStart w:id="545" w:name="_Toc296604660"/>
      <w:bookmarkStart w:id="546" w:name="_Toc367782253"/>
      <w:bookmarkStart w:id="547" w:name="_Toc422252536"/>
      <w:bookmarkStart w:id="548" w:name="_Toc23000926"/>
      <w:r>
        <w:rPr>
          <w:rFonts w:hint="eastAsia" w:ascii="宋体" w:hAnsi="宋体"/>
          <w:color w:val="000000"/>
          <w:sz w:val="28"/>
          <w:szCs w:val="28"/>
        </w:rPr>
        <w:t>6.1.1 方案实施计划</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p>
    <w:p>
      <w:pPr>
        <w:widowControl/>
        <w:tabs>
          <w:tab w:val="left" w:pos="0"/>
        </w:tabs>
        <w:spacing w:line="360" w:lineRule="auto"/>
        <w:ind w:firstLine="480" w:firstLineChars="200"/>
        <w:jc w:val="left"/>
        <w:rPr>
          <w:rFonts w:ascii="宋体" w:hAnsi="宋体"/>
          <w:color w:val="000000"/>
          <w:sz w:val="24"/>
        </w:rPr>
      </w:pPr>
      <w:r>
        <w:rPr>
          <w:rFonts w:hint="eastAsia" w:ascii="宋体" w:hAnsi="宋体"/>
          <w:color w:val="000000"/>
          <w:sz w:val="24"/>
        </w:rPr>
        <w:t>根据方案可行性分析结果，以及企业现有资金状况、方案的技术难易程度以及对市场的调查研究后，我们最终确定各选定方案实施。制定F24、F25的实施计划见表6-1、6-2。</w:t>
      </w:r>
    </w:p>
    <w:p>
      <w:pPr>
        <w:spacing w:line="360" w:lineRule="exact"/>
        <w:jc w:val="center"/>
        <w:rPr>
          <w:rFonts w:hint="eastAsia" w:ascii="宋体" w:hAnsi="宋体"/>
          <w:b/>
          <w:color w:val="000000"/>
          <w:kern w:val="0"/>
          <w:sz w:val="24"/>
          <w:szCs w:val="24"/>
        </w:rPr>
      </w:pPr>
      <w:bookmarkStart w:id="549" w:name="_Toc433986944"/>
      <w:bookmarkStart w:id="550" w:name="_Toc427653799"/>
      <w:r>
        <w:rPr>
          <w:rFonts w:hint="eastAsia" w:ascii="宋体" w:hAnsi="宋体"/>
          <w:b/>
          <w:color w:val="000000"/>
          <w:kern w:val="0"/>
          <w:sz w:val="24"/>
          <w:szCs w:val="24"/>
        </w:rPr>
        <w:t>表6- 1  F24  完善选矿厂雨污分流系统实施进度表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1"/>
        <w:gridCol w:w="3978"/>
        <w:gridCol w:w="597"/>
        <w:gridCol w:w="760"/>
        <w:gridCol w:w="685"/>
        <w:gridCol w:w="707"/>
        <w:gridCol w:w="671"/>
        <w:gridCol w:w="720"/>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73" w:hRule="atLeast"/>
          <w:jc w:val="center"/>
        </w:trPr>
        <w:tc>
          <w:tcPr>
            <w:tcW w:w="571" w:type="dxa"/>
            <w:vMerge w:val="restart"/>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 w:val="18"/>
                <w:szCs w:val="18"/>
              </w:rPr>
            </w:pPr>
            <w:r>
              <w:rPr>
                <w:rFonts w:hint="eastAsia" w:hAnsi="宋体"/>
                <w:color w:val="000000"/>
                <w:sz w:val="18"/>
                <w:szCs w:val="18"/>
              </w:rPr>
              <w:t>序号</w:t>
            </w:r>
          </w:p>
        </w:tc>
        <w:tc>
          <w:tcPr>
            <w:tcW w:w="3978" w:type="dxa"/>
            <w:vMerge w:val="restart"/>
            <w:tcBorders>
              <w:top w:val="single" w:color="auto" w:sz="4" w:space="0"/>
              <w:left w:val="single" w:color="auto" w:sz="4" w:space="0"/>
              <w:bottom w:val="single" w:color="auto" w:sz="4" w:space="0"/>
              <w:right w:val="single" w:color="auto" w:sz="4" w:space="0"/>
            </w:tcBorders>
            <w:noWrap w:val="0"/>
            <w:vAlign w:val="center"/>
          </w:tcPr>
          <w:p>
            <w:pPr>
              <w:pStyle w:val="17"/>
              <w:spacing w:line="360" w:lineRule="exact"/>
              <w:jc w:val="center"/>
              <w:rPr>
                <w:rFonts w:hAnsi="宋体"/>
                <w:color w:val="000000"/>
                <w:sz w:val="18"/>
                <w:szCs w:val="18"/>
              </w:rPr>
            </w:pPr>
            <w:r>
              <w:rPr>
                <w:rFonts w:hint="eastAsia" w:hAnsi="宋体"/>
                <w:color w:val="000000"/>
                <w:sz w:val="18"/>
                <w:szCs w:val="18"/>
              </w:rPr>
              <w:t>内容</w:t>
            </w:r>
          </w:p>
        </w:tc>
        <w:tc>
          <w:tcPr>
            <w:tcW w:w="4140" w:type="dxa"/>
            <w:gridSpan w:val="6"/>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int="eastAsia" w:hAnsi="宋体"/>
                <w:color w:val="000000"/>
                <w:szCs w:val="21"/>
              </w:rPr>
            </w:pPr>
            <w:r>
              <w:rPr>
                <w:rFonts w:hint="eastAsia" w:hAnsi="宋体"/>
                <w:color w:val="000000"/>
                <w:szCs w:val="21"/>
              </w:rPr>
              <w:t>2019年</w:t>
            </w:r>
          </w:p>
        </w:tc>
        <w:tc>
          <w:tcPr>
            <w:tcW w:w="762" w:type="dxa"/>
            <w:vMerge w:val="restart"/>
            <w:tcBorders>
              <w:top w:val="single" w:color="auto" w:sz="4" w:space="0"/>
              <w:left w:val="single" w:color="auto" w:sz="4" w:space="0"/>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负责</w:t>
            </w:r>
          </w:p>
          <w:p>
            <w:pPr>
              <w:pStyle w:val="17"/>
              <w:spacing w:line="360" w:lineRule="exact"/>
              <w:jc w:val="center"/>
              <w:rPr>
                <w:rFonts w:hAnsi="宋体"/>
                <w:color w:val="000000"/>
                <w:sz w:val="18"/>
                <w:szCs w:val="18"/>
              </w:rPr>
            </w:pPr>
            <w:r>
              <w:rPr>
                <w:rFonts w:hint="eastAsia" w:hAnsi="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ascii="宋体" w:hAnsi="宋体"/>
                <w:color w:val="000000"/>
                <w:sz w:val="18"/>
                <w:szCs w:val="18"/>
              </w:rPr>
            </w:pPr>
          </w:p>
        </w:tc>
        <w:tc>
          <w:tcPr>
            <w:tcW w:w="397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ascii="宋体" w:hAnsi="宋体"/>
                <w:color w:val="000000"/>
                <w:sz w:val="18"/>
                <w:szCs w:val="18"/>
              </w:rPr>
            </w:pPr>
          </w:p>
        </w:tc>
        <w:tc>
          <w:tcPr>
            <w:tcW w:w="597"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5月</w:t>
            </w: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6月</w: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7月</w:t>
            </w: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8月</w:t>
            </w: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rPr>
                <w:rFonts w:hAnsi="宋体"/>
                <w:color w:val="000000"/>
                <w:szCs w:val="21"/>
              </w:rPr>
            </w:pPr>
            <w:r>
              <w:rPr>
                <w:rFonts w:hint="eastAsia" w:hAnsi="宋体"/>
                <w:color w:val="000000"/>
                <w:szCs w:val="21"/>
              </w:rPr>
              <w:t>9月</w: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10月</w:t>
            </w:r>
          </w:p>
        </w:tc>
        <w:tc>
          <w:tcPr>
            <w:tcW w:w="762" w:type="dxa"/>
            <w:vMerge w:val="continue"/>
            <w:tcBorders>
              <w:left w:val="single" w:color="auto" w:sz="4" w:space="0"/>
              <w:bottom w:val="single" w:color="auto" w:sz="4" w:space="0"/>
              <w:right w:val="single" w:color="auto" w:sz="4" w:space="0"/>
            </w:tcBorders>
            <w:noWrap w:val="0"/>
            <w:vAlign w:val="center"/>
          </w:tcPr>
          <w:p>
            <w:pPr>
              <w:pStyle w:val="17"/>
              <w:spacing w:line="360" w:lineRule="exact"/>
              <w:rPr>
                <w:rFonts w:hAnsi="宋体"/>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1</w:t>
            </w:r>
          </w:p>
        </w:tc>
        <w:tc>
          <w:tcPr>
            <w:tcW w:w="397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color w:val="000000"/>
                <w:szCs w:val="21"/>
              </w:rPr>
            </w:pPr>
            <w:r>
              <w:rPr>
                <w:rFonts w:hint="eastAsia" w:ascii="宋体" w:hAnsi="宋体"/>
                <w:color w:val="000000"/>
                <w:szCs w:val="21"/>
              </w:rPr>
              <w:t>完善选矿厂雨污分流系统方案</w:t>
            </w:r>
            <w:r>
              <w:rPr>
                <w:rFonts w:hint="eastAsia" w:ascii="宋体" w:hAnsi="宋体"/>
                <w:color w:val="000000"/>
                <w:kern w:val="0"/>
                <w:szCs w:val="21"/>
              </w:rPr>
              <w:t>技术</w:t>
            </w:r>
            <w:r>
              <w:rPr>
                <w:rFonts w:hint="eastAsia" w:ascii="宋体" w:hAnsi="宋体"/>
                <w:bCs/>
                <w:color w:val="000000"/>
                <w:spacing w:val="20"/>
                <w:szCs w:val="21"/>
              </w:rPr>
              <w:t>分析</w:t>
            </w:r>
          </w:p>
        </w:tc>
        <w:tc>
          <w:tcPr>
            <w:tcW w:w="59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84864" behindDoc="0" locked="0" layoutInCell="1" allowOverlap="1">
                      <wp:simplePos x="0" y="0"/>
                      <wp:positionH relativeFrom="column">
                        <wp:posOffset>-36830</wp:posOffset>
                      </wp:positionH>
                      <wp:positionV relativeFrom="paragraph">
                        <wp:posOffset>114935</wp:posOffset>
                      </wp:positionV>
                      <wp:extent cx="339090" cy="98425"/>
                      <wp:effectExtent l="4445" t="4445" r="18415" b="11430"/>
                      <wp:wrapNone/>
                      <wp:docPr id="164" name="矩形 5377"/>
                      <wp:cNvGraphicFramePr/>
                      <a:graphic xmlns:a="http://schemas.openxmlformats.org/drawingml/2006/main">
                        <a:graphicData uri="http://schemas.microsoft.com/office/word/2010/wordprocessingShape">
                          <wps:wsp>
                            <wps:cNvSpPr/>
                            <wps:spPr>
                              <a:xfrm>
                                <a:off x="0" y="0"/>
                                <a:ext cx="339090" cy="98425"/>
                              </a:xfrm>
                              <a:prstGeom prst="rect">
                                <a:avLst/>
                              </a:prstGeom>
                              <a:solidFill>
                                <a:srgbClr val="000000"/>
                              </a:solidFill>
                              <a:ln w="9525" cap="flat" cmpd="sng">
                                <a:solidFill>
                                  <a:srgbClr val="FF0000"/>
                                </a:solidFill>
                                <a:prstDash val="solid"/>
                                <a:miter/>
                                <a:headEnd type="none" w="med" len="med"/>
                                <a:tailEnd type="none" w="med" len="med"/>
                              </a:ln>
                            </wps:spPr>
                            <wps:txbx>
                              <w:txbxContent>
                                <w:p/>
                              </w:txbxContent>
                            </wps:txbx>
                            <wps:bodyPr wrap="square" upright="1"/>
                          </wps:wsp>
                        </a:graphicData>
                      </a:graphic>
                    </wp:anchor>
                  </w:drawing>
                </mc:Choice>
                <mc:Fallback>
                  <w:pict>
                    <v:rect id="矩形 5377" o:spid="_x0000_s1026" o:spt="1" style="position:absolute;left:0pt;margin-left:-2.9pt;margin-top:9.05pt;height:7.75pt;width:26.7pt;z-index:251684864;mso-width-relative:page;mso-height-relative:page;" fillcolor="#000000" filled="t" stroked="t" coordsize="21600,21600" o:gfxdata="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C0K11tgAAAAHAQAADwAAAAAAAAABACAA&#10;AAAiAAAAZHJzL2Rvd25yZXYueG1sUEsBAhQAFAAAAAgAh07iQL2iT9cNAgAAOgQAAA4AAAAAAAAA&#10;AQAgAAAAJwEAAGRycy9lMm9Eb2MueG1sUEsFBgAAAAAGAAYAWQEAAKYFAAAAAA==&#10;">
                      <v:fill on="t" focussize="0,0"/>
                      <v:stroke color="#FF0000" joinstyle="miter"/>
                      <v:imagedata o:title=""/>
                      <o:lock v:ext="edit" aspectratio="f"/>
                      <v:textbox>
                        <w:txbxContent>
                          <w:p/>
                        </w:txbxContent>
                      </v:textbox>
                    </v:rect>
                  </w:pict>
                </mc:Fallback>
              </mc:AlternateContent>
            </w: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2" w:type="dxa"/>
            <w:vMerge w:val="restart"/>
            <w:tcBorders>
              <w:top w:val="single" w:color="auto" w:sz="4" w:space="0"/>
              <w:left w:val="single" w:color="auto" w:sz="4" w:space="0"/>
              <w:right w:val="single" w:color="auto" w:sz="4" w:space="0"/>
            </w:tcBorders>
            <w:noWrap w:val="0"/>
            <w:vAlign w:val="top"/>
          </w:tcPr>
          <w:p>
            <w:pPr>
              <w:spacing w:line="360" w:lineRule="exact"/>
              <w:jc w:val="center"/>
              <w:rPr>
                <w:rFonts w:ascii="宋体" w:hAnsi="宋体"/>
                <w:color w:val="000000"/>
                <w:szCs w:val="21"/>
              </w:rPr>
            </w:pPr>
            <w:r>
              <w:rPr>
                <w:rFonts w:hint="eastAsia" w:ascii="宋体" w:hAnsi="宋体"/>
                <w:color w:val="000000"/>
                <w:szCs w:val="21"/>
              </w:rPr>
              <w:t>环保科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2</w:t>
            </w:r>
          </w:p>
        </w:tc>
        <w:tc>
          <w:tcPr>
            <w:tcW w:w="397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color w:val="000000"/>
                <w:szCs w:val="21"/>
              </w:rPr>
            </w:pPr>
            <w:r>
              <w:rPr>
                <w:rFonts w:hint="eastAsia" w:ascii="宋体" w:hAnsi="宋体"/>
                <w:color w:val="000000"/>
                <w:szCs w:val="21"/>
              </w:rPr>
              <w:t>完善选矿厂雨污分流系统</w:t>
            </w:r>
            <w:r>
              <w:rPr>
                <w:rFonts w:hint="eastAsia" w:ascii="宋体" w:hAnsi="宋体"/>
                <w:bCs/>
                <w:color w:val="000000"/>
                <w:spacing w:val="20"/>
                <w:szCs w:val="21"/>
              </w:rPr>
              <w:t>方案制订、论证</w:t>
            </w:r>
          </w:p>
        </w:tc>
        <w:tc>
          <w:tcPr>
            <w:tcW w:w="59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5888" behindDoc="0" locked="0" layoutInCell="1" allowOverlap="1">
                      <wp:simplePos x="0" y="0"/>
                      <wp:positionH relativeFrom="column">
                        <wp:posOffset>-53340</wp:posOffset>
                      </wp:positionH>
                      <wp:positionV relativeFrom="paragraph">
                        <wp:posOffset>109855</wp:posOffset>
                      </wp:positionV>
                      <wp:extent cx="457200" cy="98425"/>
                      <wp:effectExtent l="4445" t="4445" r="14605" b="11430"/>
                      <wp:wrapNone/>
                      <wp:docPr id="165" name="矩形 5534"/>
                      <wp:cNvGraphicFramePr/>
                      <a:graphic xmlns:a="http://schemas.openxmlformats.org/drawingml/2006/main">
                        <a:graphicData uri="http://schemas.microsoft.com/office/word/2010/wordprocessingShape">
                          <wps:wsp>
                            <wps:cNvSpPr/>
                            <wps:spPr>
                              <a:xfrm flipV="1">
                                <a:off x="0" y="0"/>
                                <a:ext cx="457200" cy="9842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4" o:spid="_x0000_s1026" o:spt="1" style="position:absolute;left:0pt;flip:y;margin-left:-4.2pt;margin-top:8.65pt;height:7.75pt;width:36pt;z-index:251685888;mso-width-relative:page;mso-height-relative:page;" fillcolor="#000000" filled="t" stroked="t" coordsize="21600,21600" o:gfxdata="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EcNq+bXAAAABwEAAA8AAAAAAAAAAQAgAAAA&#10;IgAAAGRycy9kb3ducmV2LnhtbFBLAQIUABQAAAAIAIdO4kAuwDOpDAIAADkEAAAOAAAAAAAAAAEA&#10;IAAAACYBAABkcnMvZTJvRG9jLnhtbFBLBQYAAAAABgAGAFkBAACkBQAAAAA=&#10;">
                      <v:fill on="t" focussize="0,0"/>
                      <v:stroke color="#FF0000" joinstyle="miter"/>
                      <v:imagedata o:title=""/>
                      <o:lock v:ext="edit" aspectratio="f"/>
                    </v:rect>
                  </w:pict>
                </mc:Fallback>
              </mc:AlternateContent>
            </w: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2" w:type="dxa"/>
            <w:vMerge w:val="continue"/>
            <w:tcBorders>
              <w:left w:val="single" w:color="auto" w:sz="4" w:space="0"/>
              <w:right w:val="single" w:color="auto" w:sz="4" w:space="0"/>
            </w:tcBorders>
            <w:noWrap w:val="0"/>
            <w:vAlign w:val="top"/>
          </w:tcPr>
          <w:p>
            <w:pPr>
              <w:spacing w:line="36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3</w:t>
            </w:r>
          </w:p>
        </w:tc>
        <w:tc>
          <w:tcPr>
            <w:tcW w:w="397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color w:val="000000"/>
                <w:szCs w:val="21"/>
              </w:rPr>
            </w:pPr>
            <w:r>
              <w:rPr>
                <w:rFonts w:hint="eastAsia" w:ascii="宋体" w:hAnsi="宋体"/>
                <w:color w:val="000000"/>
                <w:szCs w:val="21"/>
              </w:rPr>
              <w:t>完善选矿厂雨污分流系统方案实施</w:t>
            </w:r>
          </w:p>
        </w:tc>
        <w:tc>
          <w:tcPr>
            <w:tcW w:w="59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86912" behindDoc="0" locked="0" layoutInCell="1" allowOverlap="1">
                      <wp:simplePos x="0" y="0"/>
                      <wp:positionH relativeFrom="column">
                        <wp:posOffset>-49530</wp:posOffset>
                      </wp:positionH>
                      <wp:positionV relativeFrom="paragraph">
                        <wp:posOffset>96520</wp:posOffset>
                      </wp:positionV>
                      <wp:extent cx="850900" cy="98425"/>
                      <wp:effectExtent l="5080" t="4445" r="20320" b="11430"/>
                      <wp:wrapNone/>
                      <wp:docPr id="166" name="矩形 5535"/>
                      <wp:cNvGraphicFramePr/>
                      <a:graphic xmlns:a="http://schemas.openxmlformats.org/drawingml/2006/main">
                        <a:graphicData uri="http://schemas.microsoft.com/office/word/2010/wordprocessingShape">
                          <wps:wsp>
                            <wps:cNvSpPr/>
                            <wps:spPr>
                              <a:xfrm flipV="1">
                                <a:off x="0" y="0"/>
                                <a:ext cx="850900" cy="9842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5" o:spid="_x0000_s1026" o:spt="1" style="position:absolute;left:0pt;flip:y;margin-left:-3.9pt;margin-top:7.6pt;height:7.75pt;width:67pt;z-index:251686912;mso-width-relative:page;mso-height-relative:page;" fillcolor="#000000" filled="t" stroked="t" coordsize="21600,21600" o:gfxdata="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v3/bQ2AAAAAgBAAAPAAAAAAAAAAEA&#10;IAAAACIAAABkcnMvZG93bnJldi54bWxQSwECFAAUAAAACACHTuJAm0EOGA8CAAA5BAAADgAAAAAA&#10;AAABACAAAAAnAQAAZHJzL2Uyb0RvYy54bWxQSwUGAAAAAAYABgBZAQAAqAUAAAAA&#10;">
                      <v:fill on="t" focussize="0,0"/>
                      <v:stroke color="#FF0000" joinstyle="miter"/>
                      <v:imagedata o:title=""/>
                      <o:lock v:ext="edit" aspectratio="f"/>
                    </v:rect>
                  </w:pict>
                </mc:Fallback>
              </mc:AlternateContent>
            </w: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2" w:type="dxa"/>
            <w:vMerge w:val="continue"/>
            <w:tcBorders>
              <w:left w:val="single" w:color="auto" w:sz="4" w:space="0"/>
              <w:right w:val="single" w:color="auto" w:sz="4" w:space="0"/>
            </w:tcBorders>
            <w:noWrap w:val="0"/>
            <w:vAlign w:val="top"/>
          </w:tcPr>
          <w:p>
            <w:pPr>
              <w:spacing w:line="36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4</w:t>
            </w:r>
          </w:p>
        </w:tc>
        <w:tc>
          <w:tcPr>
            <w:tcW w:w="397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color w:val="000000"/>
                <w:szCs w:val="21"/>
              </w:rPr>
            </w:pPr>
            <w:r>
              <w:rPr>
                <w:rFonts w:hint="eastAsia" w:ascii="宋体" w:hAnsi="宋体"/>
                <w:color w:val="000000"/>
                <w:szCs w:val="21"/>
              </w:rPr>
              <w:t>完善选矿厂雨污分流系统方案</w:t>
            </w:r>
            <w:r>
              <w:rPr>
                <w:rFonts w:hint="eastAsia" w:ascii="宋体" w:hAnsi="宋体"/>
                <w:bCs/>
                <w:color w:val="000000"/>
                <w:spacing w:val="20"/>
                <w:szCs w:val="21"/>
              </w:rPr>
              <w:t>调试、验收</w:t>
            </w:r>
          </w:p>
        </w:tc>
        <w:tc>
          <w:tcPr>
            <w:tcW w:w="59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7936" behindDoc="0" locked="0" layoutInCell="1" allowOverlap="1">
                      <wp:simplePos x="0" y="0"/>
                      <wp:positionH relativeFrom="column">
                        <wp:posOffset>-46355</wp:posOffset>
                      </wp:positionH>
                      <wp:positionV relativeFrom="paragraph">
                        <wp:posOffset>67945</wp:posOffset>
                      </wp:positionV>
                      <wp:extent cx="403860" cy="109855"/>
                      <wp:effectExtent l="4445" t="5080" r="10795" b="18415"/>
                      <wp:wrapNone/>
                      <wp:docPr id="167" name="矩形 5537"/>
                      <wp:cNvGraphicFramePr/>
                      <a:graphic xmlns:a="http://schemas.openxmlformats.org/drawingml/2006/main">
                        <a:graphicData uri="http://schemas.microsoft.com/office/word/2010/wordprocessingShape">
                          <wps:wsp>
                            <wps:cNvSpPr/>
                            <wps:spPr>
                              <a:xfrm>
                                <a:off x="0" y="0"/>
                                <a:ext cx="403860" cy="10985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7" o:spid="_x0000_s1026" o:spt="1" style="position:absolute;left:0pt;margin-left:-3.65pt;margin-top:5.35pt;height:8.65pt;width:31.8pt;z-index:251687936;mso-width-relative:page;mso-height-relative:page;" fillcolor="#000000" filled="t" stroked="t" coordsize="21600,21600" o:gfxdata="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BMGKH/1gAAAAcBAAAPAAAAAAAAAAEAIAAAACIAAABk&#10;cnMvZG93bnJldi54bWxQSwECFAAUAAAACACHTuJA1sql3AgCAAAwBAAADgAAAAAAAAABACAAAAAl&#10;AQAAZHJzL2Uyb0RvYy54bWxQSwUGAAAAAAYABgBZAQAAnwUAAAAA&#10;">
                      <v:fill on="t" focussize="0,0"/>
                      <v:stroke color="#FF0000" joinstyle="miter"/>
                      <v:imagedata o:title=""/>
                      <o:lock v:ext="edit" aspectratio="f"/>
                    </v:rect>
                  </w:pict>
                </mc:Fallback>
              </mc:AlternateConten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2" w:type="dxa"/>
            <w:vMerge w:val="continue"/>
            <w:tcBorders>
              <w:left w:val="single" w:color="auto" w:sz="4" w:space="0"/>
              <w:right w:val="single" w:color="auto" w:sz="4" w:space="0"/>
            </w:tcBorders>
            <w:noWrap w:val="0"/>
            <w:vAlign w:val="top"/>
          </w:tcPr>
          <w:p>
            <w:pPr>
              <w:spacing w:line="36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14" w:hRule="atLeast"/>
          <w:jc w:val="center"/>
        </w:trPr>
        <w:tc>
          <w:tcPr>
            <w:tcW w:w="5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5</w:t>
            </w:r>
          </w:p>
        </w:tc>
        <w:tc>
          <w:tcPr>
            <w:tcW w:w="3978"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color w:val="000000"/>
                <w:szCs w:val="21"/>
              </w:rPr>
            </w:pPr>
            <w:r>
              <w:rPr>
                <w:rFonts w:hint="eastAsia" w:ascii="宋体" w:hAnsi="宋体"/>
                <w:color w:val="000000"/>
                <w:szCs w:val="21"/>
              </w:rPr>
              <w:t>完善选矿厂雨污分流系统方案</w:t>
            </w:r>
            <w:r>
              <w:rPr>
                <w:rFonts w:hint="eastAsia" w:ascii="宋体" w:hAnsi="宋体"/>
                <w:bCs/>
                <w:color w:val="000000"/>
                <w:spacing w:val="20"/>
                <w:szCs w:val="21"/>
              </w:rPr>
              <w:t>正常运行</w:t>
            </w:r>
          </w:p>
        </w:tc>
        <w:tc>
          <w:tcPr>
            <w:tcW w:w="59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6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85"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lang/>
              </w:rPr>
            </w:pPr>
          </w:p>
        </w:tc>
        <w:tc>
          <w:tcPr>
            <w:tcW w:w="707"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7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88960" behindDoc="0" locked="0" layoutInCell="1" allowOverlap="1">
                      <wp:simplePos x="0" y="0"/>
                      <wp:positionH relativeFrom="column">
                        <wp:posOffset>-66040</wp:posOffset>
                      </wp:positionH>
                      <wp:positionV relativeFrom="paragraph">
                        <wp:posOffset>73660</wp:posOffset>
                      </wp:positionV>
                      <wp:extent cx="386080" cy="122555"/>
                      <wp:effectExtent l="4445" t="4445" r="9525" b="6350"/>
                      <wp:wrapNone/>
                      <wp:docPr id="168" name="矩形 5536"/>
                      <wp:cNvGraphicFramePr/>
                      <a:graphic xmlns:a="http://schemas.openxmlformats.org/drawingml/2006/main">
                        <a:graphicData uri="http://schemas.microsoft.com/office/word/2010/wordprocessingShape">
                          <wps:wsp>
                            <wps:cNvSpPr/>
                            <wps:spPr>
                              <a:xfrm>
                                <a:off x="0" y="0"/>
                                <a:ext cx="386080" cy="12255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36" o:spid="_x0000_s1026" o:spt="1" style="position:absolute;left:0pt;margin-left:-5.2pt;margin-top:5.8pt;height:9.65pt;width:30.4pt;z-index:251688960;mso-width-relative:page;mso-height-relative:page;" fillcolor="#000000" filled="t" stroked="t" coordsize="21600,21600" o:gfxdata="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3nTX2AAAAAgBAAAPAAAAAAAAAAEAIAAAACIAAABk&#10;cnMvZG93bnJldi54bWxQSwECFAAUAAAACACHTuJAtXCYCgYCAAAwBAAADgAAAAAAAAABACAAAAAn&#10;AQAAZHJzL2Uyb0RvYy54bWxQSwUGAAAAAAYABgBZAQAAnwUAAAAA&#10;">
                      <v:fill on="t" focussize="0,0"/>
                      <v:stroke color="#FF0000" joinstyle="miter"/>
                      <v:imagedata o:title=""/>
                      <o:lock v:ext="edit" aspectratio="f"/>
                    </v:rect>
                  </w:pict>
                </mc:Fallback>
              </mc:AlternateContent>
            </w:r>
          </w:p>
        </w:tc>
        <w:tc>
          <w:tcPr>
            <w:tcW w:w="762" w:type="dxa"/>
            <w:vMerge w:val="continue"/>
            <w:tcBorders>
              <w:left w:val="single" w:color="auto" w:sz="4" w:space="0"/>
              <w:bottom w:val="single" w:color="auto" w:sz="4" w:space="0"/>
              <w:right w:val="single" w:color="auto" w:sz="4" w:space="0"/>
            </w:tcBorders>
            <w:noWrap w:val="0"/>
            <w:vAlign w:val="top"/>
          </w:tcPr>
          <w:p>
            <w:pPr>
              <w:spacing w:line="360" w:lineRule="exact"/>
              <w:jc w:val="center"/>
              <w:rPr>
                <w:rFonts w:ascii="宋体" w:hAnsi="宋体"/>
                <w:color w:val="000000"/>
                <w:szCs w:val="21"/>
              </w:rPr>
            </w:pPr>
          </w:p>
        </w:tc>
      </w:tr>
    </w:tbl>
    <w:p>
      <w:pPr>
        <w:spacing w:line="360" w:lineRule="exact"/>
        <w:jc w:val="center"/>
        <w:rPr>
          <w:rFonts w:ascii="宋体" w:hAnsi="宋体"/>
          <w:b/>
          <w:color w:val="000000"/>
          <w:kern w:val="0"/>
          <w:sz w:val="24"/>
          <w:szCs w:val="24"/>
        </w:rPr>
      </w:pPr>
      <w:r>
        <w:rPr>
          <w:rFonts w:hint="eastAsia" w:ascii="宋体" w:hAnsi="宋体"/>
          <w:b/>
          <w:color w:val="000000"/>
          <w:kern w:val="0"/>
          <w:sz w:val="24"/>
          <w:szCs w:val="24"/>
        </w:rPr>
        <w:t>表</w:t>
      </w:r>
      <w:r>
        <w:rPr>
          <w:rFonts w:ascii="宋体" w:hAnsi="宋体"/>
          <w:b/>
          <w:color w:val="000000"/>
          <w:kern w:val="0"/>
          <w:sz w:val="24"/>
          <w:szCs w:val="24"/>
        </w:rPr>
        <w:t>6-</w:t>
      </w:r>
      <w:r>
        <w:rPr>
          <w:rFonts w:hint="eastAsia" w:ascii="宋体" w:hAnsi="宋体"/>
          <w:b/>
          <w:color w:val="000000"/>
          <w:kern w:val="0"/>
          <w:sz w:val="24"/>
          <w:szCs w:val="24"/>
        </w:rPr>
        <w:t>2   F25精矿库维护改造实施进度表</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1"/>
        <w:gridCol w:w="3917"/>
        <w:gridCol w:w="600"/>
        <w:gridCol w:w="600"/>
        <w:gridCol w:w="692"/>
        <w:gridCol w:w="720"/>
        <w:gridCol w:w="720"/>
        <w:gridCol w:w="720"/>
        <w:gridCol w:w="8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80" w:hRule="atLeast"/>
          <w:jc w:val="center"/>
        </w:trPr>
        <w:tc>
          <w:tcPr>
            <w:tcW w:w="761" w:type="dxa"/>
            <w:vMerge w:val="restart"/>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序号</w:t>
            </w:r>
          </w:p>
        </w:tc>
        <w:tc>
          <w:tcPr>
            <w:tcW w:w="3917" w:type="dxa"/>
            <w:vMerge w:val="restart"/>
            <w:tcBorders>
              <w:top w:val="single" w:color="auto" w:sz="4" w:space="0"/>
              <w:left w:val="single" w:color="auto" w:sz="4" w:space="0"/>
              <w:bottom w:val="single" w:color="auto" w:sz="4" w:space="0"/>
              <w:right w:val="single" w:color="auto" w:sz="4" w:space="0"/>
            </w:tcBorders>
            <w:noWrap w:val="0"/>
            <w:vAlign w:val="center"/>
          </w:tcPr>
          <w:p>
            <w:pPr>
              <w:pStyle w:val="17"/>
              <w:spacing w:line="360" w:lineRule="exact"/>
              <w:jc w:val="center"/>
              <w:rPr>
                <w:rFonts w:hAnsi="宋体"/>
                <w:color w:val="000000"/>
                <w:szCs w:val="21"/>
              </w:rPr>
            </w:pPr>
            <w:r>
              <w:rPr>
                <w:rFonts w:hint="eastAsia" w:hAnsi="宋体"/>
                <w:color w:val="000000"/>
                <w:szCs w:val="21"/>
              </w:rPr>
              <w:t>内容</w:t>
            </w:r>
          </w:p>
        </w:tc>
        <w:tc>
          <w:tcPr>
            <w:tcW w:w="4052" w:type="dxa"/>
            <w:gridSpan w:val="6"/>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2019年</w:t>
            </w:r>
          </w:p>
        </w:tc>
        <w:tc>
          <w:tcPr>
            <w:tcW w:w="804" w:type="dxa"/>
            <w:vMerge w:val="restart"/>
            <w:tcBorders>
              <w:top w:val="single" w:color="auto" w:sz="4" w:space="0"/>
              <w:left w:val="single" w:color="auto" w:sz="4" w:space="0"/>
              <w:right w:val="single" w:color="auto" w:sz="4" w:space="0"/>
            </w:tcBorders>
            <w:noWrap w:val="0"/>
            <w:vAlign w:val="center"/>
          </w:tcPr>
          <w:p>
            <w:pPr>
              <w:pStyle w:val="17"/>
              <w:spacing w:line="360" w:lineRule="exact"/>
              <w:jc w:val="center"/>
              <w:rPr>
                <w:rFonts w:hint="eastAsia" w:hAnsi="宋体"/>
                <w:color w:val="000000"/>
                <w:szCs w:val="21"/>
              </w:rPr>
            </w:pPr>
            <w:r>
              <w:rPr>
                <w:rFonts w:hint="eastAsia" w:hAnsi="宋体"/>
                <w:color w:val="000000"/>
                <w:szCs w:val="21"/>
              </w:rPr>
              <w:t>负责</w:t>
            </w:r>
          </w:p>
          <w:p>
            <w:pPr>
              <w:pStyle w:val="17"/>
              <w:spacing w:line="360" w:lineRule="exact"/>
              <w:jc w:val="center"/>
              <w:rPr>
                <w:rFonts w:hAnsi="宋体"/>
                <w:color w:val="000000"/>
                <w:szCs w:val="21"/>
              </w:rPr>
            </w:pPr>
            <w:r>
              <w:rPr>
                <w:rFonts w:hint="eastAsia" w:hAnsi="宋体"/>
                <w:color w:val="00000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39" w:hRule="atLeast"/>
          <w:jc w:val="center"/>
        </w:trPr>
        <w:tc>
          <w:tcPr>
            <w:tcW w:w="761"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ascii="宋体" w:hAnsi="宋体"/>
                <w:b/>
                <w:color w:val="000000"/>
                <w:szCs w:val="21"/>
              </w:rPr>
            </w:pPr>
          </w:p>
        </w:tc>
        <w:tc>
          <w:tcPr>
            <w:tcW w:w="3917"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360" w:lineRule="exact"/>
              <w:jc w:val="left"/>
              <w:rPr>
                <w:rFonts w:ascii="宋体" w:hAnsi="宋体"/>
                <w:b/>
                <w:color w:val="000000"/>
                <w:szCs w:val="21"/>
              </w:rPr>
            </w:pP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5月</w:t>
            </w: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6月</w:t>
            </w:r>
          </w:p>
        </w:tc>
        <w:tc>
          <w:tcPr>
            <w:tcW w:w="692"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7月</w: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8月</w: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rPr>
                <w:rFonts w:hAnsi="宋体"/>
                <w:color w:val="000000"/>
                <w:szCs w:val="21"/>
              </w:rPr>
            </w:pPr>
            <w:r>
              <w:rPr>
                <w:rFonts w:hint="eastAsia" w:hAnsi="宋体"/>
                <w:color w:val="000000"/>
                <w:szCs w:val="21"/>
              </w:rPr>
              <w:t>9月</w: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7"/>
              <w:spacing w:line="360" w:lineRule="exact"/>
              <w:jc w:val="center"/>
              <w:rPr>
                <w:rFonts w:hAnsi="宋体"/>
                <w:color w:val="000000"/>
                <w:szCs w:val="21"/>
              </w:rPr>
            </w:pPr>
            <w:r>
              <w:rPr>
                <w:rFonts w:hint="eastAsia" w:hAnsi="宋体"/>
                <w:color w:val="000000"/>
                <w:szCs w:val="21"/>
              </w:rPr>
              <w:t>10月</w:t>
            </w:r>
          </w:p>
        </w:tc>
        <w:tc>
          <w:tcPr>
            <w:tcW w:w="804" w:type="dxa"/>
            <w:vMerge w:val="continue"/>
            <w:tcBorders>
              <w:left w:val="single" w:color="auto" w:sz="4" w:space="0"/>
              <w:bottom w:val="single" w:color="auto" w:sz="4" w:space="0"/>
              <w:right w:val="single" w:color="auto" w:sz="4" w:space="0"/>
            </w:tcBorders>
            <w:noWrap w:val="0"/>
            <w:vAlign w:val="center"/>
          </w:tcPr>
          <w:p>
            <w:pPr>
              <w:pStyle w:val="17"/>
              <w:spacing w:line="360" w:lineRule="exact"/>
              <w:rPr>
                <w:rFonts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9"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1</w:t>
            </w:r>
          </w:p>
        </w:tc>
        <w:tc>
          <w:tcPr>
            <w:tcW w:w="391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bCs/>
                <w:color w:val="000000"/>
                <w:szCs w:val="21"/>
              </w:rPr>
            </w:pPr>
            <w:r>
              <w:rPr>
                <w:rFonts w:hint="eastAsia" w:ascii="宋体" w:hAnsi="宋体"/>
                <w:color w:val="000000"/>
                <w:szCs w:val="21"/>
              </w:rPr>
              <w:t>精矿库维护改造</w:t>
            </w:r>
            <w:r>
              <w:rPr>
                <w:rFonts w:hint="eastAsia" w:ascii="宋体" w:hAnsi="宋体"/>
                <w:color w:val="000000"/>
                <w:kern w:val="0"/>
                <w:szCs w:val="21"/>
              </w:rPr>
              <w:t>技术</w:t>
            </w:r>
            <w:r>
              <w:rPr>
                <w:rFonts w:hint="eastAsia" w:ascii="宋体" w:hAnsi="宋体"/>
                <w:bCs/>
                <w:color w:val="000000"/>
                <w:spacing w:val="20"/>
                <w:szCs w:val="21"/>
              </w:rPr>
              <w:t>分析</w:t>
            </w: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79744" behindDoc="0" locked="0" layoutInCell="1" allowOverlap="1">
                      <wp:simplePos x="0" y="0"/>
                      <wp:positionH relativeFrom="column">
                        <wp:posOffset>-35560</wp:posOffset>
                      </wp:positionH>
                      <wp:positionV relativeFrom="paragraph">
                        <wp:posOffset>92075</wp:posOffset>
                      </wp:positionV>
                      <wp:extent cx="342900" cy="99060"/>
                      <wp:effectExtent l="13970" t="13970" r="24130" b="20320"/>
                      <wp:wrapNone/>
                      <wp:docPr id="159" name="矩形 5539"/>
                      <wp:cNvGraphicFramePr/>
                      <a:graphic xmlns:a="http://schemas.openxmlformats.org/drawingml/2006/main">
                        <a:graphicData uri="http://schemas.microsoft.com/office/word/2010/wordprocessingShape">
                          <wps:wsp>
                            <wps:cNvSpPr/>
                            <wps:spPr>
                              <a:xfrm>
                                <a:off x="0" y="0"/>
                                <a:ext cx="342900" cy="99060"/>
                              </a:xfrm>
                              <a:prstGeom prst="rect">
                                <a:avLst/>
                              </a:prstGeom>
                              <a:solidFill>
                                <a:srgbClr val="000000"/>
                              </a:solidFill>
                              <a:ln w="28575" cap="flat" cmpd="sng">
                                <a:solidFill>
                                  <a:srgbClr val="800000"/>
                                </a:solidFill>
                                <a:prstDash val="solid"/>
                                <a:miter/>
                                <a:headEnd type="none" w="med" len="med"/>
                                <a:tailEnd type="none" w="med" len="med"/>
                              </a:ln>
                            </wps:spPr>
                            <wps:txbx>
                              <w:txbxContent>
                                <w:p/>
                              </w:txbxContent>
                            </wps:txbx>
                            <wps:bodyPr wrap="square" upright="1"/>
                          </wps:wsp>
                        </a:graphicData>
                      </a:graphic>
                    </wp:anchor>
                  </w:drawing>
                </mc:Choice>
                <mc:Fallback>
                  <w:pict>
                    <v:rect id="矩形 5539" o:spid="_x0000_s1026" o:spt="1" style="position:absolute;left:0pt;margin-left:-2.8pt;margin-top:7.25pt;height:7.8pt;width:27pt;z-index:251679744;mso-width-relative:page;mso-height-relative:page;" fillcolor="#000000" filled="t" stroked="t" coordsize="21600,21600" o:gfxdata="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we+da2AAAAAcBAAAPAAAAAAAAAAEA&#10;IAAAACIAAABkcnMvZG93bnJldi54bWxQSwECFAAUAAAACACHTuJA55eQtg8CAAA7BAAADgAAAAAA&#10;AAABACAAAAAnAQAAZHJzL2Uyb0RvYy54bWxQSwUGAAAAAAYABgBZAQAAqAUAAAAA&#10;">
                      <v:fill on="t" focussize="0,0"/>
                      <v:stroke weight="2.25pt" color="#800000" joinstyle="miter"/>
                      <v:imagedata o:title=""/>
                      <o:lock v:ext="edit" aspectratio="f"/>
                      <v:textbox>
                        <w:txbxContent>
                          <w:p/>
                        </w:txbxContent>
                      </v:textbox>
                    </v:rect>
                  </w:pict>
                </mc:Fallback>
              </mc:AlternateContent>
            </w: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92"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804" w:type="dxa"/>
            <w:vMerge w:val="restart"/>
            <w:tcBorders>
              <w:top w:val="single" w:color="auto" w:sz="4" w:space="0"/>
              <w:left w:val="single" w:color="auto" w:sz="4" w:space="0"/>
              <w:right w:val="single" w:color="auto" w:sz="4" w:space="0"/>
            </w:tcBorders>
            <w:noWrap w:val="0"/>
            <w:vAlign w:val="top"/>
          </w:tcPr>
          <w:p>
            <w:pPr>
              <w:spacing w:line="360" w:lineRule="exact"/>
              <w:jc w:val="center"/>
              <w:rPr>
                <w:rFonts w:ascii="宋体" w:hAnsi="宋体"/>
                <w:color w:val="000000"/>
                <w:szCs w:val="21"/>
              </w:rPr>
            </w:pPr>
            <w:r>
              <w:rPr>
                <w:rFonts w:hint="eastAsia" w:ascii="宋体" w:hAnsi="宋体"/>
                <w:color w:val="000000"/>
                <w:szCs w:val="21"/>
              </w:rPr>
              <w:t>环保科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54"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2</w:t>
            </w:r>
          </w:p>
        </w:tc>
        <w:tc>
          <w:tcPr>
            <w:tcW w:w="391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bCs/>
                <w:color w:val="000000"/>
                <w:szCs w:val="21"/>
              </w:rPr>
            </w:pPr>
            <w:r>
              <w:rPr>
                <w:rFonts w:hint="eastAsia" w:ascii="宋体" w:hAnsi="宋体"/>
                <w:color w:val="000000"/>
                <w:szCs w:val="21"/>
              </w:rPr>
              <w:t>精矿库维护改造</w:t>
            </w:r>
            <w:r>
              <w:rPr>
                <w:rFonts w:hint="eastAsia" w:ascii="宋体" w:hAnsi="宋体"/>
                <w:bCs/>
                <w:color w:val="000000"/>
                <w:spacing w:val="20"/>
                <w:szCs w:val="21"/>
              </w:rPr>
              <w:t>方案制订、论证</w:t>
            </w: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0768" behindDoc="0" locked="0" layoutInCell="1" allowOverlap="1">
                      <wp:simplePos x="0" y="0"/>
                      <wp:positionH relativeFrom="column">
                        <wp:posOffset>-55880</wp:posOffset>
                      </wp:positionH>
                      <wp:positionV relativeFrom="paragraph">
                        <wp:posOffset>79375</wp:posOffset>
                      </wp:positionV>
                      <wp:extent cx="338455" cy="98425"/>
                      <wp:effectExtent l="4445" t="4445" r="19050" b="11430"/>
                      <wp:wrapNone/>
                      <wp:docPr id="160" name="矩形 5540"/>
                      <wp:cNvGraphicFramePr/>
                      <a:graphic xmlns:a="http://schemas.openxmlformats.org/drawingml/2006/main">
                        <a:graphicData uri="http://schemas.microsoft.com/office/word/2010/wordprocessingShape">
                          <wps:wsp>
                            <wps:cNvSpPr/>
                            <wps:spPr>
                              <a:xfrm>
                                <a:off x="0" y="0"/>
                                <a:ext cx="338455" cy="9842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0" o:spid="_x0000_s1026" o:spt="1" style="position:absolute;left:0pt;margin-left:-4.4pt;margin-top:6.25pt;height:7.75pt;width:26.65pt;z-index:251680768;mso-width-relative:page;mso-height-relative:page;" fillcolor="#000000" filled="t" stroked="t" coordsize="21600,21600" o:gfxdata="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RiqZVtcAAAAHAQAADwAAAAAAAAABACAAAAAiAAAAZHJz&#10;L2Rvd25yZXYueG1sUEsBAhQAFAAAAAgAh07iQMXOXRUFAgAALwQAAA4AAAAAAAAAAQAgAAAAJgEA&#10;AGRycy9lMm9Eb2MueG1sUEsFBgAAAAAGAAYAWQEAAJ0FAAAAAA==&#10;">
                      <v:fill on="t" focussize="0,0"/>
                      <v:stroke color="#FF0000" joinstyle="miter"/>
                      <v:imagedata o:title=""/>
                      <o:lock v:ext="edit" aspectratio="f"/>
                    </v:rect>
                  </w:pict>
                </mc:Fallback>
              </mc:AlternateContent>
            </w:r>
          </w:p>
        </w:tc>
        <w:tc>
          <w:tcPr>
            <w:tcW w:w="692"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804" w:type="dxa"/>
            <w:vMerge w:val="continue"/>
            <w:tcBorders>
              <w:left w:val="single" w:color="auto" w:sz="4" w:space="0"/>
              <w:right w:val="single" w:color="auto" w:sz="4" w:space="0"/>
            </w:tcBorders>
            <w:noWrap w:val="0"/>
            <w:vAlign w:val="top"/>
          </w:tcPr>
          <w:p>
            <w:pPr>
              <w:spacing w:line="36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9"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3</w:t>
            </w:r>
          </w:p>
        </w:tc>
        <w:tc>
          <w:tcPr>
            <w:tcW w:w="391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bCs/>
                <w:color w:val="000000"/>
                <w:szCs w:val="21"/>
              </w:rPr>
            </w:pPr>
            <w:r>
              <w:rPr>
                <w:rFonts w:hint="eastAsia" w:ascii="宋体" w:hAnsi="宋体"/>
                <w:color w:val="000000"/>
                <w:szCs w:val="21"/>
              </w:rPr>
              <w:t>精矿库维护改造方案实施</w:t>
            </w: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1792" behindDoc="0" locked="0" layoutInCell="1" allowOverlap="1">
                      <wp:simplePos x="0" y="0"/>
                      <wp:positionH relativeFrom="column">
                        <wp:posOffset>294640</wp:posOffset>
                      </wp:positionH>
                      <wp:positionV relativeFrom="paragraph">
                        <wp:posOffset>85725</wp:posOffset>
                      </wp:positionV>
                      <wp:extent cx="914400" cy="99060"/>
                      <wp:effectExtent l="4445" t="4445" r="14605" b="10795"/>
                      <wp:wrapNone/>
                      <wp:docPr id="161" name="矩形 5542"/>
                      <wp:cNvGraphicFramePr/>
                      <a:graphic xmlns:a="http://schemas.openxmlformats.org/drawingml/2006/main">
                        <a:graphicData uri="http://schemas.microsoft.com/office/word/2010/wordprocessingShape">
                          <wps:wsp>
                            <wps:cNvSpPr/>
                            <wps:spPr>
                              <a:xfrm>
                                <a:off x="0" y="0"/>
                                <a:ext cx="914400" cy="99060"/>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2" o:spid="_x0000_s1026" o:spt="1" style="position:absolute;left:0pt;margin-left:23.2pt;margin-top:6.75pt;height:7.8pt;width:72pt;z-index:251681792;mso-width-relative:page;mso-height-relative:page;" fillcolor="#000000" filled="t" stroked="t" coordsize="21600,21600" o:gfxdata="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XH8vm2AAAAAgBAAAPAAAAAAAAAAEAIAAAACIA&#10;AABkcnMvZG93bnJldi54bWxQSwECFAAUAAAACACHTuJA2XVSLQkCAAAvBAAADgAAAAAAAAABACAA&#10;AAAnAQAAZHJzL2Uyb0RvYy54bWxQSwUGAAAAAAYABgBZAQAAogUAAAAA&#10;">
                      <v:fill on="t" focussize="0,0"/>
                      <v:stroke color="#FF0000" joinstyle="miter"/>
                      <v:imagedata o:title=""/>
                      <o:lock v:ext="edit" aspectratio="f"/>
                    </v:rect>
                  </w:pict>
                </mc:Fallback>
              </mc:AlternateContent>
            </w:r>
          </w:p>
        </w:tc>
        <w:tc>
          <w:tcPr>
            <w:tcW w:w="692"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804" w:type="dxa"/>
            <w:vMerge w:val="continue"/>
            <w:tcBorders>
              <w:left w:val="single" w:color="auto" w:sz="4" w:space="0"/>
              <w:right w:val="single" w:color="auto" w:sz="4" w:space="0"/>
            </w:tcBorders>
            <w:noWrap w:val="0"/>
            <w:vAlign w:val="top"/>
          </w:tcPr>
          <w:p>
            <w:pPr>
              <w:spacing w:line="36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52"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4</w:t>
            </w:r>
          </w:p>
        </w:tc>
        <w:tc>
          <w:tcPr>
            <w:tcW w:w="391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bCs/>
                <w:color w:val="000000"/>
                <w:szCs w:val="21"/>
              </w:rPr>
            </w:pPr>
            <w:r>
              <w:rPr>
                <w:rFonts w:hint="eastAsia" w:ascii="宋体" w:hAnsi="宋体"/>
                <w:color w:val="000000"/>
                <w:szCs w:val="21"/>
              </w:rPr>
              <w:t>精矿库维护改造方案</w:t>
            </w:r>
            <w:r>
              <w:rPr>
                <w:rFonts w:hint="eastAsia" w:ascii="宋体" w:hAnsi="宋体"/>
                <w:bCs/>
                <w:color w:val="000000"/>
                <w:spacing w:val="20"/>
                <w:szCs w:val="21"/>
              </w:rPr>
              <w:t>调试、验收</w:t>
            </w: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92"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rPr>
              <mc:AlternateContent>
                <mc:Choice Requires="wps">
                  <w:drawing>
                    <wp:anchor distT="0" distB="0" distL="114300" distR="114300" simplePos="0" relativeHeight="251682816" behindDoc="0" locked="0" layoutInCell="1" allowOverlap="1">
                      <wp:simplePos x="0" y="0"/>
                      <wp:positionH relativeFrom="column">
                        <wp:posOffset>-68580</wp:posOffset>
                      </wp:positionH>
                      <wp:positionV relativeFrom="paragraph">
                        <wp:posOffset>104775</wp:posOffset>
                      </wp:positionV>
                      <wp:extent cx="448945" cy="99060"/>
                      <wp:effectExtent l="4445" t="4445" r="22860" b="10795"/>
                      <wp:wrapNone/>
                      <wp:docPr id="162" name="矩形 5543"/>
                      <wp:cNvGraphicFramePr/>
                      <a:graphic xmlns:a="http://schemas.openxmlformats.org/drawingml/2006/main">
                        <a:graphicData uri="http://schemas.microsoft.com/office/word/2010/wordprocessingShape">
                          <wps:wsp>
                            <wps:cNvSpPr/>
                            <wps:spPr>
                              <a:xfrm>
                                <a:off x="0" y="0"/>
                                <a:ext cx="448945" cy="99060"/>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3" o:spid="_x0000_s1026" o:spt="1" style="position:absolute;left:0pt;margin-left:-5.4pt;margin-top:8.25pt;height:7.8pt;width:35.35pt;z-index:251682816;mso-width-relative:page;mso-height-relative:page;" fillcolor="#000000" filled="t" stroked="t" coordsize="21600,21600" o:gfxdata="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i3sfkNkAAAAIAQAADwAAAAAAAAABACAAAAAi&#10;AAAAZHJzL2Rvd25yZXYueG1sUEsBAhQAFAAAAAgAh07iQDogQuQJAgAALwQAAA4AAAAAAAAAAQAg&#10;AAAAKAEAAGRycy9lMm9Eb2MueG1sUEsFBgAAAAAGAAYAWQEAAKMFAAAAAA==&#10;">
                      <v:fill on="t" focussize="0,0"/>
                      <v:stroke color="#FF0000" joinstyle="miter"/>
                      <v:imagedata o:title=""/>
                      <o:lock v:ext="edit" aspectratio="f"/>
                    </v:rect>
                  </w:pict>
                </mc:Fallback>
              </mc:AlternateContent>
            </w: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804" w:type="dxa"/>
            <w:vMerge w:val="continue"/>
            <w:tcBorders>
              <w:left w:val="single" w:color="auto" w:sz="4" w:space="0"/>
              <w:right w:val="single" w:color="auto" w:sz="4" w:space="0"/>
            </w:tcBorders>
            <w:noWrap w:val="0"/>
            <w:vAlign w:val="top"/>
          </w:tcPr>
          <w:p>
            <w:pPr>
              <w:spacing w:line="360" w:lineRule="exact"/>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239" w:hRule="atLeast"/>
          <w:jc w:val="center"/>
        </w:trPr>
        <w:tc>
          <w:tcPr>
            <w:tcW w:w="761"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hint="eastAsia" w:ascii="宋体" w:hAnsi="宋体"/>
                <w:color w:val="000000"/>
                <w:szCs w:val="21"/>
              </w:rPr>
              <w:t>5</w:t>
            </w:r>
          </w:p>
        </w:tc>
        <w:tc>
          <w:tcPr>
            <w:tcW w:w="3917" w:type="dxa"/>
            <w:tcBorders>
              <w:top w:val="single" w:color="auto" w:sz="4" w:space="0"/>
              <w:left w:val="single" w:color="auto" w:sz="4" w:space="0"/>
              <w:bottom w:val="single" w:color="auto" w:sz="4" w:space="0"/>
              <w:right w:val="single" w:color="auto" w:sz="4" w:space="0"/>
            </w:tcBorders>
            <w:noWrap w:val="0"/>
            <w:vAlign w:val="top"/>
          </w:tcPr>
          <w:p>
            <w:pPr>
              <w:spacing w:line="360" w:lineRule="exact"/>
              <w:rPr>
                <w:rFonts w:hint="eastAsia" w:ascii="宋体" w:hAnsi="宋体"/>
                <w:bCs/>
                <w:color w:val="000000"/>
                <w:szCs w:val="21"/>
              </w:rPr>
            </w:pPr>
            <w:r>
              <w:rPr>
                <w:rFonts w:hint="eastAsia" w:ascii="宋体" w:hAnsi="宋体"/>
                <w:color w:val="000000"/>
                <w:szCs w:val="21"/>
              </w:rPr>
              <w:t>精矿库维护改造方案</w:t>
            </w:r>
            <w:r>
              <w:rPr>
                <w:rFonts w:hint="eastAsia" w:ascii="宋体" w:hAnsi="宋体"/>
                <w:bCs/>
                <w:color w:val="000000"/>
                <w:spacing w:val="20"/>
                <w:szCs w:val="21"/>
              </w:rPr>
              <w:t>正常运行</w:t>
            </w: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0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692"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lang/>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p>
        </w:tc>
        <w:tc>
          <w:tcPr>
            <w:tcW w:w="720" w:type="dxa"/>
            <w:tcBorders>
              <w:top w:val="single" w:color="auto" w:sz="4" w:space="0"/>
              <w:left w:val="single" w:color="auto" w:sz="4" w:space="0"/>
              <w:bottom w:val="single" w:color="auto" w:sz="4" w:space="0"/>
              <w:right w:val="single" w:color="auto" w:sz="4" w:space="0"/>
            </w:tcBorders>
            <w:noWrap w:val="0"/>
            <w:vAlign w:val="top"/>
          </w:tcPr>
          <w:p>
            <w:pPr>
              <w:pStyle w:val="140"/>
              <w:spacing w:line="360" w:lineRule="exact"/>
              <w:jc w:val="center"/>
              <w:rPr>
                <w:rFonts w:ascii="宋体" w:hAnsi="宋体"/>
                <w:color w:val="000000"/>
                <w:szCs w:val="21"/>
              </w:rPr>
            </w:pPr>
            <w:r>
              <w:rPr>
                <w:rFonts w:ascii="宋体" w:hAnsi="宋体"/>
                <w:color w:val="000000"/>
                <w:szCs w:val="21"/>
                <w:lang/>
              </w:rPr>
              <mc:AlternateContent>
                <mc:Choice Requires="wps">
                  <w:drawing>
                    <wp:anchor distT="0" distB="0" distL="114300" distR="114300" simplePos="0" relativeHeight="251683840" behindDoc="0" locked="0" layoutInCell="1" allowOverlap="1">
                      <wp:simplePos x="0" y="0"/>
                      <wp:positionH relativeFrom="column">
                        <wp:posOffset>-62865</wp:posOffset>
                      </wp:positionH>
                      <wp:positionV relativeFrom="paragraph">
                        <wp:posOffset>68580</wp:posOffset>
                      </wp:positionV>
                      <wp:extent cx="337185" cy="98425"/>
                      <wp:effectExtent l="4445" t="4445" r="20320" b="11430"/>
                      <wp:wrapNone/>
                      <wp:docPr id="163" name="矩形 5541"/>
                      <wp:cNvGraphicFramePr/>
                      <a:graphic xmlns:a="http://schemas.openxmlformats.org/drawingml/2006/main">
                        <a:graphicData uri="http://schemas.microsoft.com/office/word/2010/wordprocessingShape">
                          <wps:wsp>
                            <wps:cNvSpPr/>
                            <wps:spPr>
                              <a:xfrm>
                                <a:off x="0" y="0"/>
                                <a:ext cx="337185" cy="98425"/>
                              </a:xfrm>
                              <a:prstGeom prst="rect">
                                <a:avLst/>
                              </a:prstGeom>
                              <a:solidFill>
                                <a:srgbClr val="000000"/>
                              </a:solidFill>
                              <a:ln w="9525" cap="flat" cmpd="sng">
                                <a:solidFill>
                                  <a:srgbClr val="FF0000"/>
                                </a:solidFill>
                                <a:prstDash val="solid"/>
                                <a:miter/>
                                <a:headEnd type="none" w="med" len="med"/>
                                <a:tailEnd type="none" w="med" len="med"/>
                              </a:ln>
                            </wps:spPr>
                            <wps:bodyPr wrap="square" upright="1"/>
                          </wps:wsp>
                        </a:graphicData>
                      </a:graphic>
                    </wp:anchor>
                  </w:drawing>
                </mc:Choice>
                <mc:Fallback>
                  <w:pict>
                    <v:rect id="矩形 5541" o:spid="_x0000_s1026" o:spt="1" style="position:absolute;left:0pt;margin-left:-4.95pt;margin-top:5.4pt;height:7.75pt;width:26.55pt;z-index:251683840;mso-width-relative:page;mso-height-relative:page;" fillcolor="#000000" filled="t" stroked="t" coordsize="21600,21600" o:gfxdata="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&#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MDWASvYAAAABwEAAA8AAAAAAAAAAQAgAAAAIgAAAGRy&#10;cy9kb3ducmV2LnhtbFBLAQIUABQAAAAIAIdO4kCNBUxZBQIAAC8EAAAOAAAAAAAAAAEAIAAAACcB&#10;AABkcnMvZTJvRG9jLnhtbFBLBQYAAAAABgAGAFkBAACeBQAAAAA=&#10;">
                      <v:fill on="t" focussize="0,0"/>
                      <v:stroke color="#FF0000" joinstyle="miter"/>
                      <v:imagedata o:title=""/>
                      <o:lock v:ext="edit" aspectratio="f"/>
                    </v:rect>
                  </w:pict>
                </mc:Fallback>
              </mc:AlternateContent>
            </w:r>
          </w:p>
        </w:tc>
        <w:tc>
          <w:tcPr>
            <w:tcW w:w="804" w:type="dxa"/>
            <w:vMerge w:val="continue"/>
            <w:tcBorders>
              <w:left w:val="single" w:color="auto" w:sz="4" w:space="0"/>
              <w:bottom w:val="single" w:color="auto" w:sz="4" w:space="0"/>
              <w:right w:val="single" w:color="auto" w:sz="4" w:space="0"/>
            </w:tcBorders>
            <w:noWrap w:val="0"/>
            <w:vAlign w:val="top"/>
          </w:tcPr>
          <w:p>
            <w:pPr>
              <w:spacing w:line="360" w:lineRule="exact"/>
              <w:jc w:val="center"/>
              <w:rPr>
                <w:rFonts w:ascii="宋体" w:hAnsi="宋体"/>
                <w:color w:val="000000"/>
                <w:szCs w:val="21"/>
              </w:rPr>
            </w:pPr>
          </w:p>
        </w:tc>
      </w:tr>
      <w:bookmarkEnd w:id="549"/>
      <w:bookmarkEnd w:id="550"/>
    </w:tbl>
    <w:p>
      <w:pPr>
        <w:pStyle w:val="5"/>
        <w:spacing w:before="240" w:beforeLines="100" w:after="120" w:afterLines="50" w:line="360" w:lineRule="auto"/>
        <w:rPr>
          <w:rFonts w:hint="eastAsia" w:ascii="宋体" w:hAnsi="宋体"/>
          <w:color w:val="000000"/>
          <w:sz w:val="28"/>
          <w:szCs w:val="28"/>
        </w:rPr>
      </w:pPr>
      <w:bookmarkStart w:id="551" w:name="_Toc23000927"/>
      <w:r>
        <w:rPr>
          <w:rFonts w:hint="eastAsia" w:ascii="宋体" w:hAnsi="宋体"/>
          <w:color w:val="000000"/>
          <w:sz w:val="28"/>
          <w:szCs w:val="28"/>
        </w:rPr>
        <w:t>6.1.2  筹措资金</w:t>
      </w:r>
      <w:bookmarkEnd w:id="551"/>
    </w:p>
    <w:p>
      <w:pPr>
        <w:widowControl/>
        <w:tabs>
          <w:tab w:val="left" w:pos="0"/>
        </w:tabs>
        <w:spacing w:line="360" w:lineRule="auto"/>
        <w:ind w:left="17" w:firstLine="460" w:firstLineChars="192"/>
        <w:jc w:val="left"/>
        <w:rPr>
          <w:rFonts w:hint="eastAsia" w:ascii="宋体" w:hAnsi="宋体"/>
          <w:color w:val="000000"/>
          <w:sz w:val="24"/>
        </w:rPr>
      </w:pPr>
      <w:r>
        <w:rPr>
          <w:rFonts w:hint="eastAsia" w:ascii="宋体" w:hAnsi="宋体"/>
          <w:color w:val="000000"/>
          <w:sz w:val="24"/>
        </w:rPr>
        <w:t>中/高费方案实施的资金投入，主要是企业自筹，用公司自有资金解决，所需费用纳入年度费用计划或追加计划。</w:t>
      </w:r>
    </w:p>
    <w:p>
      <w:pPr>
        <w:pStyle w:val="4"/>
        <w:spacing w:before="240" w:beforeLines="100" w:after="120" w:afterLines="50" w:line="360" w:lineRule="auto"/>
        <w:rPr>
          <w:rFonts w:hint="eastAsia" w:ascii="宋体" w:hAnsi="宋体" w:eastAsia="宋体"/>
          <w:color w:val="000000"/>
        </w:rPr>
      </w:pPr>
      <w:bookmarkStart w:id="552" w:name="_Toc427653800"/>
      <w:bookmarkStart w:id="553" w:name="_Toc433986945"/>
      <w:bookmarkStart w:id="554" w:name="_Toc23000928"/>
      <w:r>
        <w:rPr>
          <w:rFonts w:hint="eastAsia" w:ascii="宋体" w:hAnsi="宋体" w:eastAsia="宋体"/>
          <w:color w:val="000000"/>
        </w:rPr>
        <w:t>6.2  汇总已实施方案的成果</w:t>
      </w:r>
      <w:bookmarkEnd w:id="552"/>
      <w:bookmarkEnd w:id="553"/>
      <w:bookmarkEnd w:id="554"/>
    </w:p>
    <w:p>
      <w:pPr>
        <w:pStyle w:val="5"/>
        <w:spacing w:before="120" w:beforeLines="50" w:after="120" w:afterLines="50" w:line="360" w:lineRule="auto"/>
        <w:rPr>
          <w:rFonts w:hint="eastAsia" w:ascii="宋体" w:hAnsi="宋体"/>
          <w:color w:val="000000"/>
          <w:sz w:val="28"/>
          <w:szCs w:val="28"/>
        </w:rPr>
      </w:pPr>
      <w:bookmarkStart w:id="555" w:name="_Toc427653801"/>
      <w:bookmarkStart w:id="556" w:name="_Toc433986946"/>
      <w:bookmarkStart w:id="557" w:name="_Toc23000929"/>
      <w:r>
        <w:rPr>
          <w:rFonts w:hint="eastAsia" w:ascii="宋体" w:hAnsi="宋体"/>
          <w:color w:val="000000"/>
          <w:sz w:val="28"/>
          <w:szCs w:val="28"/>
        </w:rPr>
        <w:t>6.2.1 无/低费方案效益汇总</w:t>
      </w:r>
      <w:bookmarkEnd w:id="555"/>
      <w:bookmarkEnd w:id="556"/>
      <w:bookmarkEnd w:id="557"/>
    </w:p>
    <w:p>
      <w:pPr>
        <w:widowControl/>
        <w:tabs>
          <w:tab w:val="left" w:pos="0"/>
        </w:tabs>
        <w:spacing w:line="360" w:lineRule="auto"/>
        <w:ind w:left="17" w:firstLine="460" w:firstLineChars="192"/>
        <w:jc w:val="left"/>
        <w:rPr>
          <w:rFonts w:hint="eastAsia" w:ascii="宋体" w:hAnsi="宋体" w:cs="宋体"/>
          <w:b/>
          <w:bCs/>
          <w:color w:val="000000"/>
          <w:sz w:val="28"/>
          <w:szCs w:val="28"/>
          <w:lang w:val="zh-CN"/>
        </w:rPr>
      </w:pPr>
      <w:r>
        <w:rPr>
          <w:rFonts w:hint="eastAsia" w:ascii="宋体" w:hAnsi="宋体"/>
          <w:color w:val="000000"/>
          <w:sz w:val="24"/>
        </w:rPr>
        <w:t>本着边审核边实施的原则，在审核过程中逐步实施了部分无/低费清洁生产方案，并收到一定的经济效益和环境效益。从2019年1月到2019年8月共产生无/低费清洁生产方案27项,实施清洁生产方案27项，实施率达100%，无/低费方案的实施取得了较好的获经济效益和环境效益，同时减少资源浪费，提高生产效率和加强生产设备维护。无低费方案汇总见表6-3。</w:t>
      </w:r>
    </w:p>
    <w:p>
      <w:pPr>
        <w:widowControl/>
        <w:spacing w:line="360" w:lineRule="auto"/>
        <w:jc w:val="left"/>
        <w:rPr>
          <w:rFonts w:hint="eastAsia" w:ascii="宋体" w:hAnsi="宋体" w:cs="宋体"/>
          <w:b/>
          <w:bCs/>
          <w:color w:val="000000"/>
          <w:sz w:val="28"/>
          <w:szCs w:val="28"/>
          <w:lang w:val="zh-CN"/>
        </w:rPr>
        <w:sectPr>
          <w:pgSz w:w="11906" w:h="16838"/>
          <w:pgMar w:top="1247" w:right="1418" w:bottom="1247" w:left="1418" w:header="720" w:footer="720" w:gutter="0"/>
          <w:cols w:space="720" w:num="1"/>
          <w:titlePg/>
        </w:sectPr>
      </w:pPr>
    </w:p>
    <w:p>
      <w:pPr>
        <w:pStyle w:val="13"/>
        <w:spacing w:line="320" w:lineRule="exact"/>
        <w:jc w:val="center"/>
        <w:rPr>
          <w:rFonts w:hint="eastAsia" w:ascii="宋体" w:hAnsi="宋体"/>
          <w:color w:val="000000"/>
          <w:sz w:val="24"/>
          <w:szCs w:val="24"/>
        </w:rPr>
      </w:pPr>
      <w:r>
        <w:rPr>
          <w:rFonts w:hint="eastAsia" w:ascii="宋体" w:hAnsi="宋体"/>
          <w:color w:val="000000"/>
          <w:sz w:val="24"/>
          <w:szCs w:val="24"/>
        </w:rPr>
        <w:t>表 6-3  已实施无/低费方案效益汇总表</w:t>
      </w:r>
    </w:p>
    <w:tbl>
      <w:tblPr>
        <w:tblStyle w:val="35"/>
        <w:tblW w:w="145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3600"/>
        <w:gridCol w:w="1260"/>
        <w:gridCol w:w="1440"/>
        <w:gridCol w:w="4140"/>
        <w:gridCol w:w="34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blHeader/>
        </w:trPr>
        <w:tc>
          <w:tcPr>
            <w:tcW w:w="72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方案</w:t>
            </w:r>
          </w:p>
          <w:p>
            <w:pPr>
              <w:spacing w:line="320" w:lineRule="exact"/>
              <w:jc w:val="center"/>
              <w:rPr>
                <w:rFonts w:hint="eastAsia" w:ascii="宋体" w:hAnsi="宋体"/>
                <w:bCs/>
                <w:color w:val="000000"/>
                <w:szCs w:val="21"/>
              </w:rPr>
            </w:pPr>
            <w:r>
              <w:rPr>
                <w:rFonts w:hint="eastAsia" w:ascii="宋体" w:hAnsi="宋体"/>
                <w:color w:val="000000"/>
                <w:szCs w:val="21"/>
              </w:rPr>
              <w:t>编号</w:t>
            </w:r>
          </w:p>
        </w:tc>
        <w:tc>
          <w:tcPr>
            <w:tcW w:w="3600" w:type="dxa"/>
            <w:noWrap w:val="0"/>
            <w:vAlign w:val="top"/>
          </w:tcPr>
          <w:p>
            <w:pPr>
              <w:spacing w:line="320" w:lineRule="exact"/>
              <w:jc w:val="center"/>
              <w:rPr>
                <w:rFonts w:ascii="宋体" w:hAnsi="宋体"/>
                <w:bCs/>
                <w:color w:val="000000"/>
                <w:szCs w:val="21"/>
              </w:rPr>
            </w:pPr>
            <w:r>
              <w:rPr>
                <w:rFonts w:hint="eastAsia" w:ascii="宋体" w:hAnsi="宋体"/>
                <w:color w:val="000000"/>
                <w:szCs w:val="21"/>
              </w:rPr>
              <w:t>方案名称</w:t>
            </w:r>
          </w:p>
        </w:tc>
        <w:tc>
          <w:tcPr>
            <w:tcW w:w="126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实际投资</w:t>
            </w:r>
          </w:p>
          <w:p>
            <w:pPr>
              <w:spacing w:line="320" w:lineRule="exact"/>
              <w:jc w:val="center"/>
              <w:rPr>
                <w:rFonts w:ascii="宋体" w:hAnsi="宋体"/>
                <w:bCs/>
                <w:color w:val="000000"/>
                <w:szCs w:val="21"/>
              </w:rPr>
            </w:pPr>
            <w:r>
              <w:rPr>
                <w:rFonts w:hint="eastAsia" w:ascii="宋体" w:hAnsi="宋体"/>
                <w:color w:val="000000"/>
                <w:szCs w:val="21"/>
              </w:rPr>
              <w:t>（万元）</w:t>
            </w:r>
          </w:p>
        </w:tc>
        <w:tc>
          <w:tcPr>
            <w:tcW w:w="14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年经济效益</w:t>
            </w:r>
          </w:p>
          <w:p>
            <w:pPr>
              <w:spacing w:line="320" w:lineRule="exact"/>
              <w:jc w:val="center"/>
              <w:rPr>
                <w:rFonts w:ascii="宋体" w:hAnsi="宋体"/>
                <w:color w:val="000000"/>
                <w:szCs w:val="21"/>
              </w:rPr>
            </w:pPr>
            <w:r>
              <w:rPr>
                <w:rFonts w:hint="eastAsia" w:ascii="宋体" w:hAnsi="宋体"/>
                <w:color w:val="000000"/>
                <w:szCs w:val="21"/>
              </w:rPr>
              <w:t>(万元)</w:t>
            </w:r>
          </w:p>
        </w:tc>
        <w:tc>
          <w:tcPr>
            <w:tcW w:w="4140"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经济效益计算</w:t>
            </w:r>
          </w:p>
          <w:p>
            <w:pPr>
              <w:spacing w:line="320" w:lineRule="exact"/>
              <w:jc w:val="center"/>
              <w:rPr>
                <w:rFonts w:ascii="宋体" w:hAnsi="宋体"/>
                <w:bCs/>
                <w:color w:val="000000"/>
                <w:szCs w:val="21"/>
              </w:rPr>
            </w:pPr>
            <w:r>
              <w:rPr>
                <w:rFonts w:hint="eastAsia" w:ascii="宋体" w:hAnsi="宋体"/>
                <w:color w:val="000000"/>
                <w:szCs w:val="21"/>
              </w:rPr>
              <w:t>（年/万元</w:t>
            </w:r>
            <w:r>
              <w:rPr>
                <w:rFonts w:ascii="宋体" w:hAnsi="宋体"/>
                <w:color w:val="000000"/>
                <w:szCs w:val="21"/>
              </w:rPr>
              <w:t>）</w:t>
            </w:r>
          </w:p>
        </w:tc>
        <w:tc>
          <w:tcPr>
            <w:tcW w:w="3439"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实际环境效果/</w:t>
            </w:r>
          </w:p>
          <w:p>
            <w:pPr>
              <w:spacing w:line="320" w:lineRule="exact"/>
              <w:jc w:val="center"/>
              <w:rPr>
                <w:rFonts w:ascii="宋体" w:hAnsi="宋体"/>
                <w:bCs/>
                <w:color w:val="000000"/>
                <w:szCs w:val="21"/>
              </w:rPr>
            </w:pPr>
            <w:r>
              <w:rPr>
                <w:rFonts w:hint="eastAsia" w:ascii="宋体" w:hAnsi="宋体"/>
                <w:color w:val="000000"/>
                <w:szCs w:val="21"/>
              </w:rPr>
              <w:t>节能效果（年）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jc w:val="center"/>
              <w:rPr>
                <w:rFonts w:ascii="宋体" w:hAnsi="宋体"/>
                <w:color w:val="000000"/>
                <w:szCs w:val="21"/>
              </w:rPr>
            </w:pPr>
            <w:r>
              <w:rPr>
                <w:rFonts w:hint="eastAsia" w:ascii="宋体" w:hAnsi="宋体"/>
                <w:color w:val="000000"/>
                <w:szCs w:val="21"/>
              </w:rPr>
              <w:t>F1</w:t>
            </w:r>
          </w:p>
        </w:tc>
        <w:tc>
          <w:tcPr>
            <w:tcW w:w="3600" w:type="dxa"/>
            <w:noWrap w:val="0"/>
            <w:vAlign w:val="center"/>
          </w:tcPr>
          <w:p>
            <w:pPr>
              <w:rPr>
                <w:rFonts w:ascii="宋体" w:hAnsi="宋体"/>
                <w:color w:val="000000"/>
                <w:szCs w:val="21"/>
              </w:rPr>
            </w:pPr>
            <w:r>
              <w:rPr>
                <w:rFonts w:hint="eastAsia" w:ascii="宋体" w:hAnsi="宋体"/>
                <w:color w:val="000000"/>
                <w:szCs w:val="21"/>
              </w:rPr>
              <w:t>选厂化验室路段坡面设雨水沉淀池</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0．35</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0.12</w:t>
            </w:r>
          </w:p>
        </w:tc>
        <w:tc>
          <w:tcPr>
            <w:tcW w:w="4140" w:type="dxa"/>
            <w:noWrap w:val="0"/>
            <w:vAlign w:val="top"/>
          </w:tcPr>
          <w:p>
            <w:pPr>
              <w:jc w:val="center"/>
              <w:rPr>
                <w:rFonts w:hint="eastAsia" w:ascii="宋体" w:hAnsi="宋体"/>
                <w:color w:val="000000"/>
                <w:szCs w:val="21"/>
              </w:rPr>
            </w:pPr>
            <w:r>
              <w:rPr>
                <w:rFonts w:hint="eastAsia" w:ascii="宋体" w:hAnsi="宋体"/>
                <w:color w:val="000000"/>
                <w:szCs w:val="21"/>
              </w:rPr>
              <w:t>节约用水600吨×2元=1200元.</w:t>
            </w: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节约用水600吨，综合利用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jc w:val="center"/>
              <w:rPr>
                <w:rFonts w:ascii="宋体" w:hAnsi="宋体"/>
                <w:color w:val="000000"/>
                <w:szCs w:val="21"/>
              </w:rPr>
            </w:pPr>
            <w:r>
              <w:rPr>
                <w:rFonts w:hint="eastAsia" w:ascii="宋体" w:hAnsi="宋体"/>
                <w:color w:val="000000"/>
                <w:szCs w:val="21"/>
              </w:rPr>
              <w:t>F2</w:t>
            </w:r>
          </w:p>
        </w:tc>
        <w:tc>
          <w:tcPr>
            <w:tcW w:w="3600" w:type="dxa"/>
            <w:noWrap w:val="0"/>
            <w:vAlign w:val="top"/>
          </w:tcPr>
          <w:p>
            <w:pPr>
              <w:autoSpaceDE w:val="0"/>
              <w:autoSpaceDN w:val="0"/>
              <w:adjustRightInd w:val="0"/>
              <w:jc w:val="center"/>
              <w:rPr>
                <w:rFonts w:hint="eastAsia" w:ascii="宋体" w:hAnsi="宋体"/>
                <w:color w:val="000000"/>
                <w:szCs w:val="21"/>
              </w:rPr>
            </w:pPr>
            <w:r>
              <w:rPr>
                <w:rFonts w:hint="eastAsia" w:ascii="宋体" w:hAnsi="宋体"/>
                <w:color w:val="000000"/>
                <w:szCs w:val="21"/>
              </w:rPr>
              <w:t>原料堆场增设排水沟</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0.58</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0.13</w:t>
            </w:r>
          </w:p>
        </w:tc>
        <w:tc>
          <w:tcPr>
            <w:tcW w:w="4140" w:type="dxa"/>
            <w:noWrap w:val="0"/>
            <w:vAlign w:val="top"/>
          </w:tcPr>
          <w:p>
            <w:pPr>
              <w:jc w:val="center"/>
              <w:rPr>
                <w:rFonts w:hint="eastAsia" w:ascii="宋体" w:hAnsi="宋体"/>
                <w:color w:val="000000"/>
                <w:szCs w:val="21"/>
              </w:rPr>
            </w:pPr>
            <w:r>
              <w:rPr>
                <w:rFonts w:hint="eastAsia" w:ascii="宋体" w:hAnsi="宋体"/>
                <w:color w:val="000000"/>
                <w:szCs w:val="21"/>
              </w:rPr>
              <w:t>年节水650吨×2元=1300元.</w:t>
            </w:r>
          </w:p>
        </w:tc>
        <w:tc>
          <w:tcPr>
            <w:tcW w:w="3439" w:type="dxa"/>
            <w:noWrap w:val="0"/>
            <w:vAlign w:val="center"/>
          </w:tcPr>
          <w:p>
            <w:pPr>
              <w:jc w:val="center"/>
              <w:rPr>
                <w:rFonts w:ascii="宋体" w:hAnsi="宋体"/>
                <w:color w:val="000000"/>
                <w:szCs w:val="21"/>
              </w:rPr>
            </w:pPr>
            <w:r>
              <w:rPr>
                <w:rFonts w:hint="eastAsia" w:ascii="宋体" w:hAnsi="宋体"/>
                <w:color w:val="000000"/>
                <w:szCs w:val="21"/>
              </w:rPr>
              <w:t>年节水650吨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jc w:val="center"/>
              <w:rPr>
                <w:rFonts w:ascii="宋体" w:hAnsi="宋体"/>
                <w:color w:val="000000"/>
                <w:szCs w:val="21"/>
              </w:rPr>
            </w:pPr>
            <w:r>
              <w:rPr>
                <w:rFonts w:hint="eastAsia" w:ascii="宋体" w:hAnsi="宋体"/>
                <w:color w:val="000000"/>
                <w:szCs w:val="21"/>
              </w:rPr>
              <w:t>F3</w:t>
            </w:r>
          </w:p>
        </w:tc>
        <w:tc>
          <w:tcPr>
            <w:tcW w:w="3600" w:type="dxa"/>
            <w:noWrap w:val="0"/>
            <w:vAlign w:val="center"/>
          </w:tcPr>
          <w:p>
            <w:pPr>
              <w:jc w:val="center"/>
              <w:rPr>
                <w:rFonts w:hint="eastAsia" w:ascii="宋体" w:hAnsi="宋体"/>
                <w:color w:val="000000"/>
                <w:szCs w:val="21"/>
              </w:rPr>
            </w:pPr>
            <w:r>
              <w:rPr>
                <w:rFonts w:hint="eastAsia" w:ascii="宋体" w:hAnsi="宋体"/>
                <w:color w:val="000000"/>
                <w:szCs w:val="21"/>
              </w:rPr>
              <w:t>改进选矿生产工艺</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1.5</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5</w:t>
            </w:r>
          </w:p>
        </w:tc>
        <w:tc>
          <w:tcPr>
            <w:tcW w:w="4140" w:type="dxa"/>
            <w:noWrap w:val="0"/>
            <w:vAlign w:val="top"/>
          </w:tcPr>
          <w:p>
            <w:pPr>
              <w:jc w:val="center"/>
              <w:rPr>
                <w:rFonts w:hint="eastAsia" w:ascii="宋体" w:hAnsi="宋体"/>
                <w:color w:val="000000"/>
                <w:szCs w:val="21"/>
              </w:rPr>
            </w:pPr>
            <w:r>
              <w:rPr>
                <w:rFonts w:hint="eastAsia" w:ascii="宋体" w:hAnsi="宋体"/>
                <w:color w:val="000000"/>
                <w:szCs w:val="21"/>
              </w:rPr>
              <w:t>根据不同原矿品位对生产工艺进行优化.达到增产增收.</w:t>
            </w: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增加产品产量,减少能源资源损耗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jc w:val="center"/>
              <w:rPr>
                <w:rFonts w:ascii="宋体" w:hAnsi="宋体"/>
                <w:color w:val="000000"/>
                <w:szCs w:val="21"/>
              </w:rPr>
            </w:pPr>
            <w:r>
              <w:rPr>
                <w:rFonts w:hint="eastAsia" w:ascii="宋体" w:hAnsi="宋体"/>
                <w:color w:val="000000"/>
                <w:szCs w:val="21"/>
              </w:rPr>
              <w:t>F4</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淘汰高噪音风机</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2.5</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节能降噪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jc w:val="center"/>
              <w:rPr>
                <w:rFonts w:ascii="宋体" w:hAnsi="宋体"/>
                <w:color w:val="000000"/>
                <w:szCs w:val="21"/>
              </w:rPr>
            </w:pPr>
            <w:r>
              <w:rPr>
                <w:rFonts w:ascii="宋体" w:hAnsi="宋体"/>
                <w:color w:val="000000"/>
                <w:szCs w:val="21"/>
              </w:rPr>
              <w:t>F</w:t>
            </w:r>
            <w:r>
              <w:rPr>
                <w:rFonts w:hint="eastAsia" w:ascii="宋体" w:hAnsi="宋体"/>
                <w:color w:val="000000"/>
                <w:szCs w:val="21"/>
              </w:rPr>
              <w:t>5</w:t>
            </w:r>
          </w:p>
        </w:tc>
        <w:tc>
          <w:tcPr>
            <w:tcW w:w="3600" w:type="dxa"/>
            <w:noWrap w:val="0"/>
            <w:vAlign w:val="top"/>
          </w:tcPr>
          <w:p>
            <w:pPr>
              <w:rPr>
                <w:rFonts w:hint="eastAsia" w:ascii="宋体" w:hAnsi="宋体"/>
                <w:color w:val="000000"/>
                <w:szCs w:val="21"/>
              </w:rPr>
            </w:pPr>
            <w:r>
              <w:rPr>
                <w:rFonts w:hint="eastAsia" w:ascii="宋体" w:hAnsi="宋体"/>
                <w:color w:val="000000"/>
                <w:szCs w:val="21"/>
              </w:rPr>
              <w:t>选矿车间闸阀更换，管道维修</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2.2</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减少跑冒滴漏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6</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垃圾分类处理</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0.36</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1．0</w:t>
            </w:r>
          </w:p>
        </w:tc>
        <w:tc>
          <w:tcPr>
            <w:tcW w:w="4140" w:type="dxa"/>
            <w:noWrap w:val="0"/>
            <w:vAlign w:val="center"/>
          </w:tcPr>
          <w:p>
            <w:pPr>
              <w:jc w:val="center"/>
              <w:rPr>
                <w:rFonts w:ascii="宋体" w:hAnsi="宋体"/>
                <w:color w:val="000000"/>
                <w:szCs w:val="21"/>
              </w:rPr>
            </w:pPr>
            <w:r>
              <w:rPr>
                <w:rFonts w:hint="eastAsia" w:ascii="宋体" w:hAnsi="宋体"/>
                <w:color w:val="000000"/>
                <w:szCs w:val="21"/>
              </w:rPr>
              <w:t>回收废旧金属、塑料等，每年产生约1万元经济效益</w:t>
            </w: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节约原材料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7</w:t>
            </w:r>
          </w:p>
        </w:tc>
        <w:tc>
          <w:tcPr>
            <w:tcW w:w="3600" w:type="dxa"/>
            <w:noWrap w:val="0"/>
            <w:vAlign w:val="top"/>
          </w:tcPr>
          <w:p>
            <w:pPr>
              <w:pStyle w:val="130"/>
              <w:jc w:val="center"/>
              <w:rPr>
                <w:rFonts w:hint="eastAsia" w:ascii="宋体" w:hAnsi="宋体"/>
                <w:color w:val="000000"/>
              </w:rPr>
            </w:pPr>
            <w:r>
              <w:rPr>
                <w:rFonts w:hint="eastAsia" w:ascii="宋体" w:hAnsi="宋体"/>
                <w:color w:val="000000"/>
              </w:rPr>
              <w:t>药剂袋的处理</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0．15</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0．8</w:t>
            </w:r>
          </w:p>
        </w:tc>
        <w:tc>
          <w:tcPr>
            <w:tcW w:w="4140" w:type="dxa"/>
            <w:noWrap w:val="0"/>
            <w:vAlign w:val="top"/>
          </w:tcPr>
          <w:p>
            <w:pPr>
              <w:rPr>
                <w:rFonts w:hint="eastAsia" w:ascii="宋体" w:hAnsi="宋体"/>
                <w:color w:val="000000"/>
                <w:szCs w:val="21"/>
              </w:rPr>
            </w:pPr>
            <w:r>
              <w:rPr>
                <w:rFonts w:hint="eastAsia" w:ascii="宋体" w:hAnsi="宋体"/>
                <w:color w:val="000000"/>
                <w:szCs w:val="21"/>
              </w:rPr>
              <w:t>有利用价值的可以重复利用，无利用价值的出售给废旧店。废袋每公斤2.00元，一年4000公斤×2＝8000元</w:t>
            </w: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减少废渣产生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8</w:t>
            </w:r>
          </w:p>
        </w:tc>
        <w:tc>
          <w:tcPr>
            <w:tcW w:w="3600" w:type="dxa"/>
            <w:noWrap w:val="0"/>
            <w:vAlign w:val="top"/>
          </w:tcPr>
          <w:p>
            <w:pPr>
              <w:jc w:val="center"/>
              <w:rPr>
                <w:rFonts w:hint="eastAsia" w:ascii="宋体" w:hAnsi="宋体"/>
                <w:color w:val="000000"/>
                <w:szCs w:val="21"/>
              </w:rPr>
            </w:pPr>
            <w:r>
              <w:rPr>
                <w:rFonts w:hint="eastAsia" w:ascii="宋体" w:hAnsi="宋体"/>
                <w:color w:val="000000"/>
                <w:szCs w:val="21"/>
              </w:rPr>
              <w:t>原料矿仓增设雨棚</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0．8</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减少因风雨冲刷造成的损失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widowControl/>
              <w:jc w:val="center"/>
              <w:rPr>
                <w:rFonts w:ascii="宋体" w:hAnsi="宋体"/>
                <w:color w:val="000000"/>
                <w:kern w:val="0"/>
                <w:szCs w:val="21"/>
              </w:rPr>
            </w:pPr>
            <w:r>
              <w:rPr>
                <w:rFonts w:ascii="宋体" w:hAnsi="宋体"/>
                <w:color w:val="000000"/>
                <w:kern w:val="0"/>
                <w:szCs w:val="21"/>
              </w:rPr>
              <w:t>F</w:t>
            </w:r>
            <w:r>
              <w:rPr>
                <w:rFonts w:hint="eastAsia" w:ascii="宋体" w:hAnsi="宋体"/>
                <w:color w:val="000000"/>
                <w:kern w:val="0"/>
                <w:szCs w:val="21"/>
              </w:rPr>
              <w:t>9</w:t>
            </w:r>
          </w:p>
        </w:tc>
        <w:tc>
          <w:tcPr>
            <w:tcW w:w="3600" w:type="dxa"/>
            <w:noWrap w:val="0"/>
            <w:vAlign w:val="top"/>
          </w:tcPr>
          <w:p>
            <w:pPr>
              <w:jc w:val="center"/>
              <w:rPr>
                <w:rFonts w:hint="eastAsia" w:ascii="宋体" w:hAnsi="宋体"/>
                <w:color w:val="000000"/>
                <w:szCs w:val="21"/>
              </w:rPr>
            </w:pPr>
            <w:r>
              <w:rPr>
                <w:rFonts w:hint="eastAsia" w:ascii="宋体" w:hAnsi="宋体"/>
                <w:color w:val="000000"/>
                <w:szCs w:val="21"/>
              </w:rPr>
              <w:t>磨浮尾水收集处硬化平整</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2.6</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防止污水渗入地下造成污染,对车间渗水进行回收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widowControl/>
              <w:jc w:val="center"/>
              <w:rPr>
                <w:rFonts w:ascii="宋体" w:hAnsi="宋体"/>
                <w:color w:val="000000"/>
                <w:kern w:val="0"/>
                <w:szCs w:val="21"/>
              </w:rPr>
            </w:pPr>
            <w:r>
              <w:rPr>
                <w:rFonts w:hint="eastAsia" w:ascii="宋体" w:hAnsi="宋体"/>
                <w:color w:val="000000"/>
                <w:kern w:val="0"/>
                <w:szCs w:val="21"/>
              </w:rPr>
              <w:t>F10</w:t>
            </w:r>
          </w:p>
        </w:tc>
        <w:tc>
          <w:tcPr>
            <w:tcW w:w="3600" w:type="dxa"/>
            <w:noWrap w:val="0"/>
            <w:vAlign w:val="top"/>
          </w:tcPr>
          <w:p>
            <w:pPr>
              <w:pStyle w:val="130"/>
              <w:jc w:val="center"/>
              <w:rPr>
                <w:rFonts w:hint="eastAsia" w:ascii="宋体" w:hAnsi="宋体"/>
                <w:color w:val="000000"/>
              </w:rPr>
            </w:pPr>
            <w:r>
              <w:rPr>
                <w:rFonts w:hint="eastAsia" w:ascii="宋体" w:hAnsi="宋体"/>
                <w:color w:val="000000"/>
              </w:rPr>
              <w:t>原矿破碎除尘塔降尘管道嫁接</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加强循环水使用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F11</w:t>
            </w:r>
          </w:p>
        </w:tc>
        <w:tc>
          <w:tcPr>
            <w:tcW w:w="3600" w:type="dxa"/>
            <w:noWrap w:val="0"/>
            <w:vAlign w:val="center"/>
          </w:tcPr>
          <w:p>
            <w:pPr>
              <w:jc w:val="center"/>
              <w:rPr>
                <w:rFonts w:hint="eastAsia" w:ascii="宋体" w:hAnsi="宋体"/>
                <w:color w:val="000000"/>
                <w:szCs w:val="21"/>
              </w:rPr>
            </w:pPr>
            <w:r>
              <w:rPr>
                <w:rFonts w:hint="eastAsia" w:ascii="宋体" w:hAnsi="宋体"/>
                <w:color w:val="000000"/>
                <w:szCs w:val="21"/>
              </w:rPr>
              <w:t>完善矿井渣场排水沟</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0．5</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减少公路污水进入厂区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F12</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井下投放垃圾桶</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0．24</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规范垃圾收集管理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F13</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建设污水沉淀池</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1.2</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杜绝污水未经处理排放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F14</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建设废机油存放点</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0.15</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ascii="宋体" w:hAnsi="宋体"/>
                <w:color w:val="000000"/>
                <w:szCs w:val="21"/>
              </w:rPr>
            </w:pPr>
            <w:r>
              <w:rPr>
                <w:rFonts w:hint="eastAsia" w:ascii="宋体" w:hAnsi="宋体"/>
                <w:color w:val="000000"/>
                <w:szCs w:val="21"/>
              </w:rPr>
              <w:t>规范危险废物管理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F15</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集中处理生活垃圾</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0.4</w:t>
            </w:r>
          </w:p>
        </w:tc>
        <w:tc>
          <w:tcPr>
            <w:tcW w:w="1440" w:type="dxa"/>
            <w:noWrap w:val="0"/>
            <w:vAlign w:val="center"/>
          </w:tcPr>
          <w:p>
            <w:pPr>
              <w:tabs>
                <w:tab w:val="left" w:pos="451"/>
              </w:tabs>
              <w:spacing w:line="300" w:lineRule="exact"/>
              <w:ind w:firstLine="105" w:firstLineChars="50"/>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ascii="宋体" w:hAnsi="宋体"/>
                <w:color w:val="000000"/>
                <w:szCs w:val="21"/>
              </w:rPr>
            </w:pPr>
          </w:p>
        </w:tc>
        <w:tc>
          <w:tcPr>
            <w:tcW w:w="3439" w:type="dxa"/>
            <w:noWrap w:val="0"/>
            <w:vAlign w:val="top"/>
          </w:tcPr>
          <w:p>
            <w:pPr>
              <w:jc w:val="center"/>
              <w:rPr>
                <w:rFonts w:hint="eastAsia" w:ascii="宋体" w:hAnsi="宋体"/>
                <w:color w:val="000000"/>
                <w:szCs w:val="21"/>
              </w:rPr>
            </w:pPr>
            <w:r>
              <w:rPr>
                <w:rFonts w:hint="eastAsia" w:ascii="宋体" w:hAnsi="宋体"/>
                <w:color w:val="000000"/>
                <w:szCs w:val="21"/>
              </w:rPr>
              <w:t>规范垃圾收集处置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F16</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井下照明采用节能灯</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0.5</w:t>
            </w:r>
          </w:p>
        </w:tc>
        <w:tc>
          <w:tcPr>
            <w:tcW w:w="1440" w:type="dxa"/>
            <w:noWrap w:val="0"/>
            <w:vAlign w:val="top"/>
          </w:tcPr>
          <w:p>
            <w:pPr>
              <w:jc w:val="center"/>
              <w:rPr>
                <w:rFonts w:hint="eastAsia" w:ascii="宋体" w:hAnsi="宋体"/>
                <w:color w:val="000000"/>
                <w:szCs w:val="21"/>
              </w:rPr>
            </w:pPr>
            <w:r>
              <w:rPr>
                <w:rFonts w:hint="eastAsia" w:ascii="宋体" w:hAnsi="宋体"/>
                <w:color w:val="000000"/>
                <w:szCs w:val="21"/>
              </w:rPr>
              <w:t>0.14</w:t>
            </w:r>
          </w:p>
        </w:tc>
        <w:tc>
          <w:tcPr>
            <w:tcW w:w="4140" w:type="dxa"/>
            <w:noWrap w:val="0"/>
            <w:vAlign w:val="top"/>
          </w:tcPr>
          <w:p>
            <w:pPr>
              <w:jc w:val="center"/>
              <w:rPr>
                <w:rFonts w:hint="eastAsia" w:ascii="宋体" w:hAnsi="宋体"/>
                <w:color w:val="000000"/>
                <w:szCs w:val="21"/>
              </w:rPr>
            </w:pPr>
            <w:r>
              <w:rPr>
                <w:rFonts w:hint="eastAsia" w:ascii="宋体" w:hAnsi="宋体"/>
                <w:color w:val="000000"/>
                <w:szCs w:val="21"/>
              </w:rPr>
              <w:t>改用节能灯后年节省2800度电左右,节约</w:t>
            </w:r>
          </w:p>
        </w:tc>
        <w:tc>
          <w:tcPr>
            <w:tcW w:w="3439" w:type="dxa"/>
            <w:noWrap w:val="0"/>
            <w:vAlign w:val="top"/>
          </w:tcPr>
          <w:p>
            <w:pPr>
              <w:jc w:val="center"/>
              <w:rPr>
                <w:rFonts w:hint="eastAsia" w:ascii="宋体" w:hAnsi="宋体"/>
                <w:color w:val="000000"/>
                <w:szCs w:val="21"/>
              </w:rPr>
            </w:pPr>
            <w:r>
              <w:rPr>
                <w:rFonts w:hint="eastAsia" w:ascii="宋体" w:hAnsi="宋体"/>
                <w:color w:val="000000"/>
                <w:szCs w:val="21"/>
              </w:rPr>
              <w:t>年节电2800度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F17</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原矿采用塑料布覆盖</w:t>
            </w:r>
          </w:p>
        </w:tc>
        <w:tc>
          <w:tcPr>
            <w:tcW w:w="1260" w:type="dxa"/>
            <w:noWrap w:val="0"/>
            <w:vAlign w:val="top"/>
          </w:tcPr>
          <w:p>
            <w:pPr>
              <w:jc w:val="center"/>
              <w:rPr>
                <w:rFonts w:hint="eastAsia" w:ascii="宋体" w:hAnsi="宋体"/>
                <w:color w:val="000000"/>
                <w:szCs w:val="21"/>
              </w:rPr>
            </w:pPr>
            <w:r>
              <w:rPr>
                <w:rFonts w:hint="eastAsia" w:ascii="宋体" w:hAnsi="宋体"/>
                <w:color w:val="000000"/>
                <w:szCs w:val="21"/>
              </w:rPr>
              <w:t>0.47</w:t>
            </w:r>
          </w:p>
        </w:tc>
        <w:tc>
          <w:tcPr>
            <w:tcW w:w="1440" w:type="dxa"/>
            <w:noWrap w:val="0"/>
            <w:vAlign w:val="top"/>
          </w:tcPr>
          <w:p>
            <w:pPr>
              <w:jc w:val="center"/>
              <w:rPr>
                <w:rFonts w:hint="eastAsia" w:ascii="宋体" w:hAnsi="宋体"/>
                <w:color w:val="000000"/>
                <w:szCs w:val="21"/>
              </w:rPr>
            </w:pPr>
            <w:r>
              <w:rPr>
                <w:rFonts w:hint="eastAsia" w:ascii="宋体" w:hAnsi="宋体"/>
                <w:color w:val="000000"/>
                <w:szCs w:val="21"/>
              </w:rPr>
              <w:t>1.5</w:t>
            </w:r>
          </w:p>
        </w:tc>
        <w:tc>
          <w:tcPr>
            <w:tcW w:w="4140" w:type="dxa"/>
            <w:noWrap w:val="0"/>
            <w:vAlign w:val="top"/>
          </w:tcPr>
          <w:p>
            <w:pPr>
              <w:jc w:val="center"/>
              <w:rPr>
                <w:rFonts w:hint="eastAsia" w:ascii="宋体" w:hAnsi="宋体"/>
                <w:color w:val="000000"/>
                <w:szCs w:val="21"/>
              </w:rPr>
            </w:pPr>
            <w:r>
              <w:rPr>
                <w:rFonts w:hint="eastAsia" w:ascii="宋体" w:hAnsi="宋体"/>
                <w:color w:val="000000"/>
                <w:szCs w:val="21"/>
              </w:rPr>
              <w:t>防止原矿损耗,年节省1万5元左右</w:t>
            </w:r>
          </w:p>
        </w:tc>
        <w:tc>
          <w:tcPr>
            <w:tcW w:w="3439" w:type="dxa"/>
            <w:noWrap w:val="0"/>
            <w:vAlign w:val="top"/>
          </w:tcPr>
          <w:p>
            <w:pPr>
              <w:jc w:val="center"/>
              <w:rPr>
                <w:rFonts w:hint="eastAsia" w:ascii="宋体" w:hAnsi="宋体"/>
                <w:color w:val="000000"/>
                <w:szCs w:val="21"/>
              </w:rPr>
            </w:pPr>
            <w:r>
              <w:rPr>
                <w:rFonts w:hint="eastAsia" w:ascii="宋体" w:hAnsi="宋体"/>
                <w:color w:val="000000"/>
                <w:szCs w:val="21"/>
              </w:rPr>
              <w:t>防止雨水冲洗导致重金属污染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F18</w:t>
            </w:r>
          </w:p>
        </w:tc>
        <w:tc>
          <w:tcPr>
            <w:tcW w:w="3600" w:type="dxa"/>
            <w:noWrap w:val="0"/>
            <w:vAlign w:val="center"/>
          </w:tcPr>
          <w:p>
            <w:pPr>
              <w:jc w:val="center"/>
              <w:rPr>
                <w:rFonts w:ascii="宋体" w:hAnsi="宋体"/>
                <w:color w:val="000000"/>
                <w:szCs w:val="21"/>
              </w:rPr>
            </w:pPr>
            <w:r>
              <w:rPr>
                <w:rFonts w:hint="eastAsia" w:ascii="宋体" w:hAnsi="宋体"/>
                <w:color w:val="000000"/>
                <w:szCs w:val="21"/>
              </w:rPr>
              <w:t>定期对井下地下水采样跟踪</w:t>
            </w:r>
          </w:p>
        </w:tc>
        <w:tc>
          <w:tcPr>
            <w:tcW w:w="1260" w:type="dxa"/>
            <w:noWrap w:val="0"/>
            <w:vAlign w:val="top"/>
          </w:tcPr>
          <w:p>
            <w:pPr>
              <w:jc w:val="center"/>
              <w:rPr>
                <w:rFonts w:ascii="宋体" w:hAnsi="宋体"/>
                <w:color w:val="000000"/>
                <w:szCs w:val="21"/>
              </w:rPr>
            </w:pPr>
          </w:p>
        </w:tc>
        <w:tc>
          <w:tcPr>
            <w:tcW w:w="1440" w:type="dxa"/>
            <w:noWrap w:val="0"/>
            <w:vAlign w:val="top"/>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ascii="宋体" w:hAnsi="宋体"/>
                <w:color w:val="000000"/>
                <w:szCs w:val="21"/>
              </w:rPr>
            </w:pPr>
          </w:p>
        </w:tc>
        <w:tc>
          <w:tcPr>
            <w:tcW w:w="3439" w:type="dxa"/>
            <w:noWrap w:val="0"/>
            <w:vAlign w:val="top"/>
          </w:tcPr>
          <w:p>
            <w:pPr>
              <w:jc w:val="center"/>
              <w:rPr>
                <w:rFonts w:hint="eastAsia" w:ascii="宋体" w:hAnsi="宋体"/>
                <w:color w:val="000000"/>
                <w:szCs w:val="21"/>
              </w:rPr>
            </w:pPr>
            <w:r>
              <w:rPr>
                <w:rFonts w:hint="eastAsia" w:ascii="宋体" w:hAnsi="宋体"/>
                <w:color w:val="000000"/>
                <w:szCs w:val="21"/>
              </w:rPr>
              <w:t>防止井下涌水超标排放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F19</w:t>
            </w:r>
          </w:p>
        </w:tc>
        <w:tc>
          <w:tcPr>
            <w:tcW w:w="3600" w:type="dxa"/>
            <w:noWrap w:val="0"/>
            <w:vAlign w:val="top"/>
          </w:tcPr>
          <w:p>
            <w:pPr>
              <w:jc w:val="center"/>
              <w:rPr>
                <w:rFonts w:hint="eastAsia" w:ascii="宋体" w:hAnsi="宋体"/>
                <w:color w:val="000000"/>
                <w:szCs w:val="21"/>
              </w:rPr>
            </w:pPr>
            <w:r>
              <w:rPr>
                <w:rFonts w:hint="eastAsia" w:ascii="宋体" w:hAnsi="宋体"/>
                <w:color w:val="000000"/>
                <w:szCs w:val="21"/>
              </w:rPr>
              <w:t>选矿车间房顶落水管道改造</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2.3</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防止跑冒滴漏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F20</w:t>
            </w:r>
          </w:p>
        </w:tc>
        <w:tc>
          <w:tcPr>
            <w:tcW w:w="3600" w:type="dxa"/>
            <w:noWrap w:val="0"/>
            <w:vAlign w:val="top"/>
          </w:tcPr>
          <w:p>
            <w:pPr>
              <w:autoSpaceDE w:val="0"/>
              <w:autoSpaceDN w:val="0"/>
              <w:adjustRightInd w:val="0"/>
              <w:jc w:val="center"/>
              <w:rPr>
                <w:rFonts w:hint="eastAsia" w:ascii="宋体" w:hAnsi="宋体" w:cs="宋体"/>
                <w:color w:val="000000"/>
                <w:kern w:val="0"/>
                <w:szCs w:val="21"/>
              </w:rPr>
            </w:pPr>
            <w:r>
              <w:rPr>
                <w:rFonts w:hint="eastAsia" w:ascii="宋体" w:hAnsi="宋体" w:cs="宋体"/>
                <w:color w:val="000000"/>
                <w:kern w:val="0"/>
                <w:szCs w:val="21"/>
              </w:rPr>
              <w:t>磨浮工段底部增设沉淀池</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0.46</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加强生产废水循环使用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F21</w:t>
            </w:r>
          </w:p>
        </w:tc>
        <w:tc>
          <w:tcPr>
            <w:tcW w:w="3600" w:type="dxa"/>
            <w:noWrap w:val="0"/>
            <w:vAlign w:val="top"/>
          </w:tcPr>
          <w:p>
            <w:pPr>
              <w:jc w:val="center"/>
              <w:rPr>
                <w:rFonts w:hint="eastAsia" w:ascii="宋体" w:hAnsi="宋体"/>
                <w:color w:val="000000"/>
                <w:szCs w:val="21"/>
              </w:rPr>
            </w:pPr>
            <w:r>
              <w:rPr>
                <w:rFonts w:hint="eastAsia" w:ascii="宋体" w:hAnsi="宋体"/>
                <w:color w:val="000000"/>
                <w:szCs w:val="21"/>
              </w:rPr>
              <w:t>精矿堆场增设洗车器</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1.4</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防止汽车轮胎带精矿进入外部环境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ascii="宋体" w:hAnsi="宋体"/>
                <w:color w:val="000000"/>
                <w:kern w:val="0"/>
                <w:szCs w:val="21"/>
              </w:rPr>
            </w:pPr>
            <w:r>
              <w:rPr>
                <w:rFonts w:hint="eastAsia" w:ascii="宋体" w:hAnsi="宋体"/>
                <w:color w:val="000000"/>
                <w:kern w:val="0"/>
                <w:szCs w:val="21"/>
              </w:rPr>
              <w:t>F22</w:t>
            </w:r>
          </w:p>
        </w:tc>
        <w:tc>
          <w:tcPr>
            <w:tcW w:w="3600" w:type="dxa"/>
            <w:noWrap w:val="0"/>
            <w:vAlign w:val="center"/>
          </w:tcPr>
          <w:p>
            <w:pPr>
              <w:jc w:val="center"/>
              <w:rPr>
                <w:rFonts w:hint="eastAsia" w:ascii="宋体" w:hAnsi="宋体"/>
                <w:color w:val="000000"/>
                <w:szCs w:val="21"/>
              </w:rPr>
            </w:pPr>
            <w:r>
              <w:rPr>
                <w:rFonts w:hint="eastAsia" w:ascii="宋体" w:hAnsi="宋体"/>
                <w:color w:val="000000"/>
                <w:szCs w:val="21"/>
              </w:rPr>
              <w:t>质检科增设废液收集池</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做好废水收集处理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F23</w:t>
            </w:r>
          </w:p>
        </w:tc>
        <w:tc>
          <w:tcPr>
            <w:tcW w:w="3600" w:type="dxa"/>
            <w:noWrap w:val="0"/>
            <w:vAlign w:val="center"/>
          </w:tcPr>
          <w:p>
            <w:pPr>
              <w:jc w:val="center"/>
              <w:rPr>
                <w:rFonts w:hint="eastAsia" w:ascii="宋体" w:hAnsi="宋体"/>
                <w:color w:val="000000"/>
                <w:szCs w:val="21"/>
              </w:rPr>
            </w:pPr>
            <w:r>
              <w:rPr>
                <w:rFonts w:hint="eastAsia" w:ascii="宋体" w:hAnsi="宋体"/>
                <w:color w:val="000000"/>
                <w:szCs w:val="21"/>
              </w:rPr>
              <w:t>采矿井口完善井下涌水沉淀池</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3.7</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经沉淀后外排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F26</w:t>
            </w:r>
          </w:p>
        </w:tc>
        <w:tc>
          <w:tcPr>
            <w:tcW w:w="3600" w:type="dxa"/>
            <w:noWrap w:val="0"/>
            <w:vAlign w:val="top"/>
          </w:tcPr>
          <w:p>
            <w:pPr>
              <w:jc w:val="center"/>
              <w:rPr>
                <w:rFonts w:hint="eastAsia" w:ascii="宋体" w:hAnsi="宋体"/>
                <w:color w:val="000000"/>
                <w:szCs w:val="21"/>
              </w:rPr>
            </w:pPr>
            <w:r>
              <w:rPr>
                <w:rFonts w:hint="eastAsia" w:ascii="宋体" w:hAnsi="宋体"/>
                <w:color w:val="000000"/>
                <w:szCs w:val="21"/>
              </w:rPr>
              <w:t>建立清洁生产管理和生产操作规程相结合管理制度</w:t>
            </w:r>
          </w:p>
        </w:tc>
        <w:tc>
          <w:tcPr>
            <w:tcW w:w="1260" w:type="dxa"/>
            <w:noWrap w:val="0"/>
            <w:vAlign w:val="center"/>
          </w:tcPr>
          <w:p>
            <w:pPr>
              <w:jc w:val="center"/>
              <w:rPr>
                <w:rFonts w:hint="eastAsia" w:ascii="宋体" w:hAnsi="宋体"/>
                <w:color w:val="000000"/>
                <w:szCs w:val="21"/>
              </w:rPr>
            </w:pP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完善清洁生产管理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F27</w:t>
            </w:r>
          </w:p>
        </w:tc>
        <w:tc>
          <w:tcPr>
            <w:tcW w:w="3600" w:type="dxa"/>
            <w:noWrap w:val="0"/>
            <w:vAlign w:val="top"/>
          </w:tcPr>
          <w:p>
            <w:pPr>
              <w:jc w:val="center"/>
              <w:rPr>
                <w:rFonts w:hint="eastAsia" w:ascii="宋体" w:hAnsi="宋体"/>
                <w:color w:val="000000"/>
                <w:szCs w:val="21"/>
              </w:rPr>
            </w:pPr>
            <w:r>
              <w:rPr>
                <w:rFonts w:hint="eastAsia" w:ascii="宋体" w:hAnsi="宋体"/>
                <w:color w:val="000000"/>
                <w:szCs w:val="21"/>
              </w:rPr>
              <w:t>尾矿库堆场监测口设标志牌</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0.12</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规范尾矿库管理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F28</w:t>
            </w:r>
          </w:p>
        </w:tc>
        <w:tc>
          <w:tcPr>
            <w:tcW w:w="3600" w:type="dxa"/>
            <w:noWrap w:val="0"/>
            <w:vAlign w:val="top"/>
          </w:tcPr>
          <w:p>
            <w:pPr>
              <w:jc w:val="center"/>
              <w:rPr>
                <w:rFonts w:hint="eastAsia" w:ascii="宋体" w:hAnsi="宋体"/>
                <w:color w:val="000000"/>
                <w:szCs w:val="21"/>
              </w:rPr>
            </w:pPr>
            <w:r>
              <w:rPr>
                <w:rFonts w:hint="eastAsia" w:ascii="宋体" w:hAnsi="宋体"/>
                <w:color w:val="000000"/>
                <w:szCs w:val="21"/>
              </w:rPr>
              <w:t>尾矿库设危废间暂存水处理污泥</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0.2</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规范危险废物管理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720" w:type="dxa"/>
            <w:noWrap w:val="0"/>
            <w:vAlign w:val="top"/>
          </w:tcPr>
          <w:p>
            <w:pPr>
              <w:widowControl/>
              <w:jc w:val="center"/>
              <w:rPr>
                <w:rFonts w:hint="eastAsia" w:ascii="宋体" w:hAnsi="宋体"/>
                <w:color w:val="000000"/>
                <w:kern w:val="0"/>
                <w:szCs w:val="21"/>
              </w:rPr>
            </w:pPr>
            <w:r>
              <w:rPr>
                <w:rFonts w:hint="eastAsia" w:ascii="宋体" w:hAnsi="宋体"/>
                <w:color w:val="000000"/>
                <w:kern w:val="0"/>
                <w:szCs w:val="21"/>
              </w:rPr>
              <w:t>F29</w:t>
            </w:r>
          </w:p>
        </w:tc>
        <w:tc>
          <w:tcPr>
            <w:tcW w:w="3600" w:type="dxa"/>
            <w:noWrap w:val="0"/>
            <w:vAlign w:val="top"/>
          </w:tcPr>
          <w:p>
            <w:pPr>
              <w:rPr>
                <w:rFonts w:ascii="宋体" w:hAnsi="宋体"/>
                <w:color w:val="000000"/>
                <w:szCs w:val="21"/>
              </w:rPr>
            </w:pPr>
            <w:r>
              <w:rPr>
                <w:rFonts w:hint="eastAsia" w:ascii="宋体" w:hAnsi="宋体"/>
                <w:color w:val="000000"/>
                <w:szCs w:val="21"/>
              </w:rPr>
              <w:t>对车间员工进行设备维护和使用培训</w:t>
            </w:r>
          </w:p>
        </w:tc>
        <w:tc>
          <w:tcPr>
            <w:tcW w:w="1260" w:type="dxa"/>
            <w:noWrap w:val="0"/>
            <w:vAlign w:val="center"/>
          </w:tcPr>
          <w:p>
            <w:pPr>
              <w:jc w:val="center"/>
              <w:rPr>
                <w:rFonts w:hint="eastAsia" w:ascii="宋体" w:hAnsi="宋体"/>
                <w:color w:val="000000"/>
                <w:szCs w:val="21"/>
              </w:rPr>
            </w:pPr>
            <w:r>
              <w:rPr>
                <w:rFonts w:hint="eastAsia" w:ascii="宋体" w:hAnsi="宋体"/>
                <w:color w:val="000000"/>
                <w:szCs w:val="21"/>
              </w:rPr>
              <w:t>0.6</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间接效益</w:t>
            </w:r>
          </w:p>
        </w:tc>
        <w:tc>
          <w:tcPr>
            <w:tcW w:w="4140" w:type="dxa"/>
            <w:noWrap w:val="0"/>
            <w:vAlign w:val="top"/>
          </w:tcPr>
          <w:p>
            <w:pPr>
              <w:jc w:val="center"/>
              <w:rPr>
                <w:rFonts w:hint="eastAsia" w:ascii="宋体" w:hAnsi="宋体"/>
                <w:color w:val="000000"/>
                <w:szCs w:val="21"/>
              </w:rPr>
            </w:pPr>
          </w:p>
        </w:tc>
        <w:tc>
          <w:tcPr>
            <w:tcW w:w="3439" w:type="dxa"/>
            <w:noWrap w:val="0"/>
            <w:vAlign w:val="center"/>
          </w:tcPr>
          <w:p>
            <w:pPr>
              <w:jc w:val="center"/>
              <w:rPr>
                <w:rFonts w:hint="eastAsia" w:ascii="宋体" w:hAnsi="宋体"/>
                <w:color w:val="000000"/>
                <w:szCs w:val="21"/>
              </w:rPr>
            </w:pPr>
            <w:r>
              <w:rPr>
                <w:rFonts w:hint="eastAsia" w:ascii="宋体" w:hAnsi="宋体"/>
                <w:color w:val="000000"/>
                <w:szCs w:val="21"/>
              </w:rPr>
              <w:t>加强设备管理及生产操作管理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58" w:hRule="atLeast"/>
        </w:trPr>
        <w:tc>
          <w:tcPr>
            <w:tcW w:w="4320" w:type="dxa"/>
            <w:gridSpan w:val="2"/>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合计27</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23．88</w:t>
            </w:r>
          </w:p>
        </w:tc>
        <w:tc>
          <w:tcPr>
            <w:tcW w:w="14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8．69</w:t>
            </w:r>
          </w:p>
        </w:tc>
        <w:tc>
          <w:tcPr>
            <w:tcW w:w="414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年节电2800度，节水1250吨</w:t>
            </w:r>
          </w:p>
        </w:tc>
        <w:tc>
          <w:tcPr>
            <w:tcW w:w="3439" w:type="dxa"/>
            <w:noWrap w:val="0"/>
            <w:vAlign w:val="center"/>
          </w:tcPr>
          <w:p>
            <w:pPr>
              <w:spacing w:line="320" w:lineRule="exact"/>
              <w:jc w:val="center"/>
              <w:rPr>
                <w:rFonts w:hint="eastAsia" w:ascii="宋体" w:hAnsi="宋体"/>
                <w:color w:val="000000"/>
                <w:szCs w:val="21"/>
              </w:rPr>
            </w:pPr>
          </w:p>
        </w:tc>
      </w:tr>
    </w:tbl>
    <w:p>
      <w:pPr>
        <w:widowControl/>
        <w:spacing w:line="320" w:lineRule="exact"/>
        <w:jc w:val="left"/>
        <w:rPr>
          <w:rFonts w:hint="eastAsia" w:ascii="宋体" w:hAnsi="宋体"/>
          <w:b/>
          <w:color w:val="000000"/>
          <w:szCs w:val="21"/>
        </w:rPr>
      </w:pPr>
    </w:p>
    <w:p>
      <w:pPr>
        <w:widowControl/>
        <w:jc w:val="left"/>
        <w:rPr>
          <w:rFonts w:hint="eastAsia" w:ascii="宋体" w:hAnsi="宋体"/>
          <w:b/>
          <w:color w:val="000000"/>
          <w:sz w:val="24"/>
        </w:rPr>
      </w:pPr>
    </w:p>
    <w:p>
      <w:pPr>
        <w:widowControl/>
        <w:jc w:val="left"/>
        <w:rPr>
          <w:rFonts w:hint="eastAsia" w:ascii="宋体" w:hAnsi="宋体"/>
          <w:b/>
          <w:color w:val="000000"/>
          <w:sz w:val="24"/>
        </w:rPr>
        <w:sectPr>
          <w:pgSz w:w="16838" w:h="11906" w:orient="landscape"/>
          <w:pgMar w:top="1418" w:right="1247" w:bottom="1418" w:left="1247" w:header="720" w:footer="720" w:gutter="0"/>
          <w:cols w:space="720" w:num="1"/>
        </w:sectPr>
      </w:pPr>
    </w:p>
    <w:p>
      <w:pPr>
        <w:pStyle w:val="5"/>
        <w:spacing w:before="120" w:after="120" w:afterLines="50" w:line="360" w:lineRule="auto"/>
        <w:rPr>
          <w:rFonts w:hint="eastAsia" w:ascii="宋体" w:hAnsi="宋体"/>
          <w:color w:val="000000"/>
          <w:sz w:val="28"/>
          <w:szCs w:val="28"/>
        </w:rPr>
      </w:pPr>
      <w:bookmarkStart w:id="558" w:name="_Toc23000930"/>
      <w:bookmarkStart w:id="559" w:name="_Toc433986947"/>
      <w:bookmarkStart w:id="560" w:name="_Toc427653802"/>
      <w:bookmarkStart w:id="561" w:name="_Toc296604664"/>
      <w:bookmarkStart w:id="562" w:name="_Toc477356578"/>
      <w:r>
        <w:rPr>
          <w:rFonts w:hint="eastAsia" w:ascii="宋体" w:hAnsi="宋体"/>
          <w:color w:val="000000"/>
          <w:sz w:val="28"/>
          <w:szCs w:val="28"/>
        </w:rPr>
        <w:t>6.2.2 无/低费实施效果评价</w:t>
      </w:r>
      <w:bookmarkEnd w:id="558"/>
      <w:bookmarkEnd w:id="559"/>
      <w:bookmarkEnd w:id="560"/>
    </w:p>
    <w:p>
      <w:pPr>
        <w:spacing w:line="360" w:lineRule="auto"/>
        <w:ind w:firstLine="480" w:firstLineChars="200"/>
        <w:rPr>
          <w:rFonts w:hint="eastAsia" w:ascii="宋体" w:hAnsi="宋体"/>
          <w:color w:val="000000"/>
          <w:sz w:val="24"/>
        </w:rPr>
      </w:pPr>
      <w:r>
        <w:rPr>
          <w:rFonts w:hint="eastAsia" w:ascii="宋体" w:hAnsi="宋体"/>
          <w:color w:val="000000"/>
          <w:sz w:val="24"/>
        </w:rPr>
        <w:t>本轮清洁生产审核，提出的27个无/低费方案全部实施，方案总投入资金23.88万元，实施无/低费方案后预计年收益8.69万元，实施的无低费清洁生产方案项目主要是节约原料和能源，加强设备的运行和维护，减少污染物排放。</w:t>
      </w:r>
    </w:p>
    <w:bookmarkEnd w:id="561"/>
    <w:p>
      <w:pPr>
        <w:pStyle w:val="4"/>
        <w:spacing w:before="120" w:beforeLines="50" w:after="120" w:afterLines="50" w:line="360" w:lineRule="auto"/>
        <w:rPr>
          <w:rFonts w:hint="eastAsia" w:ascii="宋体" w:hAnsi="宋体" w:eastAsia="宋体"/>
          <w:color w:val="000000"/>
        </w:rPr>
      </w:pPr>
      <w:bookmarkStart w:id="563" w:name="_Toc296604665"/>
      <w:bookmarkStart w:id="564" w:name="_Toc427653803"/>
      <w:bookmarkStart w:id="565" w:name="_Toc433986948"/>
      <w:bookmarkStart w:id="566" w:name="_Toc23000931"/>
      <w:bookmarkStart w:id="567" w:name="_Toc287109172"/>
      <w:bookmarkStart w:id="568" w:name="_Toc287917983"/>
      <w:r>
        <w:rPr>
          <w:rFonts w:hint="eastAsia" w:ascii="宋体" w:hAnsi="宋体" w:eastAsia="宋体"/>
          <w:color w:val="000000"/>
        </w:rPr>
        <w:t>6.3 中/高费方案实施情况</w:t>
      </w:r>
      <w:bookmarkEnd w:id="563"/>
      <w:bookmarkEnd w:id="564"/>
      <w:bookmarkEnd w:id="565"/>
      <w:bookmarkEnd w:id="566"/>
      <w:bookmarkEnd w:id="567"/>
      <w:bookmarkEnd w:id="568"/>
    </w:p>
    <w:p>
      <w:pPr>
        <w:spacing w:line="360" w:lineRule="auto"/>
        <w:ind w:firstLine="555"/>
        <w:rPr>
          <w:rFonts w:ascii="宋体" w:hAnsi="宋体"/>
          <w:color w:val="000000"/>
          <w:sz w:val="24"/>
        </w:rPr>
      </w:pPr>
      <w:r>
        <w:rPr>
          <w:rFonts w:hint="eastAsia" w:ascii="宋体" w:hAnsi="宋体"/>
          <w:color w:val="000000"/>
          <w:sz w:val="24"/>
        </w:rPr>
        <w:t>本轮清洁生产审核提出并实施中/高费清洁生产方案，方案实施完成情况及汇总见表6-4。</w:t>
      </w:r>
    </w:p>
    <w:p>
      <w:pPr>
        <w:pStyle w:val="13"/>
        <w:spacing w:line="360" w:lineRule="auto"/>
        <w:ind w:firstLine="482" w:firstLineChars="200"/>
        <w:jc w:val="center"/>
        <w:rPr>
          <w:rFonts w:hint="eastAsia" w:ascii="宋体" w:hAnsi="宋体"/>
          <w:color w:val="000000"/>
          <w:sz w:val="24"/>
          <w:szCs w:val="24"/>
        </w:rPr>
      </w:pPr>
      <w:r>
        <w:rPr>
          <w:rFonts w:hint="eastAsia" w:ascii="宋体" w:hAnsi="宋体"/>
          <w:color w:val="000000"/>
          <w:sz w:val="24"/>
          <w:szCs w:val="24"/>
        </w:rPr>
        <w:t>表 6-4  已实施中/高费方案效益汇总表</w:t>
      </w:r>
    </w:p>
    <w:tbl>
      <w:tblPr>
        <w:tblStyle w:val="35"/>
        <w:tblW w:w="0" w:type="auto"/>
        <w:tblInd w:w="28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00"/>
        <w:gridCol w:w="2880"/>
        <w:gridCol w:w="900"/>
        <w:gridCol w:w="1080"/>
        <w:gridCol w:w="1260"/>
        <w:gridCol w:w="217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04" w:hRule="atLeast"/>
        </w:trPr>
        <w:tc>
          <w:tcPr>
            <w:tcW w:w="900" w:type="dxa"/>
            <w:noWrap w:val="0"/>
            <w:vAlign w:val="center"/>
          </w:tcPr>
          <w:p>
            <w:pPr>
              <w:pStyle w:val="101"/>
              <w:adjustRightInd w:val="0"/>
              <w:snapToGrid w:val="0"/>
              <w:spacing w:before="0" w:beforeLines="0"/>
              <w:rPr>
                <w:rFonts w:hint="eastAsia"/>
                <w:b w:val="0"/>
                <w:lang/>
              </w:rPr>
            </w:pPr>
            <w:r>
              <w:rPr>
                <w:rFonts w:hint="eastAsia"/>
                <w:b w:val="0"/>
                <w:lang/>
              </w:rPr>
              <w:t>编号</w:t>
            </w:r>
          </w:p>
        </w:tc>
        <w:tc>
          <w:tcPr>
            <w:tcW w:w="2880" w:type="dxa"/>
            <w:noWrap w:val="0"/>
            <w:vAlign w:val="center"/>
          </w:tcPr>
          <w:p>
            <w:pPr>
              <w:pStyle w:val="101"/>
              <w:adjustRightInd w:val="0"/>
              <w:snapToGrid w:val="0"/>
              <w:spacing w:before="0" w:beforeLines="0"/>
              <w:rPr>
                <w:rFonts w:hint="eastAsia"/>
                <w:b w:val="0"/>
                <w:lang/>
              </w:rPr>
            </w:pPr>
            <w:r>
              <w:rPr>
                <w:rFonts w:hint="eastAsia"/>
                <w:b w:val="0"/>
                <w:lang/>
              </w:rPr>
              <w:t>方案名称</w:t>
            </w:r>
          </w:p>
        </w:tc>
        <w:tc>
          <w:tcPr>
            <w:tcW w:w="900" w:type="dxa"/>
            <w:noWrap w:val="0"/>
            <w:vAlign w:val="center"/>
          </w:tcPr>
          <w:p>
            <w:pPr>
              <w:pStyle w:val="101"/>
              <w:adjustRightInd w:val="0"/>
              <w:snapToGrid w:val="0"/>
              <w:spacing w:before="0" w:beforeLines="0"/>
              <w:rPr>
                <w:rFonts w:hint="eastAsia"/>
                <w:b w:val="0"/>
                <w:lang/>
              </w:rPr>
            </w:pPr>
            <w:r>
              <w:rPr>
                <w:rFonts w:hint="eastAsia"/>
                <w:b w:val="0"/>
                <w:lang/>
              </w:rPr>
              <w:t>完成</w:t>
            </w:r>
          </w:p>
          <w:p>
            <w:pPr>
              <w:pStyle w:val="101"/>
              <w:adjustRightInd w:val="0"/>
              <w:snapToGrid w:val="0"/>
              <w:spacing w:before="0" w:beforeLines="0"/>
              <w:rPr>
                <w:rFonts w:hint="eastAsia"/>
                <w:b w:val="0"/>
                <w:lang/>
              </w:rPr>
            </w:pPr>
            <w:r>
              <w:rPr>
                <w:rFonts w:hint="eastAsia"/>
                <w:b w:val="0"/>
                <w:lang/>
              </w:rPr>
              <w:t>时间</w:t>
            </w:r>
          </w:p>
        </w:tc>
        <w:tc>
          <w:tcPr>
            <w:tcW w:w="1080" w:type="dxa"/>
            <w:noWrap w:val="0"/>
            <w:vAlign w:val="center"/>
          </w:tcPr>
          <w:p>
            <w:pPr>
              <w:pStyle w:val="101"/>
              <w:adjustRightInd w:val="0"/>
              <w:snapToGrid w:val="0"/>
              <w:spacing w:before="0" w:beforeLines="0"/>
              <w:rPr>
                <w:rFonts w:hint="eastAsia"/>
                <w:b w:val="0"/>
                <w:lang/>
              </w:rPr>
            </w:pPr>
            <w:r>
              <w:rPr>
                <w:rFonts w:hint="eastAsia"/>
                <w:b w:val="0"/>
                <w:lang/>
              </w:rPr>
              <w:t>实际投资</w:t>
            </w:r>
          </w:p>
          <w:p>
            <w:pPr>
              <w:pStyle w:val="101"/>
              <w:adjustRightInd w:val="0"/>
              <w:snapToGrid w:val="0"/>
              <w:spacing w:before="0" w:beforeLines="0"/>
              <w:rPr>
                <w:rFonts w:hint="eastAsia"/>
                <w:b w:val="0"/>
                <w:lang/>
              </w:rPr>
            </w:pPr>
            <w:r>
              <w:rPr>
                <w:rFonts w:hint="eastAsia"/>
                <w:b w:val="0"/>
                <w:lang/>
              </w:rPr>
              <w:t>（万元）</w:t>
            </w:r>
          </w:p>
        </w:tc>
        <w:tc>
          <w:tcPr>
            <w:tcW w:w="1260" w:type="dxa"/>
            <w:noWrap w:val="0"/>
            <w:vAlign w:val="top"/>
          </w:tcPr>
          <w:p>
            <w:pPr>
              <w:tabs>
                <w:tab w:val="left" w:pos="0"/>
              </w:tabs>
              <w:adjustRightInd w:val="0"/>
              <w:snapToGrid w:val="0"/>
              <w:spacing w:line="360" w:lineRule="auto"/>
              <w:rPr>
                <w:rFonts w:hint="eastAsia" w:ascii="宋体" w:hAnsi="宋体"/>
                <w:color w:val="000000"/>
                <w:szCs w:val="21"/>
              </w:rPr>
            </w:pPr>
            <w:r>
              <w:rPr>
                <w:rFonts w:hint="eastAsia" w:ascii="宋体" w:hAnsi="宋体"/>
                <w:color w:val="000000"/>
                <w:szCs w:val="21"/>
              </w:rPr>
              <w:t>经济效益</w:t>
            </w:r>
          </w:p>
          <w:p>
            <w:pPr>
              <w:tabs>
                <w:tab w:val="left" w:pos="0"/>
              </w:tabs>
              <w:adjustRightInd w:val="0"/>
              <w:snapToGrid w:val="0"/>
              <w:spacing w:line="360" w:lineRule="auto"/>
              <w:rPr>
                <w:rFonts w:hint="eastAsia" w:ascii="宋体" w:hAnsi="宋体"/>
                <w:color w:val="000000"/>
                <w:szCs w:val="21"/>
              </w:rPr>
            </w:pPr>
            <w:r>
              <w:rPr>
                <w:rFonts w:hint="eastAsia" w:ascii="宋体" w:hAnsi="宋体"/>
                <w:color w:val="000000"/>
                <w:szCs w:val="21"/>
              </w:rPr>
              <w:t>(万元/年)</w:t>
            </w:r>
          </w:p>
        </w:tc>
        <w:tc>
          <w:tcPr>
            <w:tcW w:w="2175" w:type="dxa"/>
            <w:noWrap w:val="0"/>
            <w:vAlign w:val="top"/>
          </w:tcPr>
          <w:p>
            <w:pPr>
              <w:adjustRightInd w:val="0"/>
              <w:snapToGrid w:val="0"/>
              <w:spacing w:line="360" w:lineRule="auto"/>
              <w:rPr>
                <w:rFonts w:hint="eastAsia" w:ascii="宋体" w:hAnsi="宋体"/>
                <w:color w:val="000000"/>
                <w:szCs w:val="21"/>
              </w:rPr>
            </w:pPr>
            <w:r>
              <w:rPr>
                <w:rFonts w:hint="eastAsia" w:ascii="宋体" w:hAnsi="宋体"/>
                <w:color w:val="000000"/>
                <w:szCs w:val="21"/>
              </w:rPr>
              <w:t>环境效益(年)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13" w:hRule="atLeast"/>
        </w:trPr>
        <w:tc>
          <w:tcPr>
            <w:tcW w:w="900" w:type="dxa"/>
            <w:noWrap w:val="0"/>
            <w:vAlign w:val="top"/>
          </w:tcPr>
          <w:p>
            <w:pPr>
              <w:widowControl/>
              <w:spacing w:line="360" w:lineRule="auto"/>
              <w:jc w:val="center"/>
              <w:rPr>
                <w:rFonts w:ascii="宋体" w:hAnsi="宋体"/>
                <w:color w:val="000000"/>
                <w:kern w:val="0"/>
                <w:szCs w:val="21"/>
              </w:rPr>
            </w:pPr>
            <w:r>
              <w:rPr>
                <w:rFonts w:hint="eastAsia" w:ascii="宋体" w:hAnsi="宋体"/>
                <w:color w:val="000000"/>
                <w:kern w:val="0"/>
                <w:szCs w:val="21"/>
              </w:rPr>
              <w:t>F24</w:t>
            </w:r>
          </w:p>
        </w:tc>
        <w:tc>
          <w:tcPr>
            <w:tcW w:w="2880" w:type="dxa"/>
            <w:noWrap w:val="0"/>
            <w:vAlign w:val="top"/>
          </w:tcPr>
          <w:p>
            <w:pPr>
              <w:spacing w:line="360" w:lineRule="auto"/>
              <w:rPr>
                <w:rFonts w:hint="eastAsia" w:ascii="宋体" w:hAnsi="宋体"/>
                <w:color w:val="000000"/>
                <w:szCs w:val="21"/>
              </w:rPr>
            </w:pPr>
            <w:r>
              <w:rPr>
                <w:rFonts w:hint="eastAsia" w:ascii="宋体" w:hAnsi="宋体"/>
                <w:color w:val="000000"/>
                <w:szCs w:val="21"/>
              </w:rPr>
              <w:t>完善选矿厂雨污分流系统</w:t>
            </w:r>
          </w:p>
        </w:tc>
        <w:tc>
          <w:tcPr>
            <w:tcW w:w="900" w:type="dxa"/>
            <w:noWrap w:val="0"/>
            <w:vAlign w:val="center"/>
          </w:tcPr>
          <w:p>
            <w:pPr>
              <w:spacing w:line="360" w:lineRule="auto"/>
              <w:jc w:val="center"/>
              <w:rPr>
                <w:rFonts w:hint="eastAsia" w:ascii="宋体" w:hAnsi="宋体"/>
                <w:color w:val="000000"/>
                <w:szCs w:val="21"/>
                <w:highlight w:val="yellow"/>
              </w:rPr>
            </w:pPr>
            <w:r>
              <w:rPr>
                <w:rFonts w:hint="eastAsia" w:ascii="宋体" w:hAnsi="宋体"/>
                <w:color w:val="000000"/>
                <w:szCs w:val="21"/>
              </w:rPr>
              <w:t>2019.9</w:t>
            </w:r>
          </w:p>
        </w:tc>
        <w:tc>
          <w:tcPr>
            <w:tcW w:w="1080" w:type="dxa"/>
            <w:noWrap w:val="0"/>
            <w:vAlign w:val="center"/>
          </w:tcPr>
          <w:p>
            <w:pPr>
              <w:pStyle w:val="101"/>
              <w:adjustRightInd w:val="0"/>
              <w:snapToGrid w:val="0"/>
              <w:spacing w:before="0" w:beforeLines="0"/>
              <w:rPr>
                <w:rFonts w:hint="eastAsia"/>
                <w:b w:val="0"/>
                <w:lang/>
              </w:rPr>
            </w:pPr>
            <w:r>
              <w:rPr>
                <w:rFonts w:hint="eastAsia"/>
                <w:b w:val="0"/>
                <w:lang/>
              </w:rPr>
              <w:t>71.85</w:t>
            </w:r>
          </w:p>
        </w:tc>
        <w:tc>
          <w:tcPr>
            <w:tcW w:w="1260" w:type="dxa"/>
            <w:noWrap w:val="0"/>
            <w:vAlign w:val="top"/>
          </w:tcPr>
          <w:p>
            <w:pPr>
              <w:tabs>
                <w:tab w:val="left" w:pos="0"/>
              </w:tabs>
              <w:adjustRightInd w:val="0"/>
              <w:snapToGrid w:val="0"/>
              <w:spacing w:line="360" w:lineRule="auto"/>
              <w:jc w:val="center"/>
              <w:rPr>
                <w:rFonts w:hint="eastAsia" w:ascii="宋体" w:hAnsi="宋体"/>
                <w:color w:val="000000"/>
                <w:szCs w:val="21"/>
              </w:rPr>
            </w:pPr>
            <w:r>
              <w:rPr>
                <w:rFonts w:hint="eastAsia" w:ascii="宋体" w:hAnsi="宋体"/>
                <w:color w:val="000000"/>
                <w:szCs w:val="21"/>
              </w:rPr>
              <w:t>15</w:t>
            </w:r>
          </w:p>
        </w:tc>
        <w:tc>
          <w:tcPr>
            <w:tcW w:w="2175" w:type="dxa"/>
            <w:noWrap w:val="0"/>
            <w:vAlign w:val="top"/>
          </w:tcPr>
          <w:p>
            <w:pPr>
              <w:adjustRightInd w:val="0"/>
              <w:snapToGrid w:val="0"/>
              <w:spacing w:line="360" w:lineRule="auto"/>
              <w:rPr>
                <w:rFonts w:hint="eastAsia" w:ascii="宋体" w:hAnsi="宋体"/>
                <w:color w:val="000000"/>
                <w:szCs w:val="21"/>
              </w:rPr>
            </w:pPr>
            <w:r>
              <w:rPr>
                <w:rFonts w:hint="eastAsia" w:ascii="宋体" w:hAnsi="宋体"/>
                <w:color w:val="000000"/>
                <w:szCs w:val="21"/>
              </w:rPr>
              <w:t>年节水12029</w:t>
            </w:r>
            <w:r>
              <w:rPr>
                <w:rFonts w:ascii="Verdana" w:hAnsi="Verdana"/>
                <w:color w:val="000000"/>
                <w:kern w:val="0"/>
                <w:sz w:val="24"/>
                <w:szCs w:val="24"/>
              </w:rPr>
              <w:t xml:space="preserve"> m</w:t>
            </w:r>
            <w:r>
              <w:rPr>
                <w:rFonts w:ascii="Verdana" w:hAnsi="Verdana"/>
                <w:color w:val="000000"/>
                <w:kern w:val="0"/>
                <w:sz w:val="24"/>
                <w:szCs w:val="24"/>
                <w:vertAlign w:val="superscript"/>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13" w:hRule="atLeast"/>
        </w:trPr>
        <w:tc>
          <w:tcPr>
            <w:tcW w:w="900" w:type="dxa"/>
            <w:noWrap w:val="0"/>
            <w:vAlign w:val="top"/>
          </w:tcPr>
          <w:p>
            <w:pPr>
              <w:widowControl/>
              <w:spacing w:line="360" w:lineRule="auto"/>
              <w:jc w:val="center"/>
              <w:rPr>
                <w:rFonts w:hint="eastAsia" w:ascii="宋体" w:hAnsi="宋体"/>
                <w:color w:val="000000"/>
                <w:kern w:val="0"/>
                <w:szCs w:val="21"/>
              </w:rPr>
            </w:pPr>
            <w:r>
              <w:rPr>
                <w:rFonts w:hint="eastAsia" w:ascii="宋体" w:hAnsi="宋体"/>
                <w:color w:val="000000"/>
                <w:kern w:val="0"/>
                <w:szCs w:val="21"/>
              </w:rPr>
              <w:t>F25</w:t>
            </w:r>
          </w:p>
        </w:tc>
        <w:tc>
          <w:tcPr>
            <w:tcW w:w="2880" w:type="dxa"/>
            <w:noWrap w:val="0"/>
            <w:vAlign w:val="center"/>
          </w:tcPr>
          <w:p>
            <w:pPr>
              <w:spacing w:line="360" w:lineRule="auto"/>
              <w:rPr>
                <w:rFonts w:hint="eastAsia" w:ascii="宋体" w:hAnsi="宋体"/>
                <w:color w:val="000000"/>
                <w:szCs w:val="21"/>
              </w:rPr>
            </w:pPr>
            <w:r>
              <w:rPr>
                <w:rFonts w:hint="eastAsia" w:ascii="宋体" w:hAnsi="宋体"/>
                <w:color w:val="000000"/>
                <w:szCs w:val="21"/>
              </w:rPr>
              <w:t>精矿库维护改造</w:t>
            </w:r>
          </w:p>
        </w:tc>
        <w:tc>
          <w:tcPr>
            <w:tcW w:w="900" w:type="dxa"/>
            <w:noWrap w:val="0"/>
            <w:vAlign w:val="center"/>
          </w:tcPr>
          <w:p>
            <w:pPr>
              <w:spacing w:line="360" w:lineRule="auto"/>
              <w:jc w:val="center"/>
              <w:rPr>
                <w:rFonts w:hint="eastAsia" w:ascii="宋体" w:hAnsi="宋体"/>
                <w:color w:val="000000"/>
                <w:szCs w:val="21"/>
              </w:rPr>
            </w:pPr>
            <w:r>
              <w:rPr>
                <w:rFonts w:hint="eastAsia" w:ascii="宋体" w:hAnsi="宋体"/>
                <w:color w:val="000000"/>
                <w:szCs w:val="21"/>
              </w:rPr>
              <w:t>2019.9</w:t>
            </w:r>
          </w:p>
        </w:tc>
        <w:tc>
          <w:tcPr>
            <w:tcW w:w="1080"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20</w:t>
            </w:r>
          </w:p>
        </w:tc>
        <w:tc>
          <w:tcPr>
            <w:tcW w:w="1260"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8</w:t>
            </w:r>
          </w:p>
        </w:tc>
        <w:tc>
          <w:tcPr>
            <w:tcW w:w="2175" w:type="dxa"/>
            <w:noWrap w:val="0"/>
            <w:vAlign w:val="top"/>
          </w:tcPr>
          <w:p>
            <w:pPr>
              <w:adjustRightInd w:val="0"/>
              <w:snapToGrid w:val="0"/>
              <w:spacing w:line="360" w:lineRule="auto"/>
              <w:rPr>
                <w:rFonts w:hint="eastAsia" w:ascii="宋体" w:hAnsi="宋体"/>
                <w:color w:val="000000"/>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wBefore w:w="0" w:type="dxa"/>
          <w:wAfter w:w="0" w:type="dxa"/>
          <w:trHeight w:val="313" w:hRule="atLeast"/>
        </w:trPr>
        <w:tc>
          <w:tcPr>
            <w:tcW w:w="900" w:type="dxa"/>
            <w:noWrap w:val="0"/>
            <w:vAlign w:val="top"/>
          </w:tcPr>
          <w:p>
            <w:pPr>
              <w:adjustRightInd w:val="0"/>
              <w:snapToGrid w:val="0"/>
              <w:spacing w:line="360" w:lineRule="auto"/>
              <w:rPr>
                <w:rFonts w:hint="eastAsia" w:ascii="宋体" w:hAnsi="宋体"/>
                <w:color w:val="000000"/>
                <w:szCs w:val="21"/>
              </w:rPr>
            </w:pPr>
            <w:r>
              <w:rPr>
                <w:rFonts w:hint="eastAsia" w:ascii="宋体" w:hAnsi="宋体"/>
                <w:color w:val="000000"/>
                <w:szCs w:val="21"/>
              </w:rPr>
              <w:t>合计</w:t>
            </w:r>
          </w:p>
        </w:tc>
        <w:tc>
          <w:tcPr>
            <w:tcW w:w="2880" w:type="dxa"/>
            <w:noWrap w:val="0"/>
            <w:vAlign w:val="top"/>
          </w:tcPr>
          <w:p>
            <w:pPr>
              <w:adjustRightInd w:val="0"/>
              <w:snapToGrid w:val="0"/>
              <w:spacing w:line="360" w:lineRule="auto"/>
              <w:jc w:val="center"/>
              <w:rPr>
                <w:rFonts w:hint="eastAsia" w:ascii="宋体" w:hAnsi="宋体"/>
                <w:color w:val="000000"/>
                <w:szCs w:val="21"/>
              </w:rPr>
            </w:pPr>
          </w:p>
        </w:tc>
        <w:tc>
          <w:tcPr>
            <w:tcW w:w="900" w:type="dxa"/>
            <w:noWrap w:val="0"/>
            <w:vAlign w:val="top"/>
          </w:tcPr>
          <w:p>
            <w:pPr>
              <w:adjustRightInd w:val="0"/>
              <w:snapToGrid w:val="0"/>
              <w:spacing w:line="360" w:lineRule="auto"/>
              <w:jc w:val="center"/>
              <w:rPr>
                <w:rFonts w:hint="eastAsia" w:ascii="宋体" w:hAnsi="宋体"/>
                <w:color w:val="000000"/>
                <w:szCs w:val="21"/>
              </w:rPr>
            </w:pPr>
          </w:p>
        </w:tc>
        <w:tc>
          <w:tcPr>
            <w:tcW w:w="1080"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91.85</w:t>
            </w:r>
          </w:p>
        </w:tc>
        <w:tc>
          <w:tcPr>
            <w:tcW w:w="1260" w:type="dxa"/>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23</w:t>
            </w:r>
          </w:p>
        </w:tc>
        <w:tc>
          <w:tcPr>
            <w:tcW w:w="2175" w:type="dxa"/>
            <w:noWrap w:val="0"/>
            <w:vAlign w:val="top"/>
          </w:tcPr>
          <w:p>
            <w:pPr>
              <w:spacing w:line="360" w:lineRule="auto"/>
              <w:rPr>
                <w:rFonts w:hint="eastAsia" w:ascii="宋体" w:hAnsi="宋体"/>
                <w:color w:val="000000"/>
                <w:szCs w:val="21"/>
              </w:rPr>
            </w:pPr>
          </w:p>
        </w:tc>
      </w:tr>
    </w:tbl>
    <w:p>
      <w:pPr>
        <w:pStyle w:val="5"/>
        <w:rPr>
          <w:rFonts w:hint="eastAsia"/>
          <w:color w:val="000000"/>
        </w:rPr>
      </w:pPr>
      <w:bookmarkStart w:id="569" w:name="_Toc23000932"/>
      <w:r>
        <w:rPr>
          <w:rFonts w:hint="eastAsia"/>
          <w:color w:val="000000"/>
        </w:rPr>
        <w:t>6.3.1实施方案F24</w:t>
      </w:r>
      <w:r>
        <w:rPr>
          <w:rFonts w:hint="eastAsia" w:ascii="宋体" w:hAnsi="宋体"/>
          <w:color w:val="000000"/>
          <w:szCs w:val="21"/>
        </w:rPr>
        <w:t>完善选矿厂雨污分流系统</w:t>
      </w:r>
      <w:r>
        <w:rPr>
          <w:rFonts w:hint="eastAsia"/>
          <w:color w:val="000000"/>
        </w:rPr>
        <w:t>实施效益计算</w:t>
      </w:r>
      <w:bookmarkEnd w:id="569"/>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（1）经济效益:</w:t>
      </w:r>
    </w:p>
    <w:p>
      <w:pPr>
        <w:spacing w:line="360" w:lineRule="auto"/>
        <w:ind w:left="210" w:leftChars="100" w:firstLine="480" w:firstLineChars="200"/>
        <w:rPr>
          <w:rFonts w:hint="eastAsia"/>
          <w:color w:val="000000"/>
          <w:sz w:val="24"/>
        </w:rPr>
      </w:pPr>
      <w:r>
        <w:rPr>
          <w:rFonts w:hint="eastAsia" w:ascii="宋体" w:hAnsi="宋体"/>
          <w:color w:val="000000"/>
          <w:sz w:val="24"/>
        </w:rPr>
        <w:t>完善选矿厂雨污分流系统达到年节水25000吨，按吨水2元计算，年节省5万元，同时，通过理顺雨污分流系统，完善雨污水管网建设，加强水的循环使用，促进生产环节的良性循环，达到提高产能的目的，因而带来的效益年达10万元左右。</w:t>
      </w:r>
    </w:p>
    <w:p>
      <w:pPr>
        <w:spacing w:line="360" w:lineRule="auto"/>
        <w:ind w:firstLine="600" w:firstLineChars="250"/>
        <w:rPr>
          <w:rFonts w:ascii="Verdana" w:hAnsi="Verdana"/>
          <w:color w:val="000000"/>
          <w:kern w:val="0"/>
          <w:sz w:val="24"/>
          <w:szCs w:val="24"/>
        </w:rPr>
      </w:pPr>
      <w:bookmarkStart w:id="570" w:name="_Toc477356577"/>
      <w:r>
        <w:rPr>
          <w:rFonts w:ascii="Verdana" w:hAnsi="宋体"/>
          <w:color w:val="000000"/>
          <w:kern w:val="0"/>
          <w:sz w:val="24"/>
          <w:szCs w:val="24"/>
        </w:rPr>
        <w:t>（</w:t>
      </w:r>
      <w:r>
        <w:rPr>
          <w:rFonts w:ascii="Verdana" w:hAnsi="Verdana"/>
          <w:color w:val="000000"/>
          <w:kern w:val="0"/>
          <w:sz w:val="24"/>
          <w:szCs w:val="24"/>
        </w:rPr>
        <w:t>2</w:t>
      </w:r>
      <w:r>
        <w:rPr>
          <w:rFonts w:ascii="Verdana" w:hAnsi="宋体"/>
          <w:color w:val="000000"/>
          <w:kern w:val="0"/>
          <w:sz w:val="24"/>
          <w:szCs w:val="24"/>
        </w:rPr>
        <w:t>）环境效益：</w:t>
      </w:r>
    </w:p>
    <w:p>
      <w:pPr>
        <w:spacing w:line="360" w:lineRule="auto"/>
        <w:ind w:firstLine="600" w:firstLineChars="250"/>
        <w:rPr>
          <w:rFonts w:ascii="Verdana" w:hAnsi="Verdana"/>
          <w:color w:val="000000"/>
          <w:kern w:val="0"/>
          <w:sz w:val="24"/>
          <w:szCs w:val="24"/>
        </w:rPr>
      </w:pPr>
      <w:r>
        <w:rPr>
          <w:rFonts w:ascii="Verdana" w:hAnsi="宋体"/>
          <w:color w:val="000000"/>
          <w:kern w:val="0"/>
          <w:sz w:val="24"/>
          <w:szCs w:val="24"/>
        </w:rPr>
        <w:t>根据公司</w:t>
      </w:r>
      <w:r>
        <w:rPr>
          <w:rFonts w:ascii="Verdana" w:hAnsi="Verdana"/>
          <w:color w:val="000000"/>
          <w:kern w:val="0"/>
          <w:sz w:val="24"/>
          <w:szCs w:val="24"/>
        </w:rPr>
        <w:t>2018</w:t>
      </w:r>
      <w:r>
        <w:rPr>
          <w:rFonts w:ascii="Verdana" w:hAnsi="宋体"/>
          <w:color w:val="000000"/>
          <w:kern w:val="0"/>
          <w:sz w:val="24"/>
          <w:szCs w:val="24"/>
        </w:rPr>
        <w:t>年用水数据，</w:t>
      </w:r>
      <w:r>
        <w:rPr>
          <w:rFonts w:ascii="Verdana" w:hAnsi="Verdana"/>
          <w:color w:val="000000"/>
          <w:kern w:val="0"/>
          <w:sz w:val="24"/>
          <w:szCs w:val="24"/>
        </w:rPr>
        <w:t>2018</w:t>
      </w:r>
      <w:r>
        <w:rPr>
          <w:rFonts w:ascii="Verdana" w:hAnsi="宋体"/>
          <w:color w:val="000000"/>
          <w:kern w:val="0"/>
          <w:sz w:val="24"/>
          <w:szCs w:val="24"/>
        </w:rPr>
        <w:t>年选矿年用水量为</w:t>
      </w:r>
      <w:r>
        <w:rPr>
          <w:rFonts w:ascii="Verdana" w:hAnsi="Verdana"/>
          <w:color w:val="000000"/>
          <w:sz w:val="24"/>
          <w:szCs w:val="24"/>
        </w:rPr>
        <w:t>79312.7 m</w:t>
      </w:r>
      <w:r>
        <w:rPr>
          <w:rFonts w:ascii="Verdana" w:hAnsi="Verdana"/>
          <w:color w:val="000000"/>
          <w:sz w:val="24"/>
          <w:szCs w:val="24"/>
          <w:vertAlign w:val="superscript"/>
        </w:rPr>
        <w:t>3</w:t>
      </w:r>
      <w:r>
        <w:rPr>
          <w:rFonts w:ascii="Verdana" w:hAnsi="宋体"/>
          <w:color w:val="000000"/>
          <w:kern w:val="0"/>
          <w:sz w:val="24"/>
          <w:szCs w:val="24"/>
        </w:rPr>
        <w:t>，</w:t>
      </w:r>
      <w:r>
        <w:rPr>
          <w:rFonts w:ascii="Verdana" w:hAnsi="Verdana" w:cs="宋体"/>
          <w:color w:val="000000"/>
          <w:kern w:val="0"/>
          <w:sz w:val="24"/>
          <w:szCs w:val="24"/>
        </w:rPr>
        <w:t>原矿处理产量</w:t>
      </w:r>
      <w:r>
        <w:rPr>
          <w:rFonts w:ascii="Verdana" w:hAnsi="Verdana"/>
          <w:color w:val="000000"/>
          <w:sz w:val="24"/>
          <w:szCs w:val="24"/>
        </w:rPr>
        <w:t>53230</w:t>
      </w:r>
      <w:r>
        <w:rPr>
          <w:rFonts w:ascii="Verdana"/>
          <w:color w:val="000000"/>
          <w:sz w:val="24"/>
          <w:szCs w:val="24"/>
        </w:rPr>
        <w:t>吨</w:t>
      </w:r>
      <w:r>
        <w:rPr>
          <w:rFonts w:ascii="Verdana" w:hAnsi="Verdana" w:cs="宋体"/>
          <w:color w:val="000000"/>
          <w:kern w:val="0"/>
          <w:sz w:val="24"/>
          <w:szCs w:val="24"/>
        </w:rPr>
        <w:t>，单位</w:t>
      </w:r>
      <w:r>
        <w:rPr>
          <w:rFonts w:ascii="Verdana"/>
          <w:color w:val="000000"/>
          <w:sz w:val="24"/>
          <w:szCs w:val="24"/>
        </w:rPr>
        <w:t>新水用量</w:t>
      </w:r>
      <w:r>
        <w:rPr>
          <w:rFonts w:ascii="Verdana" w:hAnsi="Verdana"/>
          <w:color w:val="000000"/>
          <w:sz w:val="24"/>
          <w:szCs w:val="24"/>
        </w:rPr>
        <w:t>1.49m</w:t>
      </w:r>
      <w:r>
        <w:rPr>
          <w:rFonts w:ascii="Verdana" w:hAnsi="Verdana"/>
          <w:color w:val="000000"/>
          <w:sz w:val="24"/>
          <w:szCs w:val="24"/>
          <w:vertAlign w:val="superscript"/>
        </w:rPr>
        <w:t>3</w:t>
      </w:r>
      <w:r>
        <w:rPr>
          <w:rFonts w:ascii="Verdana" w:hAnsi="Verdana"/>
          <w:color w:val="000000"/>
          <w:sz w:val="24"/>
          <w:szCs w:val="24"/>
        </w:rPr>
        <w:t>/t</w:t>
      </w:r>
      <w:r>
        <w:rPr>
          <w:rFonts w:ascii="Verdana"/>
          <w:color w:val="000000"/>
          <w:sz w:val="24"/>
          <w:szCs w:val="24"/>
        </w:rPr>
        <w:t>原矿。</w:t>
      </w:r>
    </w:p>
    <w:p>
      <w:pPr>
        <w:spacing w:line="360" w:lineRule="auto"/>
        <w:ind w:firstLine="600" w:firstLineChars="250"/>
        <w:rPr>
          <w:rFonts w:ascii="Verdana" w:hAnsi="Verdana"/>
          <w:color w:val="000000"/>
          <w:kern w:val="0"/>
          <w:sz w:val="24"/>
          <w:szCs w:val="24"/>
        </w:rPr>
      </w:pPr>
      <w:r>
        <w:rPr>
          <w:rFonts w:ascii="Verdana" w:hAnsi="Verdana"/>
          <w:color w:val="000000"/>
          <w:kern w:val="0"/>
          <w:sz w:val="24"/>
          <w:szCs w:val="24"/>
        </w:rPr>
        <w:t>2019</w:t>
      </w:r>
      <w:r>
        <w:rPr>
          <w:rFonts w:ascii="Verdana" w:hAnsi="宋体"/>
          <w:color w:val="000000"/>
          <w:kern w:val="0"/>
          <w:sz w:val="24"/>
          <w:szCs w:val="24"/>
        </w:rPr>
        <w:t>年公司选矿用水量为</w:t>
      </w:r>
      <w:r>
        <w:rPr>
          <w:rFonts w:ascii="Verdana" w:hAnsi="Verdana"/>
          <w:color w:val="000000"/>
          <w:kern w:val="0"/>
          <w:sz w:val="24"/>
          <w:szCs w:val="24"/>
        </w:rPr>
        <w:t>563662</w:t>
      </w:r>
      <w:r>
        <w:rPr>
          <w:rFonts w:ascii="Verdana" w:hAnsi="宋体"/>
          <w:color w:val="000000"/>
          <w:kern w:val="0"/>
          <w:sz w:val="24"/>
          <w:szCs w:val="24"/>
        </w:rPr>
        <w:t>吨，原矿处理量</w:t>
      </w:r>
      <w:r>
        <w:rPr>
          <w:rFonts w:ascii="Verdana" w:hAnsi="Verdana"/>
          <w:color w:val="000000"/>
          <w:kern w:val="0"/>
          <w:sz w:val="24"/>
          <w:szCs w:val="24"/>
        </w:rPr>
        <w:t>41609.16</w:t>
      </w:r>
      <w:r>
        <w:rPr>
          <w:rFonts w:ascii="Verdana" w:hAnsi="宋体"/>
          <w:color w:val="000000"/>
          <w:kern w:val="0"/>
          <w:sz w:val="24"/>
          <w:szCs w:val="24"/>
        </w:rPr>
        <w:t>吨</w:t>
      </w:r>
      <w:r>
        <w:rPr>
          <w:rFonts w:ascii="Verdana" w:hAnsi="Verdana"/>
          <w:color w:val="000000"/>
          <w:kern w:val="0"/>
          <w:sz w:val="24"/>
          <w:szCs w:val="24"/>
        </w:rPr>
        <w:t xml:space="preserve">, </w:t>
      </w:r>
      <w:r>
        <w:rPr>
          <w:rFonts w:ascii="Verdana" w:hAnsi="宋体"/>
          <w:color w:val="000000"/>
          <w:kern w:val="0"/>
          <w:sz w:val="24"/>
          <w:szCs w:val="24"/>
        </w:rPr>
        <w:t>单位新水用量</w:t>
      </w:r>
      <w:r>
        <w:rPr>
          <w:rFonts w:ascii="Verdana" w:hAnsi="Verdana"/>
          <w:color w:val="000000"/>
          <w:kern w:val="0"/>
          <w:sz w:val="24"/>
          <w:szCs w:val="24"/>
        </w:rPr>
        <w:t>1.29 m</w:t>
      </w:r>
      <w:r>
        <w:rPr>
          <w:rFonts w:ascii="Verdana" w:hAnsi="Verdana"/>
          <w:color w:val="000000"/>
          <w:kern w:val="0"/>
          <w:sz w:val="24"/>
          <w:szCs w:val="24"/>
          <w:vertAlign w:val="superscript"/>
        </w:rPr>
        <w:t>3</w:t>
      </w:r>
      <w:r>
        <w:rPr>
          <w:rFonts w:ascii="Verdana" w:hAnsi="Verdana"/>
          <w:color w:val="000000"/>
          <w:kern w:val="0"/>
          <w:sz w:val="24"/>
          <w:szCs w:val="24"/>
        </w:rPr>
        <w:t>/t</w:t>
      </w:r>
      <w:r>
        <w:rPr>
          <w:rFonts w:ascii="Verdana" w:hAnsi="宋体"/>
          <w:color w:val="000000"/>
          <w:kern w:val="0"/>
          <w:sz w:val="24"/>
          <w:szCs w:val="24"/>
        </w:rPr>
        <w:t>原矿</w:t>
      </w:r>
      <w:r>
        <w:rPr>
          <w:rFonts w:ascii="Verdana" w:hAnsi="Verdana"/>
          <w:color w:val="000000"/>
          <w:kern w:val="0"/>
          <w:sz w:val="24"/>
          <w:szCs w:val="24"/>
        </w:rPr>
        <w:t>.</w:t>
      </w:r>
    </w:p>
    <w:p>
      <w:pPr>
        <w:spacing w:line="360" w:lineRule="auto"/>
        <w:ind w:firstLine="600" w:firstLineChars="250"/>
        <w:rPr>
          <w:rFonts w:ascii="Verdana" w:hAnsi="Verdana"/>
          <w:color w:val="000000"/>
          <w:kern w:val="0"/>
          <w:sz w:val="24"/>
          <w:szCs w:val="24"/>
        </w:rPr>
      </w:pPr>
      <w:r>
        <w:rPr>
          <w:rFonts w:ascii="Verdana" w:hAnsi="宋体"/>
          <w:color w:val="000000"/>
          <w:kern w:val="0"/>
          <w:sz w:val="24"/>
          <w:szCs w:val="24"/>
        </w:rPr>
        <w:t>审核前单位产品新水用量</w:t>
      </w:r>
      <w:r>
        <w:rPr>
          <w:rFonts w:ascii="Verdana" w:hAnsi="Verdana"/>
          <w:color w:val="000000"/>
          <w:kern w:val="0"/>
          <w:sz w:val="24"/>
          <w:szCs w:val="24"/>
        </w:rPr>
        <w:t>—</w:t>
      </w:r>
      <w:r>
        <w:rPr>
          <w:rFonts w:ascii="Verdana" w:hAnsi="宋体"/>
          <w:color w:val="000000"/>
          <w:kern w:val="0"/>
          <w:sz w:val="24"/>
          <w:szCs w:val="24"/>
        </w:rPr>
        <w:t>审核后单位产品新水用量</w:t>
      </w:r>
      <w:r>
        <w:rPr>
          <w:rFonts w:ascii="Verdana" w:hAnsi="Verdana"/>
          <w:color w:val="000000"/>
          <w:kern w:val="0"/>
          <w:sz w:val="24"/>
          <w:szCs w:val="24"/>
        </w:rPr>
        <w:t>=1.49-1.29=0.2(m</w:t>
      </w:r>
      <w:r>
        <w:rPr>
          <w:rFonts w:ascii="Verdana" w:hAnsi="Verdana"/>
          <w:color w:val="000000"/>
          <w:kern w:val="0"/>
          <w:sz w:val="24"/>
          <w:szCs w:val="24"/>
          <w:vertAlign w:val="superscript"/>
        </w:rPr>
        <w:t>3</w:t>
      </w:r>
      <w:r>
        <w:rPr>
          <w:rFonts w:ascii="Verdana" w:hAnsi="Verdana"/>
          <w:color w:val="000000"/>
          <w:kern w:val="0"/>
          <w:sz w:val="24"/>
          <w:szCs w:val="24"/>
        </w:rPr>
        <w:t>)</w:t>
      </w:r>
    </w:p>
    <w:p>
      <w:pPr>
        <w:spacing w:line="360" w:lineRule="auto"/>
        <w:ind w:firstLine="600" w:firstLineChars="250"/>
        <w:rPr>
          <w:rFonts w:ascii="Verdana" w:hAnsi="Verdana"/>
          <w:color w:val="000000"/>
          <w:kern w:val="0"/>
          <w:sz w:val="24"/>
          <w:szCs w:val="24"/>
        </w:rPr>
      </w:pPr>
      <w:r>
        <w:rPr>
          <w:rFonts w:ascii="Verdana" w:hAnsi="宋体"/>
          <w:color w:val="000000"/>
          <w:kern w:val="0"/>
          <w:sz w:val="24"/>
          <w:szCs w:val="24"/>
        </w:rPr>
        <w:t>根据近三年原矿处理量计算鲜水用量</w:t>
      </w:r>
      <w:r>
        <w:rPr>
          <w:rFonts w:ascii="Verdana" w:hAnsi="Verdana"/>
          <w:color w:val="000000"/>
          <w:kern w:val="0"/>
          <w:sz w:val="24"/>
          <w:szCs w:val="24"/>
        </w:rPr>
        <w:t>:</w:t>
      </w:r>
    </w:p>
    <w:p>
      <w:pPr>
        <w:spacing w:line="360" w:lineRule="auto"/>
        <w:ind w:firstLine="600" w:firstLineChars="250"/>
        <w:jc w:val="center"/>
        <w:rPr>
          <w:rFonts w:ascii="Verdana" w:hAnsi="Verdana"/>
          <w:color w:val="000000"/>
          <w:kern w:val="0"/>
          <w:sz w:val="24"/>
          <w:szCs w:val="24"/>
        </w:rPr>
      </w:pPr>
      <w:r>
        <w:rPr>
          <w:rFonts w:ascii="Verdana" w:hAnsi="Verdana"/>
          <w:color w:val="000000"/>
          <w:kern w:val="0"/>
          <w:sz w:val="24"/>
          <w:szCs w:val="24"/>
        </w:rPr>
        <w:t>54450+</w:t>
      </w:r>
      <w:r>
        <w:rPr>
          <w:rFonts w:ascii="Verdana" w:hAnsi="Verdana"/>
          <w:color w:val="000000"/>
          <w:sz w:val="24"/>
          <w:szCs w:val="24"/>
        </w:rPr>
        <w:t>72660+53230=180440=60146.67</w:t>
      </w:r>
    </w:p>
    <w:p>
      <w:pPr>
        <w:spacing w:line="360" w:lineRule="auto"/>
        <w:ind w:firstLine="600" w:firstLineChars="250"/>
        <w:jc w:val="center"/>
        <w:rPr>
          <w:rFonts w:ascii="Verdana" w:hAnsi="Verdana"/>
          <w:color w:val="000000"/>
          <w:kern w:val="0"/>
          <w:sz w:val="24"/>
          <w:szCs w:val="24"/>
        </w:rPr>
      </w:pPr>
      <w:r>
        <w:rPr>
          <w:rFonts w:ascii="Verdana" w:hAnsi="宋体"/>
          <w:color w:val="000000"/>
          <w:kern w:val="0"/>
          <w:sz w:val="24"/>
          <w:szCs w:val="24"/>
        </w:rPr>
        <w:t>年节水量</w:t>
      </w:r>
      <w:r>
        <w:rPr>
          <w:rFonts w:ascii="Verdana" w:hAnsi="Verdana"/>
          <w:color w:val="000000"/>
          <w:sz w:val="24"/>
          <w:szCs w:val="24"/>
        </w:rPr>
        <w:t>60146.67×0.2=12029</w:t>
      </w:r>
      <w:r>
        <w:rPr>
          <w:rFonts w:ascii="Verdana" w:hAnsi="Verdana"/>
          <w:color w:val="000000"/>
          <w:kern w:val="0"/>
          <w:sz w:val="24"/>
          <w:szCs w:val="24"/>
        </w:rPr>
        <w:t>(m</w:t>
      </w:r>
      <w:r>
        <w:rPr>
          <w:rFonts w:ascii="Verdana" w:hAnsi="Verdana"/>
          <w:color w:val="000000"/>
          <w:kern w:val="0"/>
          <w:sz w:val="24"/>
          <w:szCs w:val="24"/>
          <w:vertAlign w:val="superscript"/>
        </w:rPr>
        <w:t>3</w:t>
      </w:r>
      <w:r>
        <w:rPr>
          <w:rFonts w:ascii="Verdana" w:hAnsi="Verdana"/>
          <w:color w:val="000000"/>
          <w:kern w:val="0"/>
          <w:sz w:val="24"/>
          <w:szCs w:val="24"/>
        </w:rPr>
        <w:t>)</w:t>
      </w:r>
    </w:p>
    <w:p>
      <w:pPr>
        <w:spacing w:line="360" w:lineRule="auto"/>
        <w:ind w:firstLine="600" w:firstLineChars="250"/>
        <w:rPr>
          <w:rFonts w:ascii="Verdana" w:hAnsi="Verdana"/>
          <w:color w:val="000000"/>
          <w:kern w:val="0"/>
          <w:sz w:val="24"/>
          <w:szCs w:val="24"/>
        </w:rPr>
      </w:pPr>
      <w:r>
        <w:rPr>
          <w:rFonts w:ascii="Verdana" w:hAnsi="宋体"/>
          <w:color w:val="000000"/>
          <w:kern w:val="0"/>
          <w:sz w:val="24"/>
          <w:szCs w:val="24"/>
        </w:rPr>
        <w:t>项目年实际节水量</w:t>
      </w:r>
      <w:r>
        <w:rPr>
          <w:rFonts w:ascii="Verdana" w:hAnsi="Verdana"/>
          <w:color w:val="000000"/>
          <w:kern w:val="0"/>
          <w:sz w:val="24"/>
          <w:szCs w:val="24"/>
        </w:rPr>
        <w:t>12029m</w:t>
      </w:r>
      <w:r>
        <w:rPr>
          <w:rFonts w:ascii="Verdana" w:hAnsi="Verdana"/>
          <w:color w:val="000000"/>
          <w:kern w:val="0"/>
          <w:sz w:val="24"/>
          <w:szCs w:val="24"/>
          <w:vertAlign w:val="superscript"/>
        </w:rPr>
        <w:t>3</w:t>
      </w:r>
      <w:r>
        <w:rPr>
          <w:rFonts w:ascii="Verdana" w:hAnsi="宋体"/>
          <w:color w:val="000000"/>
          <w:kern w:val="0"/>
          <w:sz w:val="24"/>
          <w:szCs w:val="24"/>
        </w:rPr>
        <w:t>。</w:t>
      </w:r>
    </w:p>
    <w:p>
      <w:pPr>
        <w:pStyle w:val="5"/>
        <w:spacing w:before="120" w:after="120" w:afterLines="50" w:line="360" w:lineRule="auto"/>
        <w:rPr>
          <w:rFonts w:hint="eastAsia" w:ascii="宋体" w:hAnsi="宋体"/>
          <w:color w:val="000000"/>
          <w:sz w:val="28"/>
          <w:szCs w:val="28"/>
        </w:rPr>
      </w:pPr>
      <w:bookmarkStart w:id="571" w:name="_Toc23000933"/>
      <w:r>
        <w:rPr>
          <w:rFonts w:hint="eastAsia" w:ascii="宋体" w:hAnsi="宋体"/>
          <w:color w:val="000000"/>
          <w:sz w:val="28"/>
          <w:szCs w:val="28"/>
        </w:rPr>
        <w:t>6.3.2实施方案F25</w:t>
      </w:r>
      <w:r>
        <w:rPr>
          <w:rFonts w:hint="eastAsia" w:ascii="宋体" w:hAnsi="宋体"/>
          <w:color w:val="000000"/>
          <w:szCs w:val="21"/>
        </w:rPr>
        <w:t>精矿库维护改造</w:t>
      </w:r>
      <w:r>
        <w:rPr>
          <w:rFonts w:hint="eastAsia" w:ascii="宋体" w:hAnsi="宋体"/>
          <w:color w:val="000000"/>
          <w:sz w:val="28"/>
          <w:szCs w:val="28"/>
        </w:rPr>
        <w:t>效益计算</w:t>
      </w:r>
      <w:bookmarkEnd w:id="570"/>
      <w:bookmarkEnd w:id="571"/>
    </w:p>
    <w:bookmarkEnd w:id="562"/>
    <w:p>
      <w:pPr>
        <w:pStyle w:val="5"/>
        <w:spacing w:before="120" w:after="120" w:afterLines="50" w:line="360" w:lineRule="auto"/>
        <w:rPr>
          <w:rFonts w:hint="eastAsia" w:ascii="宋体" w:hAnsi="宋体"/>
          <w:color w:val="000000"/>
          <w:kern w:val="0"/>
          <w:sz w:val="24"/>
          <w:szCs w:val="24"/>
        </w:rPr>
      </w:pPr>
      <w:bookmarkStart w:id="572" w:name="_Toc22938209"/>
      <w:bookmarkStart w:id="573" w:name="_Toc23000934"/>
      <w:r>
        <w:rPr>
          <w:rFonts w:hint="eastAsia" w:ascii="宋体" w:hAnsi="宋体"/>
          <w:color w:val="000000"/>
          <w:kern w:val="0"/>
          <w:sz w:val="24"/>
          <w:szCs w:val="24"/>
        </w:rPr>
        <w:t>6.3.2.1经济效益:</w:t>
      </w:r>
      <w:bookmarkEnd w:id="572"/>
      <w:bookmarkEnd w:id="573"/>
    </w:p>
    <w:p>
      <w:pPr>
        <w:spacing w:line="360" w:lineRule="auto"/>
        <w:ind w:left="210" w:leftChars="100" w:firstLine="480" w:firstLineChars="200"/>
        <w:rPr>
          <w:color w:val="000000"/>
          <w:sz w:val="24"/>
        </w:rPr>
      </w:pPr>
      <w:r>
        <w:rPr>
          <w:rFonts w:hint="eastAsia"/>
          <w:color w:val="000000"/>
          <w:sz w:val="24"/>
        </w:rPr>
        <w:t>精矿库维护改造，减少精矿的流失，促进生产各环节的发展，年间接效益约为8万元。</w:t>
      </w:r>
    </w:p>
    <w:p>
      <w:pPr>
        <w:spacing w:line="360" w:lineRule="auto"/>
        <w:ind w:firstLine="600" w:firstLineChars="250"/>
        <w:rPr>
          <w:rFonts w:hint="eastAsia" w:ascii="宋体" w:hAnsi="宋体"/>
          <w:color w:val="000000"/>
          <w:kern w:val="0"/>
          <w:sz w:val="24"/>
          <w:szCs w:val="24"/>
        </w:rPr>
      </w:pPr>
      <w:r>
        <w:rPr>
          <w:rFonts w:hint="eastAsia" w:ascii="宋体" w:hAnsi="宋体"/>
          <w:color w:val="000000"/>
          <w:kern w:val="0"/>
          <w:sz w:val="24"/>
          <w:szCs w:val="24"/>
        </w:rPr>
        <w:t>6.3.2.2环境效益:</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本项目主要加强精矿管理，减少因自然因素对精矿库的影，减少雨污水进入精库区，对库区地面进行防水防渗及维护修复后，避免精矿随污水渗入地下，一方面减少精矿损失，同时减少重金属对地下水、地表水和周边环境的危害，防止重金属污染。</w:t>
      </w:r>
    </w:p>
    <w:p>
      <w:pPr>
        <w:pStyle w:val="4"/>
        <w:rPr>
          <w:rFonts w:hint="eastAsia"/>
          <w:color w:val="000000"/>
        </w:rPr>
      </w:pPr>
      <w:bookmarkStart w:id="574" w:name="_Toc433986952"/>
      <w:bookmarkStart w:id="575" w:name="_Toc427653807"/>
      <w:bookmarkStart w:id="576" w:name="_Toc23000935"/>
      <w:r>
        <w:rPr>
          <w:rFonts w:hint="eastAsia"/>
          <w:color w:val="000000"/>
        </w:rPr>
        <w:t>6.4已实施的清洁生产方案对企业的影响分析</w:t>
      </w:r>
      <w:bookmarkEnd w:id="574"/>
      <w:bookmarkEnd w:id="575"/>
      <w:bookmarkEnd w:id="576"/>
    </w:p>
    <w:p>
      <w:pPr>
        <w:pStyle w:val="5"/>
        <w:rPr>
          <w:rFonts w:hint="eastAsia"/>
          <w:color w:val="000000"/>
        </w:rPr>
      </w:pPr>
      <w:bookmarkStart w:id="577" w:name="_Toc287917986"/>
      <w:bookmarkStart w:id="578" w:name="_Toc296604669"/>
      <w:bookmarkStart w:id="579" w:name="_Toc427653808"/>
      <w:bookmarkStart w:id="580" w:name="_Toc433986953"/>
      <w:bookmarkStart w:id="581" w:name="_Toc23000936"/>
      <w:bookmarkStart w:id="582" w:name="_Toc295832069"/>
      <w:bookmarkStart w:id="583" w:name="_Toc295835724"/>
      <w:bookmarkStart w:id="584" w:name="_Toc287917987"/>
      <w:r>
        <w:rPr>
          <w:rFonts w:hint="eastAsia"/>
          <w:color w:val="000000"/>
        </w:rPr>
        <w:t>6.4.1已实施的方案实施前后经济效益和环境效果</w:t>
      </w:r>
      <w:bookmarkEnd w:id="577"/>
      <w:bookmarkEnd w:id="578"/>
      <w:bookmarkEnd w:id="579"/>
      <w:bookmarkEnd w:id="580"/>
      <w:bookmarkEnd w:id="581"/>
    </w:p>
    <w:p>
      <w:pPr>
        <w:pStyle w:val="14"/>
        <w:tabs>
          <w:tab w:val="left" w:pos="0"/>
        </w:tabs>
        <w:spacing w:after="0" w:line="360" w:lineRule="auto"/>
        <w:ind w:left="0" w:leftChars="0" w:firstLine="480" w:firstLineChars="200"/>
        <w:rPr>
          <w:rFonts w:ascii="宋体" w:hAnsi="宋体" w:cs="宋体"/>
          <w:color w:val="000000"/>
          <w:sz w:val="24"/>
          <w:szCs w:val="24"/>
        </w:rPr>
      </w:pPr>
      <w:r>
        <w:rPr>
          <w:rFonts w:hint="eastAsia" w:ascii="宋体" w:hAnsi="宋体" w:cs="宋体"/>
          <w:color w:val="000000"/>
          <w:sz w:val="24"/>
          <w:szCs w:val="24"/>
        </w:rPr>
        <w:t>清洁生产审核共实施29个方案，其中无/低费方案27个，中/高费方2个。无/低费方案投入资金</w:t>
      </w:r>
      <w:r>
        <w:rPr>
          <w:rFonts w:hint="eastAsia" w:ascii="宋体" w:hAnsi="宋体"/>
          <w:color w:val="000000"/>
          <w:sz w:val="24"/>
          <w:szCs w:val="24"/>
        </w:rPr>
        <w:t>23．884</w:t>
      </w:r>
      <w:r>
        <w:rPr>
          <w:rFonts w:hint="eastAsia" w:ascii="宋体" w:hAnsi="宋体" w:cs="宋体"/>
          <w:color w:val="000000"/>
          <w:sz w:val="24"/>
          <w:szCs w:val="24"/>
        </w:rPr>
        <w:t>万元，实现经济效益</w:t>
      </w:r>
      <w:r>
        <w:rPr>
          <w:rFonts w:hint="eastAsia" w:ascii="宋体" w:hAnsi="宋体"/>
          <w:color w:val="000000"/>
          <w:sz w:val="24"/>
          <w:szCs w:val="24"/>
        </w:rPr>
        <w:t>8．69</w:t>
      </w:r>
      <w:r>
        <w:rPr>
          <w:rFonts w:hint="eastAsia" w:ascii="宋体" w:hAnsi="宋体" w:cs="宋体"/>
          <w:color w:val="000000"/>
          <w:sz w:val="24"/>
          <w:szCs w:val="24"/>
        </w:rPr>
        <w:t>万元/年；中/高费方案投入资金</w:t>
      </w:r>
      <w:r>
        <w:rPr>
          <w:rFonts w:hint="eastAsia" w:ascii="宋体" w:hAnsi="宋体"/>
          <w:color w:val="000000"/>
          <w:sz w:val="24"/>
          <w:szCs w:val="24"/>
        </w:rPr>
        <w:t>91.85</w:t>
      </w:r>
      <w:r>
        <w:rPr>
          <w:rFonts w:hint="eastAsia" w:ascii="宋体" w:hAnsi="宋体" w:cs="宋体"/>
          <w:color w:val="000000"/>
          <w:sz w:val="24"/>
          <w:szCs w:val="24"/>
        </w:rPr>
        <w:t>万元，实现经济效益</w:t>
      </w:r>
      <w:r>
        <w:rPr>
          <w:rFonts w:hint="eastAsia" w:ascii="宋体" w:hAnsi="宋体"/>
          <w:color w:val="000000"/>
          <w:sz w:val="24"/>
          <w:szCs w:val="24"/>
        </w:rPr>
        <w:t>23</w:t>
      </w:r>
      <w:r>
        <w:rPr>
          <w:rFonts w:hint="eastAsia" w:ascii="宋体" w:hAnsi="宋体" w:cs="宋体"/>
          <w:color w:val="000000"/>
          <w:sz w:val="24"/>
          <w:szCs w:val="24"/>
        </w:rPr>
        <w:t>万元/年，合计投资115.73万元,取得经济效益</w:t>
      </w:r>
      <w:r>
        <w:rPr>
          <w:rFonts w:hint="eastAsia" w:ascii="宋体" w:hAnsi="宋体"/>
          <w:color w:val="000000"/>
          <w:sz w:val="24"/>
          <w:szCs w:val="24"/>
        </w:rPr>
        <w:t>31.69</w:t>
      </w:r>
      <w:r>
        <w:rPr>
          <w:rFonts w:hint="eastAsia" w:ascii="宋体" w:hAnsi="宋体" w:cs="宋体"/>
          <w:color w:val="000000"/>
          <w:sz w:val="24"/>
          <w:szCs w:val="24"/>
        </w:rPr>
        <w:t>万元/年。同时节电2800千瓦时/年，</w:t>
      </w:r>
      <w:r>
        <w:rPr>
          <w:rFonts w:hint="eastAsia" w:ascii="宋体" w:hAnsi="宋体"/>
          <w:color w:val="000000"/>
          <w:sz w:val="24"/>
          <w:szCs w:val="24"/>
        </w:rPr>
        <w:t>节水13279立方米/年</w:t>
      </w:r>
      <w:r>
        <w:rPr>
          <w:rFonts w:hint="eastAsia" w:ascii="宋体" w:hAnsi="宋体" w:cs="宋体"/>
          <w:color w:val="000000"/>
          <w:sz w:val="24"/>
          <w:szCs w:val="24"/>
        </w:rPr>
        <w:t>。方案经济效益和环境效益汇总情况详见表6-5。</w:t>
      </w:r>
    </w:p>
    <w:p>
      <w:pPr>
        <w:jc w:val="center"/>
        <w:rPr>
          <w:rFonts w:hint="eastAsia" w:ascii="宋体" w:hAnsi="宋体"/>
          <w:b/>
          <w:color w:val="000000"/>
          <w:sz w:val="24"/>
        </w:rPr>
      </w:pPr>
      <w:r>
        <w:rPr>
          <w:rFonts w:hint="eastAsia" w:ascii="宋体" w:hAnsi="宋体"/>
          <w:b/>
          <w:color w:val="000000"/>
          <w:sz w:val="24"/>
        </w:rPr>
        <w:t>表6-5   清洁生产方案效益汇总表</w:t>
      </w:r>
    </w:p>
    <w:tbl>
      <w:tblPr>
        <w:tblStyle w:val="3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57"/>
        <w:gridCol w:w="1866"/>
        <w:gridCol w:w="1861"/>
        <w:gridCol w:w="1904"/>
        <w:gridCol w:w="17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57"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方案</w:t>
            </w:r>
          </w:p>
        </w:tc>
        <w:tc>
          <w:tcPr>
            <w:tcW w:w="1866"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投资</w:t>
            </w:r>
          </w:p>
          <w:p>
            <w:pPr>
              <w:spacing w:line="320" w:lineRule="exact"/>
              <w:jc w:val="center"/>
              <w:rPr>
                <w:rFonts w:hint="eastAsia" w:ascii="宋体" w:hAnsi="宋体"/>
                <w:color w:val="000000"/>
                <w:szCs w:val="21"/>
              </w:rPr>
            </w:pPr>
            <w:r>
              <w:rPr>
                <w:rFonts w:hint="eastAsia" w:ascii="宋体" w:hAnsi="宋体"/>
                <w:color w:val="000000"/>
                <w:szCs w:val="21"/>
              </w:rPr>
              <w:t>（万元）</w:t>
            </w:r>
          </w:p>
        </w:tc>
        <w:tc>
          <w:tcPr>
            <w:tcW w:w="18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经济效益</w:t>
            </w:r>
          </w:p>
          <w:p>
            <w:pPr>
              <w:spacing w:line="320" w:lineRule="exact"/>
              <w:jc w:val="center"/>
              <w:rPr>
                <w:rFonts w:hint="eastAsia" w:ascii="宋体" w:hAnsi="宋体"/>
                <w:color w:val="000000"/>
                <w:szCs w:val="21"/>
              </w:rPr>
            </w:pPr>
            <w:r>
              <w:rPr>
                <w:rFonts w:hint="eastAsia" w:ascii="宋体" w:hAnsi="宋体"/>
                <w:color w:val="000000"/>
                <w:szCs w:val="21"/>
              </w:rPr>
              <w:t>（万元/年）</w:t>
            </w:r>
          </w:p>
        </w:tc>
        <w:tc>
          <w:tcPr>
            <w:tcW w:w="3702" w:type="dxa"/>
            <w:gridSpan w:val="2"/>
            <w:noWrap w:val="0"/>
            <w:vAlign w:val="top"/>
          </w:tcPr>
          <w:p>
            <w:pPr>
              <w:jc w:val="center"/>
              <w:rPr>
                <w:rFonts w:hint="eastAsia" w:ascii="宋体" w:hAnsi="宋体"/>
                <w:b/>
                <w:color w:val="000000"/>
                <w:sz w:val="24"/>
              </w:rPr>
            </w:pPr>
            <w:r>
              <w:rPr>
                <w:rFonts w:hint="eastAsia" w:ascii="宋体" w:hAnsi="宋体"/>
                <w:color w:val="000000"/>
                <w:szCs w:val="21"/>
              </w:rPr>
              <w:t>环境效益和节能效益（年）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57" w:type="dxa"/>
            <w:noWrap w:val="0"/>
            <w:vAlign w:val="top"/>
          </w:tcPr>
          <w:p>
            <w:pPr>
              <w:spacing w:line="320" w:lineRule="exact"/>
              <w:rPr>
                <w:rFonts w:hint="eastAsia" w:ascii="宋体" w:hAnsi="宋体"/>
                <w:color w:val="000000"/>
                <w:szCs w:val="21"/>
              </w:rPr>
            </w:pPr>
            <w:r>
              <w:rPr>
                <w:rFonts w:hint="eastAsia" w:ascii="宋体" w:hAnsi="宋体"/>
                <w:color w:val="000000"/>
                <w:szCs w:val="21"/>
              </w:rPr>
              <w:t>无/低费方案</w:t>
            </w:r>
          </w:p>
        </w:tc>
        <w:tc>
          <w:tcPr>
            <w:tcW w:w="1866" w:type="dxa"/>
            <w:noWrap w:val="0"/>
            <w:vAlign w:val="center"/>
          </w:tcPr>
          <w:p>
            <w:pPr>
              <w:widowControl/>
              <w:spacing w:line="320" w:lineRule="exact"/>
              <w:jc w:val="center"/>
              <w:rPr>
                <w:rFonts w:hint="eastAsia" w:ascii="宋体" w:hAnsi="宋体" w:cs="宋体"/>
                <w:color w:val="000000"/>
                <w:szCs w:val="21"/>
              </w:rPr>
            </w:pPr>
            <w:r>
              <w:rPr>
                <w:rFonts w:hint="eastAsia" w:ascii="宋体" w:hAnsi="宋体"/>
                <w:color w:val="000000"/>
                <w:szCs w:val="21"/>
              </w:rPr>
              <w:t>23．88</w:t>
            </w:r>
          </w:p>
        </w:tc>
        <w:tc>
          <w:tcPr>
            <w:tcW w:w="1861"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8.69</w:t>
            </w:r>
          </w:p>
        </w:tc>
        <w:tc>
          <w:tcPr>
            <w:tcW w:w="1904" w:type="dxa"/>
            <w:noWrap w:val="0"/>
            <w:vAlign w:val="top"/>
          </w:tcPr>
          <w:p>
            <w:pPr>
              <w:rPr>
                <w:rFonts w:hint="eastAsia" w:ascii="宋体" w:hAnsi="宋体"/>
                <w:color w:val="000000"/>
                <w:szCs w:val="21"/>
              </w:rPr>
            </w:pPr>
            <w:r>
              <w:rPr>
                <w:rFonts w:hint="eastAsia" w:ascii="宋体" w:hAnsi="宋体"/>
                <w:color w:val="000000"/>
                <w:szCs w:val="21"/>
              </w:rPr>
              <w:t>年节电(千瓦时)</w:t>
            </w:r>
          </w:p>
        </w:tc>
        <w:tc>
          <w:tcPr>
            <w:tcW w:w="1798" w:type="dxa"/>
            <w:noWrap w:val="0"/>
            <w:vAlign w:val="top"/>
          </w:tcPr>
          <w:p>
            <w:pPr>
              <w:jc w:val="center"/>
              <w:rPr>
                <w:rFonts w:hint="eastAsia" w:ascii="宋体" w:hAnsi="宋体"/>
                <w:color w:val="000000"/>
                <w:szCs w:val="21"/>
              </w:rPr>
            </w:pPr>
            <w:r>
              <w:rPr>
                <w:rFonts w:hint="eastAsia" w:ascii="宋体" w:hAnsi="宋体"/>
                <w:color w:val="000000"/>
                <w:szCs w:val="21"/>
              </w:rPr>
              <w:t>2800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57" w:type="dxa"/>
            <w:noWrap w:val="0"/>
            <w:vAlign w:val="top"/>
          </w:tcPr>
          <w:p>
            <w:pPr>
              <w:spacing w:line="320" w:lineRule="exact"/>
              <w:rPr>
                <w:rFonts w:hint="eastAsia" w:ascii="宋体" w:hAnsi="宋体"/>
                <w:color w:val="000000"/>
                <w:szCs w:val="21"/>
              </w:rPr>
            </w:pPr>
            <w:r>
              <w:rPr>
                <w:rFonts w:hint="eastAsia" w:ascii="宋体" w:hAnsi="宋体"/>
                <w:color w:val="000000"/>
                <w:szCs w:val="21"/>
              </w:rPr>
              <w:t>中/高费方案</w:t>
            </w:r>
          </w:p>
        </w:tc>
        <w:tc>
          <w:tcPr>
            <w:tcW w:w="1866" w:type="dxa"/>
            <w:noWrap w:val="0"/>
            <w:vAlign w:val="top"/>
          </w:tcPr>
          <w:p>
            <w:pPr>
              <w:adjustRightInd w:val="0"/>
              <w:snapToGrid w:val="0"/>
              <w:spacing w:line="340" w:lineRule="exact"/>
              <w:jc w:val="center"/>
              <w:rPr>
                <w:rFonts w:hint="eastAsia" w:ascii="宋体" w:hAnsi="宋体"/>
                <w:color w:val="000000"/>
                <w:szCs w:val="21"/>
              </w:rPr>
            </w:pPr>
            <w:r>
              <w:rPr>
                <w:rFonts w:hint="eastAsia" w:ascii="宋体" w:hAnsi="宋体"/>
                <w:color w:val="000000"/>
                <w:szCs w:val="21"/>
              </w:rPr>
              <w:t>91.85</w:t>
            </w:r>
          </w:p>
        </w:tc>
        <w:tc>
          <w:tcPr>
            <w:tcW w:w="1861" w:type="dxa"/>
            <w:noWrap w:val="0"/>
            <w:vAlign w:val="top"/>
          </w:tcPr>
          <w:p>
            <w:pPr>
              <w:spacing w:line="280" w:lineRule="exact"/>
              <w:jc w:val="center"/>
              <w:rPr>
                <w:rFonts w:hint="eastAsia" w:ascii="宋体" w:hAnsi="宋体"/>
                <w:color w:val="000000"/>
                <w:szCs w:val="21"/>
              </w:rPr>
            </w:pPr>
            <w:r>
              <w:rPr>
                <w:rFonts w:hint="eastAsia" w:ascii="宋体" w:hAnsi="宋体"/>
                <w:color w:val="000000"/>
                <w:szCs w:val="21"/>
              </w:rPr>
              <w:t>23</w:t>
            </w:r>
          </w:p>
        </w:tc>
        <w:tc>
          <w:tcPr>
            <w:tcW w:w="1904" w:type="dxa"/>
            <w:noWrap w:val="0"/>
            <w:vAlign w:val="top"/>
          </w:tcPr>
          <w:p>
            <w:pPr>
              <w:rPr>
                <w:rFonts w:hint="eastAsia" w:ascii="宋体" w:hAnsi="宋体"/>
                <w:color w:val="000000"/>
                <w:szCs w:val="21"/>
              </w:rPr>
            </w:pPr>
            <w:r>
              <w:rPr>
                <w:rFonts w:hint="eastAsia" w:ascii="宋体" w:hAnsi="宋体"/>
                <w:color w:val="000000"/>
                <w:szCs w:val="21"/>
              </w:rPr>
              <w:t>年节水（立方米）</w:t>
            </w:r>
          </w:p>
        </w:tc>
        <w:tc>
          <w:tcPr>
            <w:tcW w:w="1798" w:type="dxa"/>
            <w:noWrap w:val="0"/>
            <w:vAlign w:val="top"/>
          </w:tcPr>
          <w:p>
            <w:pPr>
              <w:jc w:val="center"/>
              <w:rPr>
                <w:rFonts w:hint="eastAsia" w:ascii="宋体" w:hAnsi="宋体"/>
                <w:color w:val="000000"/>
                <w:szCs w:val="21"/>
              </w:rPr>
            </w:pPr>
            <w:r>
              <w:rPr>
                <w:rFonts w:hint="eastAsia" w:ascii="宋体" w:hAnsi="宋体"/>
                <w:color w:val="000000"/>
                <w:szCs w:val="21"/>
              </w:rPr>
              <w:t>13279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Pr>
        <w:tc>
          <w:tcPr>
            <w:tcW w:w="1857" w:type="dxa"/>
            <w:noWrap w:val="0"/>
            <w:vAlign w:val="top"/>
          </w:tcPr>
          <w:p>
            <w:pPr>
              <w:spacing w:line="320" w:lineRule="exact"/>
              <w:rPr>
                <w:rFonts w:hint="eastAsia" w:ascii="宋体" w:hAnsi="宋体"/>
                <w:color w:val="000000"/>
                <w:szCs w:val="21"/>
              </w:rPr>
            </w:pPr>
            <w:r>
              <w:rPr>
                <w:rFonts w:hint="eastAsia" w:ascii="宋体" w:hAnsi="宋体"/>
                <w:color w:val="000000"/>
                <w:szCs w:val="21"/>
              </w:rPr>
              <w:t>合计(29)</w:t>
            </w:r>
          </w:p>
        </w:tc>
        <w:tc>
          <w:tcPr>
            <w:tcW w:w="1866"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115.73</w:t>
            </w:r>
          </w:p>
        </w:tc>
        <w:tc>
          <w:tcPr>
            <w:tcW w:w="1861" w:type="dxa"/>
            <w:noWrap w:val="0"/>
            <w:vAlign w:val="top"/>
          </w:tcPr>
          <w:p>
            <w:pPr>
              <w:spacing w:line="320" w:lineRule="exact"/>
              <w:jc w:val="center"/>
              <w:rPr>
                <w:rFonts w:hint="eastAsia" w:ascii="宋体" w:hAnsi="宋体"/>
                <w:color w:val="000000"/>
                <w:szCs w:val="21"/>
              </w:rPr>
            </w:pPr>
            <w:r>
              <w:rPr>
                <w:rFonts w:hint="eastAsia" w:ascii="宋体" w:hAnsi="宋体"/>
                <w:color w:val="000000"/>
                <w:szCs w:val="21"/>
              </w:rPr>
              <w:t>31.69</w:t>
            </w:r>
          </w:p>
        </w:tc>
        <w:tc>
          <w:tcPr>
            <w:tcW w:w="1904" w:type="dxa"/>
            <w:noWrap w:val="0"/>
            <w:vAlign w:val="top"/>
          </w:tcPr>
          <w:p>
            <w:pPr>
              <w:spacing w:line="320" w:lineRule="exact"/>
              <w:rPr>
                <w:rFonts w:hint="eastAsia" w:ascii="宋体" w:hAnsi="宋体"/>
                <w:color w:val="000000"/>
                <w:szCs w:val="21"/>
              </w:rPr>
            </w:pPr>
          </w:p>
        </w:tc>
        <w:tc>
          <w:tcPr>
            <w:tcW w:w="1798" w:type="dxa"/>
            <w:noWrap w:val="0"/>
            <w:vAlign w:val="top"/>
          </w:tcPr>
          <w:p>
            <w:pPr>
              <w:spacing w:line="320" w:lineRule="exact"/>
              <w:jc w:val="center"/>
              <w:rPr>
                <w:rFonts w:hint="eastAsia" w:ascii="宋体" w:hAnsi="宋体"/>
                <w:color w:val="000000"/>
                <w:szCs w:val="21"/>
              </w:rPr>
            </w:pPr>
          </w:p>
        </w:tc>
      </w:tr>
      <w:bookmarkEnd w:id="582"/>
      <w:bookmarkEnd w:id="583"/>
      <w:bookmarkEnd w:id="584"/>
    </w:tbl>
    <w:p>
      <w:pPr>
        <w:pStyle w:val="5"/>
        <w:rPr>
          <w:rFonts w:hint="eastAsia"/>
          <w:color w:val="000000"/>
        </w:rPr>
      </w:pPr>
      <w:bookmarkStart w:id="585" w:name="_Toc427653809"/>
      <w:bookmarkStart w:id="586" w:name="_Toc433986954"/>
      <w:bookmarkStart w:id="587" w:name="_Toc23000937"/>
      <w:r>
        <w:rPr>
          <w:rFonts w:hint="eastAsia"/>
          <w:color w:val="000000"/>
        </w:rPr>
        <w:t>6.4.2 清洁生产目标的完成情况</w:t>
      </w:r>
      <w:bookmarkEnd w:id="585"/>
      <w:bookmarkEnd w:id="586"/>
      <w:bookmarkEnd w:id="587"/>
    </w:p>
    <w:p>
      <w:pPr>
        <w:spacing w:line="360" w:lineRule="auto"/>
        <w:ind w:firstLine="556"/>
        <w:rPr>
          <w:rFonts w:hint="eastAsia" w:ascii="宋体" w:hAnsi="宋体"/>
          <w:color w:val="000000"/>
          <w:sz w:val="24"/>
        </w:rPr>
      </w:pPr>
      <w:bookmarkStart w:id="588" w:name="_Toc287917988"/>
      <w:r>
        <w:rPr>
          <w:rFonts w:hint="eastAsia" w:ascii="宋体" w:hAnsi="宋体"/>
          <w:color w:val="000000"/>
          <w:sz w:val="24"/>
        </w:rPr>
        <w:t>6.4.2.1目标完成情况</w:t>
      </w:r>
    </w:p>
    <w:p>
      <w:pPr>
        <w:spacing w:line="360" w:lineRule="auto"/>
        <w:ind w:firstLine="556"/>
        <w:rPr>
          <w:rFonts w:hint="eastAsia" w:ascii="宋体" w:hAnsi="宋体"/>
          <w:color w:val="000000"/>
          <w:sz w:val="24"/>
        </w:rPr>
      </w:pPr>
      <w:r>
        <w:rPr>
          <w:rFonts w:hint="eastAsia" w:ascii="宋体" w:hAnsi="宋体"/>
          <w:color w:val="000000"/>
          <w:sz w:val="24"/>
        </w:rPr>
        <w:t>通过本轮的清洁生产审核，审核小组对清洁生产方案实施效果总结，同时根据预审核阶段提出的清洁生产审核目标进行完成情况对比，审核后依据项目实施达到的实际减排效果，统计了2019年10月以后方案实施完成的生产数据和环保相关数据，清洁生产目标完成的情况，列于表6-6。</w:t>
      </w:r>
    </w:p>
    <w:p>
      <w:pPr>
        <w:spacing w:line="360" w:lineRule="auto"/>
        <w:ind w:firstLine="482" w:firstLineChars="200"/>
        <w:jc w:val="center"/>
        <w:rPr>
          <w:rFonts w:hint="eastAsia" w:ascii="宋体" w:hAnsi="宋体"/>
          <w:b/>
          <w:color w:val="000000"/>
          <w:sz w:val="24"/>
          <w:szCs w:val="24"/>
        </w:rPr>
      </w:pPr>
      <w:r>
        <w:rPr>
          <w:rFonts w:hint="eastAsia" w:ascii="宋体" w:hAnsi="宋体"/>
          <w:b/>
          <w:color w:val="000000"/>
          <w:sz w:val="24"/>
          <w:szCs w:val="24"/>
        </w:rPr>
        <w:t>表6—6  清洁生产近期目标完成情况表</w:t>
      </w:r>
    </w:p>
    <w:tbl>
      <w:tblPr>
        <w:tblStyle w:val="35"/>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98"/>
        <w:gridCol w:w="1776"/>
        <w:gridCol w:w="1260"/>
        <w:gridCol w:w="1388"/>
        <w:gridCol w:w="1620"/>
        <w:gridCol w:w="1260"/>
        <w:gridCol w:w="126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556" w:hRule="atLeast"/>
          <w:tblHeader/>
          <w:jc w:val="center"/>
        </w:trPr>
        <w:tc>
          <w:tcPr>
            <w:tcW w:w="698" w:type="dxa"/>
            <w:vMerge w:val="restart"/>
            <w:noWrap w:val="0"/>
            <w:vAlign w:val="top"/>
          </w:tcPr>
          <w:p>
            <w:pPr>
              <w:jc w:val="center"/>
              <w:rPr>
                <w:rFonts w:hint="eastAsia" w:ascii="宋体" w:hAnsi="宋体"/>
                <w:color w:val="000000"/>
                <w:szCs w:val="21"/>
              </w:rPr>
            </w:pPr>
          </w:p>
          <w:p>
            <w:pPr>
              <w:jc w:val="center"/>
              <w:rPr>
                <w:rFonts w:hint="eastAsia" w:ascii="宋体" w:hAnsi="宋体"/>
                <w:color w:val="000000"/>
                <w:szCs w:val="21"/>
              </w:rPr>
            </w:pPr>
            <w:r>
              <w:rPr>
                <w:rFonts w:hint="eastAsia" w:ascii="宋体" w:hAnsi="宋体"/>
                <w:color w:val="000000"/>
                <w:szCs w:val="21"/>
              </w:rPr>
              <w:t>序号</w:t>
            </w:r>
          </w:p>
        </w:tc>
        <w:tc>
          <w:tcPr>
            <w:tcW w:w="1776" w:type="dxa"/>
            <w:vMerge w:val="restart"/>
            <w:noWrap w:val="0"/>
            <w:vAlign w:val="center"/>
          </w:tcPr>
          <w:p>
            <w:pPr>
              <w:jc w:val="center"/>
              <w:rPr>
                <w:rFonts w:ascii="宋体" w:hAnsi="宋体"/>
                <w:color w:val="000000"/>
                <w:szCs w:val="21"/>
              </w:rPr>
            </w:pPr>
            <w:r>
              <w:rPr>
                <w:rFonts w:hint="eastAsia" w:ascii="宋体" w:hAnsi="宋体"/>
                <w:color w:val="000000"/>
                <w:szCs w:val="21"/>
              </w:rPr>
              <w:t>项目</w:t>
            </w:r>
          </w:p>
        </w:tc>
        <w:tc>
          <w:tcPr>
            <w:tcW w:w="1260" w:type="dxa"/>
            <w:vMerge w:val="restart"/>
            <w:noWrap w:val="0"/>
            <w:vAlign w:val="top"/>
          </w:tcPr>
          <w:p>
            <w:pPr>
              <w:jc w:val="center"/>
              <w:rPr>
                <w:rFonts w:hint="eastAsia" w:ascii="宋体" w:hAnsi="宋体"/>
                <w:color w:val="000000"/>
                <w:szCs w:val="21"/>
              </w:rPr>
            </w:pPr>
          </w:p>
          <w:p>
            <w:pPr>
              <w:jc w:val="center"/>
              <w:rPr>
                <w:rFonts w:hint="eastAsia" w:ascii="宋体" w:hAnsi="宋体"/>
                <w:color w:val="000000"/>
                <w:szCs w:val="21"/>
              </w:rPr>
            </w:pPr>
            <w:r>
              <w:rPr>
                <w:rFonts w:hint="eastAsia" w:ascii="宋体" w:hAnsi="宋体"/>
                <w:color w:val="000000"/>
                <w:szCs w:val="21"/>
              </w:rPr>
              <w:t>审核前</w:t>
            </w:r>
          </w:p>
        </w:tc>
        <w:tc>
          <w:tcPr>
            <w:tcW w:w="1388" w:type="dxa"/>
            <w:vMerge w:val="restart"/>
            <w:noWrap w:val="0"/>
            <w:vAlign w:val="top"/>
          </w:tcPr>
          <w:p>
            <w:pPr>
              <w:jc w:val="center"/>
              <w:rPr>
                <w:rFonts w:hint="eastAsia" w:ascii="宋体" w:hAnsi="宋体"/>
                <w:color w:val="000000"/>
                <w:szCs w:val="21"/>
              </w:rPr>
            </w:pPr>
          </w:p>
          <w:p>
            <w:pPr>
              <w:jc w:val="center"/>
              <w:rPr>
                <w:rFonts w:hint="eastAsia" w:ascii="宋体" w:hAnsi="宋体"/>
                <w:color w:val="000000"/>
                <w:szCs w:val="21"/>
              </w:rPr>
            </w:pPr>
            <w:r>
              <w:rPr>
                <w:rFonts w:hint="eastAsia" w:ascii="宋体" w:hAnsi="宋体"/>
                <w:color w:val="000000"/>
                <w:szCs w:val="21"/>
              </w:rPr>
              <w:t>目标</w:t>
            </w:r>
          </w:p>
          <w:p>
            <w:pPr>
              <w:jc w:val="center"/>
              <w:rPr>
                <w:rFonts w:hint="eastAsia" w:ascii="宋体" w:hAnsi="宋体"/>
                <w:color w:val="000000"/>
                <w:szCs w:val="21"/>
              </w:rPr>
            </w:pPr>
            <w:r>
              <w:rPr>
                <w:rFonts w:hint="eastAsia" w:ascii="宋体" w:hAnsi="宋体"/>
                <w:color w:val="000000"/>
                <w:szCs w:val="21"/>
              </w:rPr>
              <w:t>（2019．12）</w:t>
            </w:r>
          </w:p>
        </w:tc>
        <w:tc>
          <w:tcPr>
            <w:tcW w:w="1620" w:type="dxa"/>
            <w:vMerge w:val="restart"/>
            <w:noWrap w:val="0"/>
            <w:vAlign w:val="center"/>
          </w:tcPr>
          <w:p>
            <w:pPr>
              <w:jc w:val="center"/>
              <w:rPr>
                <w:rFonts w:hint="eastAsia" w:ascii="宋体" w:hAnsi="宋体"/>
                <w:color w:val="000000"/>
                <w:szCs w:val="21"/>
              </w:rPr>
            </w:pPr>
            <w:r>
              <w:rPr>
                <w:rFonts w:hint="eastAsia" w:ascii="宋体" w:hAnsi="宋体"/>
                <w:color w:val="000000"/>
                <w:szCs w:val="21"/>
              </w:rPr>
              <w:t>实际</w:t>
            </w:r>
          </w:p>
          <w:p>
            <w:pPr>
              <w:jc w:val="center"/>
              <w:rPr>
                <w:rFonts w:hint="eastAsia" w:ascii="宋体" w:hAnsi="宋体"/>
                <w:color w:val="000000"/>
                <w:szCs w:val="21"/>
              </w:rPr>
            </w:pPr>
            <w:r>
              <w:rPr>
                <w:rFonts w:hint="eastAsia" w:ascii="宋体" w:hAnsi="宋体"/>
                <w:color w:val="000000"/>
                <w:szCs w:val="21"/>
              </w:rPr>
              <w:t>完成（2019.12）</w:t>
            </w:r>
          </w:p>
        </w:tc>
        <w:tc>
          <w:tcPr>
            <w:tcW w:w="2520" w:type="dxa"/>
            <w:gridSpan w:val="2"/>
            <w:noWrap w:val="0"/>
            <w:vAlign w:val="center"/>
          </w:tcPr>
          <w:p>
            <w:pPr>
              <w:jc w:val="center"/>
              <w:rPr>
                <w:rFonts w:hint="eastAsia" w:ascii="宋体" w:hAnsi="宋体" w:cs="宋体"/>
                <w:color w:val="000000"/>
                <w:szCs w:val="21"/>
                <w:lang w:val="zh-CN"/>
              </w:rPr>
            </w:pPr>
            <w:r>
              <w:rPr>
                <w:rFonts w:hint="eastAsia" w:ascii="宋体" w:hAnsi="宋体" w:cs="宋体"/>
                <w:color w:val="000000"/>
                <w:szCs w:val="21"/>
                <w:lang w:val="zh-CN"/>
              </w:rPr>
              <w:t>削减量</w:t>
            </w:r>
          </w:p>
          <w:p>
            <w:pPr>
              <w:jc w:val="center"/>
              <w:rPr>
                <w:rFonts w:ascii="宋体" w:hAnsi="宋体"/>
                <w:color w:val="000000"/>
                <w:szCs w:val="21"/>
              </w:rPr>
            </w:pPr>
            <w:r>
              <w:rPr>
                <w:rFonts w:hint="eastAsia" w:ascii="宋体" w:hAnsi="宋体"/>
                <w:color w:val="000000"/>
                <w:szCs w:val="21"/>
              </w:rPr>
              <w:t>（</w:t>
            </w:r>
            <w:r>
              <w:rPr>
                <w:rFonts w:ascii="宋体" w:hAnsi="宋体"/>
                <w:color w:val="000000"/>
                <w:szCs w:val="21"/>
              </w:rPr>
              <w:t>2019</w:t>
            </w:r>
            <w:r>
              <w:rPr>
                <w:rFonts w:hint="eastAsia" w:ascii="宋体" w:hAnsi="宋体"/>
                <w:color w:val="000000"/>
                <w:szCs w:val="21"/>
              </w:rPr>
              <w:t>年12月）</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365" w:hRule="atLeast"/>
          <w:tblHeader/>
          <w:jc w:val="center"/>
        </w:trPr>
        <w:tc>
          <w:tcPr>
            <w:tcW w:w="698" w:type="dxa"/>
            <w:vMerge w:val="continue"/>
            <w:noWrap w:val="0"/>
            <w:vAlign w:val="top"/>
          </w:tcPr>
          <w:p>
            <w:pPr>
              <w:jc w:val="center"/>
              <w:rPr>
                <w:rFonts w:ascii="宋体" w:hAnsi="宋体"/>
                <w:color w:val="000000"/>
                <w:szCs w:val="21"/>
              </w:rPr>
            </w:pPr>
          </w:p>
        </w:tc>
        <w:tc>
          <w:tcPr>
            <w:tcW w:w="1776" w:type="dxa"/>
            <w:vMerge w:val="continue"/>
            <w:noWrap w:val="0"/>
            <w:vAlign w:val="center"/>
          </w:tcPr>
          <w:p>
            <w:pPr>
              <w:jc w:val="center"/>
              <w:rPr>
                <w:rFonts w:ascii="宋体" w:hAnsi="宋体"/>
                <w:color w:val="000000"/>
                <w:szCs w:val="21"/>
              </w:rPr>
            </w:pPr>
          </w:p>
        </w:tc>
        <w:tc>
          <w:tcPr>
            <w:tcW w:w="1260" w:type="dxa"/>
            <w:vMerge w:val="continue"/>
            <w:noWrap w:val="0"/>
            <w:vAlign w:val="top"/>
          </w:tcPr>
          <w:p>
            <w:pPr>
              <w:jc w:val="center"/>
              <w:rPr>
                <w:rFonts w:ascii="宋体" w:hAnsi="宋体"/>
                <w:color w:val="000000"/>
                <w:szCs w:val="21"/>
              </w:rPr>
            </w:pPr>
          </w:p>
        </w:tc>
        <w:tc>
          <w:tcPr>
            <w:tcW w:w="1388" w:type="dxa"/>
            <w:vMerge w:val="continue"/>
            <w:noWrap w:val="0"/>
            <w:vAlign w:val="top"/>
          </w:tcPr>
          <w:p>
            <w:pPr>
              <w:jc w:val="center"/>
              <w:rPr>
                <w:rFonts w:ascii="宋体" w:hAnsi="宋体"/>
                <w:color w:val="000000"/>
                <w:szCs w:val="21"/>
              </w:rPr>
            </w:pPr>
          </w:p>
        </w:tc>
        <w:tc>
          <w:tcPr>
            <w:tcW w:w="1620" w:type="dxa"/>
            <w:vMerge w:val="continue"/>
            <w:noWrap w:val="0"/>
            <w:vAlign w:val="center"/>
          </w:tcPr>
          <w:p>
            <w:pPr>
              <w:jc w:val="center"/>
              <w:rPr>
                <w:rFonts w:ascii="宋体" w:hAnsi="宋体"/>
                <w:color w:val="000000"/>
                <w:szCs w:val="21"/>
              </w:rPr>
            </w:pPr>
          </w:p>
        </w:tc>
        <w:tc>
          <w:tcPr>
            <w:tcW w:w="1260" w:type="dxa"/>
            <w:noWrap w:val="0"/>
            <w:vAlign w:val="center"/>
          </w:tcPr>
          <w:p>
            <w:pPr>
              <w:jc w:val="center"/>
              <w:rPr>
                <w:rFonts w:ascii="宋体" w:hAnsi="宋体"/>
                <w:color w:val="000000"/>
                <w:szCs w:val="21"/>
              </w:rPr>
            </w:pPr>
            <w:r>
              <w:rPr>
                <w:rFonts w:hint="eastAsia" w:ascii="宋体" w:hAnsi="宋体"/>
                <w:color w:val="000000"/>
                <w:szCs w:val="21"/>
              </w:rPr>
              <w:t>绝对量t</w:t>
            </w:r>
          </w:p>
        </w:tc>
        <w:tc>
          <w:tcPr>
            <w:tcW w:w="1260" w:type="dxa"/>
            <w:noWrap w:val="0"/>
            <w:vAlign w:val="center"/>
          </w:tcPr>
          <w:p>
            <w:pPr>
              <w:jc w:val="center"/>
              <w:rPr>
                <w:rFonts w:ascii="宋体" w:hAnsi="宋体"/>
                <w:color w:val="000000"/>
                <w:szCs w:val="21"/>
              </w:rPr>
            </w:pPr>
            <w:r>
              <w:rPr>
                <w:rFonts w:hint="eastAsia" w:ascii="宋体" w:hAnsi="宋体"/>
                <w:color w:val="000000"/>
                <w:szCs w:val="21"/>
              </w:rPr>
              <w:t>相对量（</w:t>
            </w:r>
            <w:r>
              <w:rPr>
                <w:rFonts w:ascii="宋体" w:hAnsi="宋体"/>
                <w:color w:val="000000"/>
                <w:szCs w:val="21"/>
              </w:rPr>
              <w:t>%</w:t>
            </w:r>
            <w:r>
              <w:rPr>
                <w:rFonts w:hint="eastAsia" w:ascii="宋体" w:hAnsi="宋体"/>
                <w:color w:val="000000"/>
                <w:szCs w:val="21"/>
              </w:rPr>
              <w:t>）</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wBefore w:w="0" w:type="dxa"/>
          <w:wAfter w:w="0" w:type="dxa"/>
          <w:trHeight w:val="652" w:hRule="atLeast"/>
          <w:jc w:val="center"/>
        </w:trPr>
        <w:tc>
          <w:tcPr>
            <w:tcW w:w="69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1</w:t>
            </w:r>
          </w:p>
        </w:tc>
        <w:tc>
          <w:tcPr>
            <w:tcW w:w="1776"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提高工业用水重复利用率</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82.5%</w:t>
            </w:r>
          </w:p>
        </w:tc>
        <w:tc>
          <w:tcPr>
            <w:tcW w:w="1388"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84%</w:t>
            </w:r>
          </w:p>
        </w:tc>
        <w:tc>
          <w:tcPr>
            <w:tcW w:w="162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85.6%</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+3.1%</w:t>
            </w:r>
          </w:p>
        </w:tc>
        <w:tc>
          <w:tcPr>
            <w:tcW w:w="1260" w:type="dxa"/>
            <w:noWrap w:val="0"/>
            <w:vAlign w:val="center"/>
          </w:tcPr>
          <w:p>
            <w:pPr>
              <w:spacing w:line="320" w:lineRule="exact"/>
              <w:jc w:val="center"/>
              <w:rPr>
                <w:rFonts w:hint="eastAsia" w:ascii="宋体" w:hAnsi="宋体"/>
                <w:color w:val="000000"/>
                <w:szCs w:val="21"/>
              </w:rPr>
            </w:pPr>
            <w:r>
              <w:rPr>
                <w:rFonts w:hint="eastAsia" w:ascii="宋体" w:hAnsi="宋体"/>
                <w:color w:val="000000"/>
                <w:szCs w:val="21"/>
              </w:rPr>
              <w:t>3.75%</w:t>
            </w:r>
          </w:p>
        </w:tc>
      </w:tr>
    </w:tbl>
    <w:p>
      <w:pPr>
        <w:spacing w:before="240" w:beforeLines="100" w:line="360" w:lineRule="auto"/>
        <w:ind w:firstLine="556"/>
        <w:rPr>
          <w:rFonts w:hint="eastAsia" w:ascii="宋体" w:hAnsi="宋体"/>
          <w:color w:val="000000"/>
          <w:sz w:val="24"/>
        </w:rPr>
      </w:pPr>
      <w:r>
        <w:rPr>
          <w:rFonts w:hint="eastAsia" w:ascii="宋体" w:hAnsi="宋体"/>
          <w:color w:val="000000"/>
          <w:sz w:val="24"/>
        </w:rPr>
        <w:t>审核前后工业用水重复利用率对比计算：</w:t>
      </w:r>
    </w:p>
    <w:p>
      <w:pPr>
        <w:spacing w:line="360" w:lineRule="auto"/>
        <w:ind w:firstLine="556"/>
        <w:rPr>
          <w:rFonts w:hint="eastAsia" w:ascii="宋体" w:hAnsi="宋体"/>
          <w:color w:val="000000"/>
          <w:sz w:val="24"/>
        </w:rPr>
      </w:pPr>
      <w:r>
        <w:rPr>
          <w:rFonts w:hint="eastAsia" w:ascii="宋体" w:hAnsi="宋体"/>
          <w:color w:val="000000"/>
          <w:sz w:val="24"/>
        </w:rPr>
        <w:t>（1）公司2018年※</w:t>
      </w:r>
      <w:r>
        <w:rPr>
          <w:rFonts w:ascii="宋体" w:hAnsi="宋体"/>
          <w:color w:val="000000"/>
          <w:sz w:val="24"/>
        </w:rPr>
        <w:t>工业用水重复利用率</w:t>
      </w:r>
    </w:p>
    <w:p>
      <w:pPr>
        <w:spacing w:line="360" w:lineRule="auto"/>
        <w:ind w:firstLine="556"/>
        <w:rPr>
          <w:rFonts w:hint="eastAsia" w:ascii="宋体" w:hAnsi="宋体"/>
          <w:color w:val="000000"/>
          <w:sz w:val="24"/>
        </w:rPr>
      </w:pPr>
      <w:r>
        <w:rPr>
          <w:rFonts w:hint="eastAsia" w:ascii="宋体" w:hAnsi="宋体"/>
          <w:color w:val="000000"/>
          <w:sz w:val="24"/>
        </w:rPr>
        <w:t>水重复利用率=总重复利用水量÷鲜水用量﹢总重复利用水量=383200÷(79312.7＋383200)=0.8285×100%=82.85%</w:t>
      </w:r>
    </w:p>
    <w:p>
      <w:pPr>
        <w:spacing w:line="360" w:lineRule="auto"/>
        <w:ind w:firstLine="556"/>
        <w:rPr>
          <w:rFonts w:hint="eastAsia" w:ascii="宋体" w:hAnsi="宋体"/>
          <w:color w:val="000000"/>
          <w:sz w:val="24"/>
        </w:rPr>
      </w:pPr>
      <w:r>
        <w:rPr>
          <w:rFonts w:hint="eastAsia" w:ascii="宋体" w:hAnsi="宋体"/>
          <w:color w:val="000000"/>
          <w:sz w:val="24"/>
        </w:rPr>
        <w:t>（2）2019年10月※</w:t>
      </w:r>
      <w:r>
        <w:rPr>
          <w:rFonts w:ascii="宋体" w:hAnsi="宋体"/>
          <w:color w:val="000000"/>
          <w:sz w:val="24"/>
        </w:rPr>
        <w:t>工业用水重复利用率</w:t>
      </w:r>
      <w:r>
        <w:rPr>
          <w:rFonts w:hint="eastAsia" w:ascii="宋体" w:hAnsi="宋体"/>
          <w:color w:val="000000"/>
          <w:sz w:val="24"/>
        </w:rPr>
        <w:t>：</w:t>
      </w:r>
    </w:p>
    <w:p>
      <w:pPr>
        <w:spacing w:line="360" w:lineRule="auto"/>
        <w:ind w:firstLine="556"/>
        <w:rPr>
          <w:rFonts w:hint="eastAsia" w:ascii="宋体" w:hAnsi="宋体"/>
          <w:color w:val="000000"/>
          <w:sz w:val="24"/>
        </w:rPr>
      </w:pPr>
      <w:r>
        <w:rPr>
          <w:rFonts w:hint="eastAsia" w:ascii="宋体" w:hAnsi="宋体"/>
          <w:color w:val="000000"/>
          <w:sz w:val="24"/>
        </w:rPr>
        <w:t>水重复利用率=总重复利用水量÷鲜水用量﹢总重复利用水量=319333÷(53662＋319333)= 85.6%</w:t>
      </w:r>
    </w:p>
    <w:p>
      <w:pPr>
        <w:spacing w:before="120" w:beforeLines="50" w:line="360" w:lineRule="auto"/>
        <w:ind w:firstLine="480" w:firstLineChars="200"/>
        <w:outlineLvl w:val="0"/>
        <w:rPr>
          <w:rFonts w:hint="eastAsia" w:ascii="宋体" w:hAnsi="宋体"/>
          <w:color w:val="000000"/>
          <w:sz w:val="24"/>
        </w:rPr>
      </w:pPr>
      <w:r>
        <w:rPr>
          <w:rFonts w:hint="eastAsia" w:ascii="宋体" w:hAnsi="宋体"/>
          <w:color w:val="000000"/>
          <w:sz w:val="24"/>
        </w:rPr>
        <w:t>6.4.2.2清洁生产近期目标完成情况分析</w:t>
      </w:r>
    </w:p>
    <w:p>
      <w:pPr>
        <w:spacing w:line="360" w:lineRule="auto"/>
        <w:ind w:firstLine="480" w:firstLineChars="200"/>
        <w:rPr>
          <w:rFonts w:hint="eastAsia" w:ascii="宋体" w:hAnsi="宋体"/>
          <w:color w:val="000000"/>
          <w:sz w:val="24"/>
        </w:rPr>
      </w:pPr>
      <w:r>
        <w:rPr>
          <w:rFonts w:hint="eastAsia" w:ascii="宋体" w:hAnsi="宋体"/>
          <w:color w:val="000000"/>
          <w:sz w:val="24"/>
        </w:rPr>
        <w:t>本次清洁生产审核，公司以实施的无低费和中高费项目,很多是针对节约水资源，减少废水产生和综合利用水资源，实施了有针对性的解决方案，顺利完成审核初期制定的目标。</w:t>
      </w:r>
    </w:p>
    <w:bookmarkEnd w:id="588"/>
    <w:p>
      <w:pPr>
        <w:pStyle w:val="5"/>
        <w:rPr>
          <w:rFonts w:hint="eastAsia"/>
          <w:color w:val="000000"/>
        </w:rPr>
      </w:pPr>
      <w:bookmarkStart w:id="589" w:name="_Toc474018766"/>
      <w:bookmarkStart w:id="590" w:name="_Toc23000938"/>
      <w:r>
        <w:rPr>
          <w:rFonts w:hint="eastAsia"/>
          <w:color w:val="000000"/>
        </w:rPr>
        <w:t>6.4.3清洁生产水平评价</w:t>
      </w:r>
      <w:bookmarkEnd w:id="589"/>
      <w:bookmarkEnd w:id="590"/>
    </w:p>
    <w:p>
      <w:pPr>
        <w:spacing w:before="240" w:beforeLines="100" w:line="360" w:lineRule="auto"/>
        <w:ind w:firstLine="480" w:firstLineChars="200"/>
        <w:rPr>
          <w:rFonts w:hint="eastAsia" w:ascii="宋体" w:hAnsi="宋体"/>
          <w:color w:val="000000"/>
          <w:sz w:val="24"/>
        </w:rPr>
      </w:pPr>
      <w:r>
        <w:rPr>
          <w:rFonts w:hint="eastAsia" w:ascii="宋体" w:hAnsi="宋体"/>
          <w:color w:val="000000"/>
          <w:sz w:val="24"/>
        </w:rPr>
        <w:t>6.4.3.1审核后企业各项指标与国家清洁生产标准对比</w:t>
      </w:r>
    </w:p>
    <w:p>
      <w:pPr>
        <w:spacing w:line="360" w:lineRule="auto"/>
        <w:ind w:firstLine="480" w:firstLineChars="200"/>
        <w:rPr>
          <w:rFonts w:hint="eastAsia" w:ascii="宋体" w:hAnsi="宋体"/>
          <w:color w:val="000000"/>
          <w:sz w:val="24"/>
        </w:rPr>
      </w:pPr>
      <w:r>
        <w:rPr>
          <w:rFonts w:hint="eastAsia" w:ascii="宋体" w:hAnsi="宋体"/>
          <w:color w:val="000000"/>
          <w:sz w:val="24"/>
        </w:rPr>
        <w:t>企业开展清洁生产审核后，实施一系列的无/低费方案和中/高费方案，取得了较好的经济效益和环境效益。审核后，我们将公司各项指标与国家发展和改革委员会、环境保护部、工业和信息化部颁布的</w:t>
      </w:r>
      <w:r>
        <w:rPr>
          <w:rFonts w:hint="eastAsia"/>
          <w:color w:val="000000"/>
          <w:sz w:val="24"/>
          <w:szCs w:val="24"/>
        </w:rPr>
        <w:t>《铅锌采选行业清洁生产评价指标体系》</w:t>
      </w:r>
      <w:r>
        <w:rPr>
          <w:rFonts w:hint="eastAsia" w:ascii="宋体" w:hAnsi="宋体"/>
          <w:color w:val="000000"/>
          <w:sz w:val="24"/>
        </w:rPr>
        <w:t>进行对比，以反映企业审核后的清洁生产水平。审核后企业各项评价结果如表6-7：</w:t>
      </w:r>
    </w:p>
    <w:p>
      <w:pPr>
        <w:spacing w:line="360" w:lineRule="auto"/>
        <w:ind w:firstLine="480" w:firstLineChars="200"/>
        <w:rPr>
          <w:rFonts w:hint="eastAsia" w:ascii="宋体" w:hAnsi="宋体"/>
          <w:color w:val="000000"/>
          <w:sz w:val="24"/>
        </w:rPr>
      </w:pPr>
    </w:p>
    <w:p>
      <w:pPr>
        <w:spacing w:line="360" w:lineRule="auto"/>
        <w:ind w:firstLine="480" w:firstLineChars="200"/>
        <w:rPr>
          <w:rFonts w:hint="eastAsia" w:ascii="宋体" w:hAnsi="宋体"/>
          <w:color w:val="000000"/>
          <w:sz w:val="24"/>
        </w:rPr>
      </w:pPr>
    </w:p>
    <w:p>
      <w:pPr>
        <w:spacing w:line="360" w:lineRule="auto"/>
        <w:ind w:firstLine="480" w:firstLineChars="200"/>
        <w:rPr>
          <w:rFonts w:ascii="宋体" w:hAnsi="宋体"/>
          <w:color w:val="000000"/>
          <w:sz w:val="24"/>
        </w:rPr>
        <w:sectPr>
          <w:headerReference r:id="rId11" w:type="default"/>
          <w:pgSz w:w="11906" w:h="16838"/>
          <w:pgMar w:top="1247" w:right="1418" w:bottom="1247" w:left="1418" w:header="851" w:footer="992" w:gutter="0"/>
          <w:cols w:space="720" w:num="1"/>
          <w:docGrid w:linePitch="312" w:charSpace="0"/>
        </w:sectPr>
      </w:pPr>
    </w:p>
    <w:p>
      <w:pPr>
        <w:spacing w:line="360" w:lineRule="auto"/>
        <w:jc w:val="center"/>
        <w:rPr>
          <w:rFonts w:hint="eastAsia"/>
          <w:b/>
          <w:color w:val="000000"/>
          <w:sz w:val="24"/>
        </w:rPr>
      </w:pPr>
      <w:r>
        <w:rPr>
          <w:rFonts w:hint="eastAsia" w:ascii="宋体" w:hAnsi="宋体"/>
          <w:b/>
          <w:color w:val="000000"/>
          <w:sz w:val="24"/>
        </w:rPr>
        <w:t xml:space="preserve">表6—7   </w:t>
      </w:r>
      <w:r>
        <w:rPr>
          <w:rFonts w:hint="eastAsia"/>
          <w:b/>
          <w:color w:val="000000"/>
          <w:sz w:val="24"/>
        </w:rPr>
        <w:t>铅锌采选行业清洁生产评价指标体系(审核后2019年1-9月)</w:t>
      </w:r>
    </w:p>
    <w:tbl>
      <w:tblPr>
        <w:tblStyle w:val="36"/>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9"/>
        <w:gridCol w:w="815"/>
        <w:gridCol w:w="964"/>
        <w:gridCol w:w="2560"/>
        <w:gridCol w:w="1086"/>
        <w:gridCol w:w="1083"/>
        <w:gridCol w:w="1960"/>
        <w:gridCol w:w="1473"/>
        <w:gridCol w:w="157"/>
        <w:gridCol w:w="1954"/>
        <w:gridCol w:w="970"/>
        <w:gridCol w:w="8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blHeader/>
        </w:trPr>
        <w:tc>
          <w:tcPr>
            <w:tcW w:w="223" w:type="pct"/>
            <w:noWrap w:val="0"/>
            <w:vAlign w:val="top"/>
          </w:tcPr>
          <w:p>
            <w:pPr>
              <w:spacing w:line="280" w:lineRule="exact"/>
              <w:jc w:val="center"/>
              <w:rPr>
                <w:rFonts w:hint="eastAsia"/>
                <w:color w:val="000000"/>
                <w:sz w:val="18"/>
                <w:szCs w:val="18"/>
              </w:rPr>
            </w:pPr>
            <w:r>
              <w:rPr>
                <w:color w:val="000000"/>
                <w:sz w:val="18"/>
                <w:szCs w:val="18"/>
              </w:rPr>
              <w:t>序号</w:t>
            </w:r>
          </w:p>
        </w:tc>
        <w:tc>
          <w:tcPr>
            <w:tcW w:w="280" w:type="pct"/>
            <w:noWrap w:val="0"/>
            <w:vAlign w:val="top"/>
          </w:tcPr>
          <w:p>
            <w:pPr>
              <w:spacing w:line="280" w:lineRule="exact"/>
              <w:jc w:val="center"/>
              <w:rPr>
                <w:rFonts w:hint="eastAsia"/>
                <w:color w:val="000000"/>
                <w:sz w:val="18"/>
                <w:szCs w:val="18"/>
              </w:rPr>
            </w:pPr>
            <w:r>
              <w:rPr>
                <w:color w:val="000000"/>
                <w:sz w:val="18"/>
                <w:szCs w:val="18"/>
              </w:rPr>
              <w:t>一级</w:t>
            </w:r>
          </w:p>
          <w:p>
            <w:pPr>
              <w:spacing w:line="280" w:lineRule="exact"/>
              <w:jc w:val="center"/>
              <w:rPr>
                <w:rFonts w:hint="eastAsia"/>
                <w:color w:val="000000"/>
                <w:sz w:val="18"/>
                <w:szCs w:val="18"/>
              </w:rPr>
            </w:pPr>
            <w:r>
              <w:rPr>
                <w:color w:val="000000"/>
                <w:sz w:val="18"/>
                <w:szCs w:val="18"/>
              </w:rPr>
              <w:t>指标</w:t>
            </w:r>
          </w:p>
        </w:tc>
        <w:tc>
          <w:tcPr>
            <w:tcW w:w="331" w:type="pct"/>
            <w:noWrap w:val="0"/>
            <w:vAlign w:val="top"/>
          </w:tcPr>
          <w:p>
            <w:pPr>
              <w:spacing w:line="280" w:lineRule="exact"/>
              <w:jc w:val="center"/>
              <w:rPr>
                <w:rFonts w:hint="eastAsia"/>
                <w:color w:val="000000"/>
                <w:sz w:val="18"/>
                <w:szCs w:val="18"/>
              </w:rPr>
            </w:pPr>
            <w:r>
              <w:rPr>
                <w:color w:val="000000"/>
                <w:sz w:val="18"/>
                <w:szCs w:val="18"/>
              </w:rPr>
              <w:t>一级指标权重值</w:t>
            </w:r>
          </w:p>
        </w:tc>
        <w:tc>
          <w:tcPr>
            <w:tcW w:w="879" w:type="pct"/>
            <w:noWrap w:val="0"/>
            <w:vAlign w:val="top"/>
          </w:tcPr>
          <w:p>
            <w:pPr>
              <w:spacing w:line="280" w:lineRule="exact"/>
              <w:jc w:val="center"/>
              <w:rPr>
                <w:rFonts w:hint="eastAsia"/>
                <w:color w:val="000000"/>
                <w:sz w:val="18"/>
                <w:szCs w:val="18"/>
              </w:rPr>
            </w:pPr>
            <w:r>
              <w:rPr>
                <w:color w:val="000000"/>
                <w:sz w:val="18"/>
                <w:szCs w:val="18"/>
              </w:rPr>
              <w:t>二级指标</w:t>
            </w:r>
          </w:p>
        </w:tc>
        <w:tc>
          <w:tcPr>
            <w:tcW w:w="373" w:type="pct"/>
            <w:noWrap w:val="0"/>
            <w:vAlign w:val="top"/>
          </w:tcPr>
          <w:p>
            <w:pPr>
              <w:spacing w:line="280" w:lineRule="exact"/>
              <w:jc w:val="center"/>
              <w:rPr>
                <w:rFonts w:hint="eastAsia"/>
                <w:color w:val="000000"/>
                <w:sz w:val="18"/>
                <w:szCs w:val="18"/>
              </w:rPr>
            </w:pPr>
            <w:r>
              <w:rPr>
                <w:color w:val="000000"/>
                <w:sz w:val="18"/>
                <w:szCs w:val="18"/>
              </w:rPr>
              <w:t>单位</w:t>
            </w:r>
          </w:p>
        </w:tc>
        <w:tc>
          <w:tcPr>
            <w:tcW w:w="372" w:type="pct"/>
            <w:noWrap w:val="0"/>
            <w:vAlign w:val="top"/>
          </w:tcPr>
          <w:p>
            <w:pPr>
              <w:spacing w:line="280" w:lineRule="exact"/>
              <w:jc w:val="center"/>
              <w:rPr>
                <w:rFonts w:hint="eastAsia"/>
                <w:color w:val="000000"/>
                <w:sz w:val="18"/>
                <w:szCs w:val="18"/>
              </w:rPr>
            </w:pPr>
            <w:r>
              <w:rPr>
                <w:color w:val="000000"/>
                <w:sz w:val="18"/>
                <w:szCs w:val="18"/>
              </w:rPr>
              <w:t>二级指标权重值</w:t>
            </w:r>
          </w:p>
        </w:tc>
        <w:tc>
          <w:tcPr>
            <w:tcW w:w="673"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Ⅰ</w:t>
            </w:r>
            <w:r>
              <w:rPr>
                <w:color w:val="000000"/>
                <w:sz w:val="18"/>
                <w:szCs w:val="18"/>
              </w:rPr>
              <w:t>级基准值</w:t>
            </w:r>
          </w:p>
        </w:tc>
        <w:tc>
          <w:tcPr>
            <w:tcW w:w="560" w:type="pct"/>
            <w:gridSpan w:val="2"/>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Ⅱ</w:t>
            </w:r>
            <w:r>
              <w:rPr>
                <w:color w:val="000000"/>
                <w:sz w:val="18"/>
                <w:szCs w:val="18"/>
              </w:rPr>
              <w:t>级基准值</w:t>
            </w:r>
          </w:p>
        </w:tc>
        <w:tc>
          <w:tcPr>
            <w:tcW w:w="671"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Ⅲ</w:t>
            </w:r>
            <w:r>
              <w:rPr>
                <w:color w:val="000000"/>
                <w:sz w:val="18"/>
                <w:szCs w:val="18"/>
              </w:rPr>
              <w:t>级基准值</w:t>
            </w:r>
          </w:p>
        </w:tc>
        <w:tc>
          <w:tcPr>
            <w:tcW w:w="333" w:type="pct"/>
            <w:noWrap w:val="0"/>
            <w:vAlign w:val="top"/>
          </w:tcPr>
          <w:p>
            <w:pPr>
              <w:spacing w:line="280" w:lineRule="exact"/>
              <w:rPr>
                <w:rFonts w:hint="eastAsia"/>
                <w:color w:val="000000"/>
                <w:sz w:val="18"/>
                <w:szCs w:val="18"/>
              </w:rPr>
            </w:pPr>
            <w:r>
              <w:rPr>
                <w:rFonts w:hint="eastAsia"/>
                <w:color w:val="000000"/>
                <w:sz w:val="18"/>
                <w:szCs w:val="18"/>
              </w:rPr>
              <w:t>2019年1-9月</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评级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w:t>
            </w:r>
          </w:p>
        </w:tc>
        <w:tc>
          <w:tcPr>
            <w:tcW w:w="280" w:type="pct"/>
            <w:vMerge w:val="restart"/>
            <w:noWrap w:val="0"/>
            <w:vAlign w:val="top"/>
          </w:tcPr>
          <w:p>
            <w:pPr>
              <w:spacing w:line="280" w:lineRule="exact"/>
              <w:rPr>
                <w:rFonts w:hint="eastAsia"/>
                <w:color w:val="000000"/>
                <w:sz w:val="18"/>
                <w:szCs w:val="18"/>
              </w:rPr>
            </w:pPr>
            <w:r>
              <w:rPr>
                <w:color w:val="000000"/>
                <w:sz w:val="18"/>
                <w:szCs w:val="18"/>
              </w:rPr>
              <w:t>生产工艺及设 备要求</w:t>
            </w:r>
          </w:p>
        </w:tc>
        <w:tc>
          <w:tcPr>
            <w:tcW w:w="331" w:type="pct"/>
            <w:vMerge w:val="restart"/>
            <w:noWrap w:val="0"/>
            <w:vAlign w:val="top"/>
          </w:tcPr>
          <w:p>
            <w:pPr>
              <w:spacing w:line="280" w:lineRule="exact"/>
              <w:jc w:val="center"/>
              <w:rPr>
                <w:rFonts w:hint="eastAsia"/>
                <w:color w:val="000000"/>
                <w:sz w:val="18"/>
                <w:szCs w:val="18"/>
              </w:rPr>
            </w:pPr>
            <w:r>
              <w:rPr>
                <w:color w:val="000000"/>
                <w:sz w:val="18"/>
                <w:szCs w:val="18"/>
              </w:rPr>
              <w:t>0.20</w:t>
            </w:r>
          </w:p>
        </w:tc>
        <w:tc>
          <w:tcPr>
            <w:tcW w:w="879" w:type="pct"/>
            <w:noWrap w:val="0"/>
            <w:vAlign w:val="top"/>
          </w:tcPr>
          <w:p>
            <w:pPr>
              <w:spacing w:line="280" w:lineRule="exact"/>
              <w:jc w:val="center"/>
              <w:rPr>
                <w:rFonts w:hint="eastAsia"/>
                <w:color w:val="000000"/>
                <w:sz w:val="18"/>
                <w:szCs w:val="18"/>
              </w:rPr>
            </w:pPr>
            <w:r>
              <w:rPr>
                <w:color w:val="000000"/>
                <w:sz w:val="18"/>
                <w:szCs w:val="18"/>
              </w:rPr>
              <w:t>采用节能设备</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0.30</w:t>
            </w:r>
          </w:p>
        </w:tc>
        <w:tc>
          <w:tcPr>
            <w:tcW w:w="1233" w:type="pct"/>
            <w:gridSpan w:val="3"/>
            <w:noWrap w:val="0"/>
            <w:vAlign w:val="top"/>
          </w:tcPr>
          <w:p>
            <w:pPr>
              <w:spacing w:line="280" w:lineRule="exact"/>
              <w:rPr>
                <w:rFonts w:hint="eastAsia"/>
                <w:color w:val="000000"/>
                <w:sz w:val="18"/>
                <w:szCs w:val="18"/>
              </w:rPr>
            </w:pPr>
            <w:r>
              <w:rPr>
                <w:color w:val="000000"/>
                <w:sz w:val="18"/>
                <w:szCs w:val="18"/>
              </w:rPr>
              <w:t>采用自动化程度高、机械性能好、效率高、能耗低的设备</w:t>
            </w:r>
          </w:p>
        </w:tc>
        <w:tc>
          <w:tcPr>
            <w:tcW w:w="671" w:type="pct"/>
            <w:noWrap w:val="0"/>
            <w:vAlign w:val="top"/>
          </w:tcPr>
          <w:p>
            <w:pPr>
              <w:spacing w:line="280" w:lineRule="exact"/>
              <w:rPr>
                <w:rFonts w:hint="eastAsia"/>
                <w:color w:val="000000"/>
                <w:sz w:val="18"/>
                <w:szCs w:val="18"/>
              </w:rPr>
            </w:pPr>
            <w:r>
              <w:rPr>
                <w:color w:val="000000"/>
                <w:sz w:val="18"/>
                <w:szCs w:val="18"/>
              </w:rPr>
              <w:t>无应淘汰的高能耗设备</w:t>
            </w:r>
          </w:p>
        </w:tc>
        <w:tc>
          <w:tcPr>
            <w:tcW w:w="333" w:type="pct"/>
            <w:noWrap w:val="0"/>
            <w:vAlign w:val="top"/>
          </w:tcPr>
          <w:p>
            <w:pPr>
              <w:spacing w:line="280" w:lineRule="exact"/>
              <w:jc w:val="center"/>
              <w:rPr>
                <w:rFonts w:hint="eastAsia"/>
                <w:color w:val="000000"/>
                <w:sz w:val="18"/>
                <w:szCs w:val="18"/>
              </w:rPr>
            </w:pP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2</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color w:val="000000"/>
                <w:sz w:val="18"/>
                <w:szCs w:val="18"/>
              </w:rPr>
              <w:t>选择合理选矿工艺</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0.35</w:t>
            </w:r>
          </w:p>
        </w:tc>
        <w:tc>
          <w:tcPr>
            <w:tcW w:w="1233" w:type="pct"/>
            <w:gridSpan w:val="3"/>
            <w:noWrap w:val="0"/>
            <w:vAlign w:val="top"/>
          </w:tcPr>
          <w:p>
            <w:pPr>
              <w:spacing w:line="280" w:lineRule="exact"/>
              <w:rPr>
                <w:rFonts w:hint="eastAsia"/>
                <w:color w:val="000000"/>
                <w:sz w:val="18"/>
                <w:szCs w:val="18"/>
              </w:rPr>
            </w:pPr>
            <w:r>
              <w:rPr>
                <w:color w:val="000000"/>
                <w:sz w:val="18"/>
                <w:szCs w:val="18"/>
              </w:rPr>
              <w:t>采用先进的选矿工艺和选矿技术</w:t>
            </w:r>
          </w:p>
        </w:tc>
        <w:tc>
          <w:tcPr>
            <w:tcW w:w="671" w:type="pct"/>
            <w:noWrap w:val="0"/>
            <w:vAlign w:val="top"/>
          </w:tcPr>
          <w:p>
            <w:pPr>
              <w:spacing w:line="280" w:lineRule="exact"/>
              <w:rPr>
                <w:rFonts w:hint="eastAsia"/>
                <w:color w:val="000000"/>
                <w:sz w:val="18"/>
                <w:szCs w:val="18"/>
              </w:rPr>
            </w:pPr>
            <w:r>
              <w:rPr>
                <w:color w:val="000000"/>
                <w:sz w:val="18"/>
                <w:szCs w:val="18"/>
              </w:rPr>
              <w:t>选矿工艺、技术符合清洁生产要求</w:t>
            </w:r>
          </w:p>
        </w:tc>
        <w:tc>
          <w:tcPr>
            <w:tcW w:w="333" w:type="pct"/>
            <w:noWrap w:val="0"/>
            <w:vAlign w:val="top"/>
          </w:tcPr>
          <w:p>
            <w:pPr>
              <w:spacing w:line="280" w:lineRule="exact"/>
              <w:jc w:val="center"/>
              <w:rPr>
                <w:rFonts w:hint="eastAsia"/>
                <w:color w:val="000000"/>
                <w:sz w:val="18"/>
                <w:szCs w:val="18"/>
              </w:rPr>
            </w:pP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3</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color w:val="000000"/>
                <w:sz w:val="18"/>
                <w:szCs w:val="18"/>
              </w:rPr>
              <w:t>选矿设备设施的完整性</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0.25</w:t>
            </w:r>
          </w:p>
        </w:tc>
        <w:tc>
          <w:tcPr>
            <w:tcW w:w="1904" w:type="pct"/>
            <w:gridSpan w:val="4"/>
            <w:noWrap w:val="0"/>
            <w:vAlign w:val="top"/>
          </w:tcPr>
          <w:p>
            <w:pPr>
              <w:spacing w:line="280" w:lineRule="exact"/>
              <w:jc w:val="center"/>
              <w:rPr>
                <w:rFonts w:hint="eastAsia"/>
                <w:color w:val="000000"/>
                <w:sz w:val="18"/>
                <w:szCs w:val="18"/>
              </w:rPr>
            </w:pPr>
            <w:r>
              <w:rPr>
                <w:color w:val="000000"/>
                <w:sz w:val="18"/>
                <w:szCs w:val="18"/>
              </w:rPr>
              <w:t>具备完整的选矿设备及配套设施</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4</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color w:val="000000"/>
                <w:sz w:val="18"/>
                <w:szCs w:val="18"/>
              </w:rPr>
              <w:t>事故性泄漏防范措施</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0.10</w:t>
            </w:r>
          </w:p>
        </w:tc>
        <w:tc>
          <w:tcPr>
            <w:tcW w:w="1904" w:type="pct"/>
            <w:gridSpan w:val="4"/>
            <w:noWrap w:val="0"/>
            <w:vAlign w:val="top"/>
          </w:tcPr>
          <w:p>
            <w:pPr>
              <w:spacing w:line="280" w:lineRule="exact"/>
              <w:jc w:val="center"/>
              <w:rPr>
                <w:rFonts w:hint="eastAsia"/>
                <w:b/>
                <w:color w:val="000000"/>
                <w:sz w:val="18"/>
                <w:szCs w:val="18"/>
              </w:rPr>
            </w:pPr>
            <w:r>
              <w:rPr>
                <w:color w:val="000000"/>
                <w:sz w:val="18"/>
                <w:szCs w:val="18"/>
              </w:rPr>
              <w:t>具备事故性泄漏防范措施</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5</w:t>
            </w:r>
          </w:p>
        </w:tc>
        <w:tc>
          <w:tcPr>
            <w:tcW w:w="280" w:type="pct"/>
            <w:vMerge w:val="restart"/>
            <w:noWrap w:val="0"/>
            <w:vAlign w:val="top"/>
          </w:tcPr>
          <w:p>
            <w:pPr>
              <w:spacing w:line="280" w:lineRule="exact"/>
              <w:rPr>
                <w:rFonts w:hint="eastAsia"/>
                <w:color w:val="000000"/>
                <w:sz w:val="18"/>
                <w:szCs w:val="18"/>
              </w:rPr>
            </w:pPr>
            <w:r>
              <w:rPr>
                <w:color w:val="000000"/>
                <w:sz w:val="18"/>
                <w:szCs w:val="18"/>
              </w:rPr>
              <w:t>资源能源消耗指标</w:t>
            </w:r>
          </w:p>
        </w:tc>
        <w:tc>
          <w:tcPr>
            <w:tcW w:w="331" w:type="pct"/>
            <w:vMerge w:val="restart"/>
            <w:noWrap w:val="0"/>
            <w:vAlign w:val="top"/>
          </w:tcPr>
          <w:p>
            <w:pPr>
              <w:spacing w:line="280" w:lineRule="exact"/>
              <w:jc w:val="center"/>
              <w:rPr>
                <w:rFonts w:hint="eastAsia"/>
                <w:color w:val="000000"/>
                <w:sz w:val="18"/>
                <w:szCs w:val="18"/>
              </w:rPr>
            </w:pPr>
            <w:r>
              <w:rPr>
                <w:color w:val="000000"/>
                <w:sz w:val="18"/>
                <w:szCs w:val="18"/>
              </w:rPr>
              <w:t>0.20</w:t>
            </w:r>
          </w:p>
        </w:tc>
        <w:tc>
          <w:tcPr>
            <w:tcW w:w="879"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w:t>
            </w:r>
            <w:r>
              <w:rPr>
                <w:color w:val="000000"/>
                <w:sz w:val="18"/>
                <w:szCs w:val="18"/>
              </w:rPr>
              <w:t>新水用量</w:t>
            </w:r>
          </w:p>
        </w:tc>
        <w:tc>
          <w:tcPr>
            <w:tcW w:w="373" w:type="pct"/>
            <w:noWrap w:val="0"/>
            <w:vAlign w:val="top"/>
          </w:tcPr>
          <w:p>
            <w:pPr>
              <w:spacing w:line="280" w:lineRule="exact"/>
              <w:jc w:val="center"/>
              <w:rPr>
                <w:rFonts w:hint="eastAsia"/>
                <w:color w:val="000000"/>
                <w:sz w:val="18"/>
                <w:szCs w:val="18"/>
              </w:rPr>
            </w:pPr>
            <w:r>
              <w:rPr>
                <w:color w:val="000000"/>
                <w:sz w:val="18"/>
                <w:szCs w:val="18"/>
              </w:rPr>
              <w:t>m3/t</w:t>
            </w:r>
          </w:p>
        </w:tc>
        <w:tc>
          <w:tcPr>
            <w:tcW w:w="372" w:type="pct"/>
            <w:noWrap w:val="0"/>
            <w:vAlign w:val="top"/>
          </w:tcPr>
          <w:p>
            <w:pPr>
              <w:spacing w:line="280" w:lineRule="exact"/>
              <w:jc w:val="center"/>
              <w:rPr>
                <w:rFonts w:hint="eastAsia"/>
                <w:color w:val="000000"/>
                <w:sz w:val="18"/>
                <w:szCs w:val="18"/>
              </w:rPr>
            </w:pPr>
            <w:r>
              <w:rPr>
                <w:color w:val="000000"/>
                <w:sz w:val="18"/>
                <w:szCs w:val="18"/>
              </w:rPr>
              <w:t>0.40</w:t>
            </w:r>
          </w:p>
        </w:tc>
        <w:tc>
          <w:tcPr>
            <w:tcW w:w="673" w:type="pct"/>
            <w:noWrap w:val="0"/>
            <w:vAlign w:val="top"/>
          </w:tcPr>
          <w:p>
            <w:pPr>
              <w:spacing w:line="280" w:lineRule="exact"/>
              <w:jc w:val="center"/>
              <w:rPr>
                <w:rFonts w:hint="eastAsia"/>
                <w:color w:val="000000"/>
                <w:sz w:val="18"/>
                <w:szCs w:val="18"/>
              </w:rPr>
            </w:pPr>
            <w:r>
              <w:rPr>
                <w:color w:val="000000"/>
                <w:sz w:val="18"/>
                <w:szCs w:val="18"/>
              </w:rPr>
              <w:t>≤1</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.0 ≤1.2</w:t>
            </w:r>
          </w:p>
        </w:tc>
        <w:tc>
          <w:tcPr>
            <w:tcW w:w="671" w:type="pct"/>
            <w:noWrap w:val="0"/>
            <w:vAlign w:val="top"/>
          </w:tcPr>
          <w:p>
            <w:pPr>
              <w:spacing w:line="280" w:lineRule="exact"/>
              <w:jc w:val="center"/>
              <w:rPr>
                <w:rFonts w:hint="eastAsia"/>
                <w:color w:val="000000"/>
                <w:sz w:val="18"/>
                <w:szCs w:val="18"/>
              </w:rPr>
            </w:pPr>
            <w:r>
              <w:rPr>
                <w:color w:val="000000"/>
                <w:sz w:val="18"/>
                <w:szCs w:val="18"/>
              </w:rPr>
              <w:t>≤1.56</w:t>
            </w:r>
          </w:p>
        </w:tc>
        <w:tc>
          <w:tcPr>
            <w:tcW w:w="333" w:type="pct"/>
            <w:noWrap w:val="0"/>
            <w:vAlign w:val="top"/>
          </w:tcPr>
          <w:p>
            <w:pPr>
              <w:spacing w:line="280" w:lineRule="exact"/>
              <w:jc w:val="center"/>
              <w:rPr>
                <w:color w:val="000000"/>
                <w:sz w:val="18"/>
                <w:szCs w:val="18"/>
              </w:rPr>
            </w:pPr>
            <w:r>
              <w:rPr>
                <w:rFonts w:hint="eastAsia"/>
                <w:color w:val="000000"/>
                <w:sz w:val="18"/>
                <w:szCs w:val="18"/>
              </w:rPr>
              <w:t>1.29</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rFonts w:hint="eastAsia"/>
                <w:color w:val="000000"/>
                <w:sz w:val="18"/>
                <w:szCs w:val="18"/>
              </w:rPr>
              <w:t>6</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color w:val="000000"/>
                <w:sz w:val="18"/>
                <w:szCs w:val="18"/>
              </w:rPr>
              <w:t>电耗</w:t>
            </w:r>
          </w:p>
        </w:tc>
        <w:tc>
          <w:tcPr>
            <w:tcW w:w="373" w:type="pct"/>
            <w:noWrap w:val="0"/>
            <w:vAlign w:val="top"/>
          </w:tcPr>
          <w:p>
            <w:pPr>
              <w:spacing w:line="280" w:lineRule="exact"/>
              <w:jc w:val="center"/>
              <w:rPr>
                <w:rFonts w:hint="eastAsia"/>
                <w:color w:val="000000"/>
                <w:sz w:val="15"/>
                <w:szCs w:val="15"/>
              </w:rPr>
            </w:pPr>
            <w:r>
              <w:rPr>
                <w:color w:val="000000"/>
                <w:sz w:val="15"/>
                <w:szCs w:val="15"/>
              </w:rPr>
              <w:t>k·Wh/t原矿</w:t>
            </w:r>
          </w:p>
        </w:tc>
        <w:tc>
          <w:tcPr>
            <w:tcW w:w="372" w:type="pct"/>
            <w:noWrap w:val="0"/>
            <w:vAlign w:val="top"/>
          </w:tcPr>
          <w:p>
            <w:pPr>
              <w:spacing w:line="280" w:lineRule="exact"/>
              <w:jc w:val="center"/>
              <w:rPr>
                <w:rFonts w:hint="eastAsia"/>
                <w:color w:val="000000"/>
                <w:sz w:val="18"/>
                <w:szCs w:val="18"/>
              </w:rPr>
            </w:pPr>
            <w:r>
              <w:rPr>
                <w:color w:val="000000"/>
                <w:sz w:val="18"/>
                <w:szCs w:val="18"/>
              </w:rPr>
              <w:t>0.40</w:t>
            </w:r>
          </w:p>
        </w:tc>
        <w:tc>
          <w:tcPr>
            <w:tcW w:w="673" w:type="pct"/>
            <w:noWrap w:val="0"/>
            <w:vAlign w:val="top"/>
          </w:tcPr>
          <w:p>
            <w:pPr>
              <w:spacing w:line="280" w:lineRule="exact"/>
              <w:jc w:val="center"/>
              <w:rPr>
                <w:rFonts w:hint="eastAsia"/>
                <w:color w:val="000000"/>
                <w:sz w:val="18"/>
                <w:szCs w:val="18"/>
              </w:rPr>
            </w:pPr>
            <w:r>
              <w:rPr>
                <w:color w:val="000000"/>
                <w:sz w:val="18"/>
                <w:szCs w:val="18"/>
              </w:rPr>
              <w:t>≤28</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≤30</w:t>
            </w:r>
          </w:p>
        </w:tc>
        <w:tc>
          <w:tcPr>
            <w:tcW w:w="671" w:type="pct"/>
            <w:noWrap w:val="0"/>
            <w:vAlign w:val="top"/>
          </w:tcPr>
          <w:p>
            <w:pPr>
              <w:spacing w:line="280" w:lineRule="exact"/>
              <w:jc w:val="center"/>
              <w:rPr>
                <w:rFonts w:hint="eastAsia"/>
                <w:color w:val="000000"/>
                <w:sz w:val="18"/>
                <w:szCs w:val="18"/>
              </w:rPr>
            </w:pPr>
            <w:r>
              <w:rPr>
                <w:color w:val="000000"/>
                <w:sz w:val="18"/>
                <w:szCs w:val="18"/>
              </w:rPr>
              <w:t>≤35</w:t>
            </w:r>
          </w:p>
        </w:tc>
        <w:tc>
          <w:tcPr>
            <w:tcW w:w="333" w:type="pct"/>
            <w:noWrap w:val="0"/>
            <w:vAlign w:val="top"/>
          </w:tcPr>
          <w:p>
            <w:pPr>
              <w:spacing w:line="280" w:lineRule="exact"/>
              <w:jc w:val="center"/>
              <w:rPr>
                <w:color w:val="000000"/>
                <w:sz w:val="18"/>
                <w:szCs w:val="18"/>
              </w:rPr>
            </w:pPr>
            <w:r>
              <w:rPr>
                <w:rFonts w:hint="eastAsia"/>
                <w:color w:val="000000"/>
                <w:sz w:val="18"/>
                <w:szCs w:val="18"/>
              </w:rPr>
              <w:t>33.6</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rFonts w:hint="eastAsia"/>
                <w:color w:val="000000"/>
                <w:sz w:val="18"/>
                <w:szCs w:val="18"/>
              </w:rPr>
              <w:t>7</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color w:val="000000"/>
                <w:sz w:val="18"/>
                <w:szCs w:val="18"/>
              </w:rPr>
              <w:t>综合能耗</w:t>
            </w:r>
          </w:p>
        </w:tc>
        <w:tc>
          <w:tcPr>
            <w:tcW w:w="373" w:type="pct"/>
            <w:noWrap w:val="0"/>
            <w:vAlign w:val="top"/>
          </w:tcPr>
          <w:p>
            <w:pPr>
              <w:spacing w:line="280" w:lineRule="exact"/>
              <w:jc w:val="center"/>
              <w:rPr>
                <w:rFonts w:hint="eastAsia"/>
                <w:color w:val="000000"/>
                <w:sz w:val="15"/>
                <w:szCs w:val="15"/>
              </w:rPr>
            </w:pPr>
            <w:r>
              <w:rPr>
                <w:color w:val="000000"/>
                <w:sz w:val="15"/>
                <w:szCs w:val="15"/>
              </w:rPr>
              <w:t>kgce/t原 矿</w:t>
            </w:r>
          </w:p>
        </w:tc>
        <w:tc>
          <w:tcPr>
            <w:tcW w:w="372" w:type="pct"/>
            <w:noWrap w:val="0"/>
            <w:vAlign w:val="top"/>
          </w:tcPr>
          <w:p>
            <w:pPr>
              <w:spacing w:line="280" w:lineRule="exact"/>
              <w:jc w:val="center"/>
              <w:rPr>
                <w:rFonts w:hint="eastAsia"/>
                <w:color w:val="000000"/>
                <w:sz w:val="18"/>
                <w:szCs w:val="18"/>
              </w:rPr>
            </w:pPr>
            <w:r>
              <w:rPr>
                <w:color w:val="000000"/>
                <w:sz w:val="18"/>
                <w:szCs w:val="18"/>
              </w:rPr>
              <w:t>0.20</w:t>
            </w:r>
          </w:p>
        </w:tc>
        <w:tc>
          <w:tcPr>
            <w:tcW w:w="673" w:type="pct"/>
            <w:noWrap w:val="0"/>
            <w:vAlign w:val="top"/>
          </w:tcPr>
          <w:p>
            <w:pPr>
              <w:spacing w:line="280" w:lineRule="exact"/>
              <w:jc w:val="center"/>
              <w:rPr>
                <w:rFonts w:hint="eastAsia"/>
                <w:color w:val="000000"/>
                <w:sz w:val="18"/>
                <w:szCs w:val="18"/>
              </w:rPr>
            </w:pPr>
            <w:r>
              <w:rPr>
                <w:color w:val="000000"/>
                <w:sz w:val="18"/>
                <w:szCs w:val="18"/>
              </w:rPr>
              <w:t>≤6.0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≤6.5</w:t>
            </w:r>
          </w:p>
        </w:tc>
        <w:tc>
          <w:tcPr>
            <w:tcW w:w="671" w:type="pct"/>
            <w:noWrap w:val="0"/>
            <w:vAlign w:val="top"/>
          </w:tcPr>
          <w:p>
            <w:pPr>
              <w:spacing w:line="280" w:lineRule="exact"/>
              <w:jc w:val="center"/>
              <w:rPr>
                <w:rFonts w:hint="eastAsia"/>
                <w:color w:val="000000"/>
                <w:sz w:val="18"/>
                <w:szCs w:val="18"/>
              </w:rPr>
            </w:pPr>
            <w:r>
              <w:rPr>
                <w:color w:val="000000"/>
                <w:sz w:val="18"/>
                <w:szCs w:val="18"/>
              </w:rPr>
              <w:t>≤7</w:t>
            </w:r>
          </w:p>
        </w:tc>
        <w:tc>
          <w:tcPr>
            <w:tcW w:w="333" w:type="pct"/>
            <w:noWrap w:val="0"/>
            <w:vAlign w:val="top"/>
          </w:tcPr>
          <w:p>
            <w:pPr>
              <w:spacing w:line="280" w:lineRule="exact"/>
              <w:jc w:val="center"/>
              <w:rPr>
                <w:color w:val="000000"/>
                <w:sz w:val="18"/>
                <w:szCs w:val="18"/>
              </w:rPr>
            </w:pPr>
            <w:r>
              <w:rPr>
                <w:rFonts w:hint="eastAsia"/>
                <w:color w:val="000000"/>
                <w:sz w:val="18"/>
                <w:szCs w:val="18"/>
              </w:rPr>
              <w:t>4.64</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8</w:t>
            </w:r>
          </w:p>
        </w:tc>
        <w:tc>
          <w:tcPr>
            <w:tcW w:w="280" w:type="pct"/>
            <w:vMerge w:val="restart"/>
            <w:noWrap w:val="0"/>
            <w:vAlign w:val="top"/>
          </w:tcPr>
          <w:p>
            <w:pPr>
              <w:spacing w:line="280" w:lineRule="exact"/>
              <w:rPr>
                <w:rFonts w:hint="eastAsia"/>
                <w:color w:val="000000"/>
                <w:sz w:val="18"/>
                <w:szCs w:val="18"/>
              </w:rPr>
            </w:pPr>
            <w:r>
              <w:rPr>
                <w:color w:val="000000"/>
                <w:sz w:val="18"/>
                <w:szCs w:val="18"/>
              </w:rPr>
              <w:t>资源利用指标</w:t>
            </w:r>
          </w:p>
        </w:tc>
        <w:tc>
          <w:tcPr>
            <w:tcW w:w="331" w:type="pct"/>
            <w:vMerge w:val="restart"/>
            <w:noWrap w:val="0"/>
            <w:vAlign w:val="top"/>
          </w:tcPr>
          <w:p>
            <w:pPr>
              <w:spacing w:line="280" w:lineRule="exact"/>
              <w:jc w:val="center"/>
              <w:rPr>
                <w:rFonts w:hint="eastAsia"/>
                <w:color w:val="000000"/>
                <w:sz w:val="18"/>
                <w:szCs w:val="18"/>
              </w:rPr>
            </w:pPr>
            <w:r>
              <w:rPr>
                <w:color w:val="000000"/>
                <w:sz w:val="18"/>
                <w:szCs w:val="18"/>
              </w:rPr>
              <w:t>0.30</w:t>
            </w:r>
          </w:p>
        </w:tc>
        <w:tc>
          <w:tcPr>
            <w:tcW w:w="879" w:type="pct"/>
            <w:noWrap w:val="0"/>
            <w:vAlign w:val="top"/>
          </w:tcPr>
          <w:p>
            <w:pPr>
              <w:spacing w:line="280" w:lineRule="exact"/>
              <w:jc w:val="center"/>
              <w:rPr>
                <w:rFonts w:hint="eastAsia"/>
                <w:color w:val="000000"/>
                <w:sz w:val="18"/>
                <w:szCs w:val="18"/>
              </w:rPr>
            </w:pPr>
            <w:r>
              <w:rPr>
                <w:color w:val="000000"/>
                <w:sz w:val="18"/>
                <w:szCs w:val="18"/>
              </w:rPr>
              <w:t>铅选矿金属实际回收率</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0.15</w:t>
            </w:r>
          </w:p>
        </w:tc>
        <w:tc>
          <w:tcPr>
            <w:tcW w:w="673" w:type="pct"/>
            <w:noWrap w:val="0"/>
            <w:vAlign w:val="top"/>
          </w:tcPr>
          <w:p>
            <w:pPr>
              <w:spacing w:line="280" w:lineRule="exact"/>
              <w:jc w:val="center"/>
              <w:rPr>
                <w:rFonts w:hint="eastAsia"/>
                <w:color w:val="000000"/>
                <w:sz w:val="18"/>
                <w:szCs w:val="18"/>
              </w:rPr>
            </w:pPr>
            <w:r>
              <w:rPr>
                <w:color w:val="000000"/>
                <w:sz w:val="18"/>
                <w:szCs w:val="18"/>
              </w:rPr>
              <w:t>≥91.0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≥88.0</w:t>
            </w:r>
          </w:p>
        </w:tc>
        <w:tc>
          <w:tcPr>
            <w:tcW w:w="671" w:type="pct"/>
            <w:noWrap w:val="0"/>
            <w:vAlign w:val="top"/>
          </w:tcPr>
          <w:p>
            <w:pPr>
              <w:spacing w:line="280" w:lineRule="exact"/>
              <w:jc w:val="center"/>
              <w:rPr>
                <w:rFonts w:hint="eastAsia"/>
                <w:color w:val="000000"/>
                <w:sz w:val="18"/>
                <w:szCs w:val="18"/>
              </w:rPr>
            </w:pPr>
            <w:r>
              <w:rPr>
                <w:color w:val="000000"/>
                <w:sz w:val="18"/>
                <w:szCs w:val="18"/>
              </w:rPr>
              <w:t>≥85.0</w:t>
            </w:r>
          </w:p>
        </w:tc>
        <w:tc>
          <w:tcPr>
            <w:tcW w:w="333" w:type="pct"/>
            <w:noWrap w:val="0"/>
            <w:vAlign w:val="top"/>
          </w:tcPr>
          <w:p>
            <w:pPr>
              <w:spacing w:line="280" w:lineRule="exact"/>
              <w:jc w:val="center"/>
              <w:rPr>
                <w:rFonts w:ascii="宋体" w:hAnsi="宋体"/>
                <w:color w:val="000000"/>
                <w:sz w:val="18"/>
                <w:szCs w:val="18"/>
              </w:rPr>
            </w:pPr>
            <w:r>
              <w:rPr>
                <w:rFonts w:hint="eastAsia" w:ascii="宋体" w:hAnsi="宋体"/>
                <w:color w:val="000000"/>
                <w:sz w:val="18"/>
                <w:szCs w:val="18"/>
              </w:rPr>
              <w:t>90.12</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9</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color w:val="000000"/>
                <w:sz w:val="18"/>
                <w:szCs w:val="18"/>
              </w:rPr>
              <w:t>锌选矿金属实际回收率</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0.15</w:t>
            </w:r>
          </w:p>
        </w:tc>
        <w:tc>
          <w:tcPr>
            <w:tcW w:w="673" w:type="pct"/>
            <w:noWrap w:val="0"/>
            <w:vAlign w:val="top"/>
          </w:tcPr>
          <w:p>
            <w:pPr>
              <w:spacing w:line="280" w:lineRule="exact"/>
              <w:jc w:val="center"/>
              <w:rPr>
                <w:rFonts w:hint="eastAsia"/>
                <w:color w:val="000000"/>
                <w:sz w:val="18"/>
                <w:szCs w:val="18"/>
              </w:rPr>
            </w:pPr>
            <w:r>
              <w:rPr>
                <w:color w:val="000000"/>
                <w:sz w:val="18"/>
                <w:szCs w:val="18"/>
              </w:rPr>
              <w:t>≥92.0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≥89.0</w:t>
            </w:r>
          </w:p>
        </w:tc>
        <w:tc>
          <w:tcPr>
            <w:tcW w:w="671" w:type="pct"/>
            <w:noWrap w:val="0"/>
            <w:vAlign w:val="top"/>
          </w:tcPr>
          <w:p>
            <w:pPr>
              <w:spacing w:line="280" w:lineRule="exact"/>
              <w:jc w:val="center"/>
              <w:rPr>
                <w:rFonts w:hint="eastAsia"/>
                <w:color w:val="000000"/>
                <w:sz w:val="18"/>
                <w:szCs w:val="18"/>
              </w:rPr>
            </w:pPr>
            <w:r>
              <w:rPr>
                <w:color w:val="000000"/>
                <w:sz w:val="18"/>
                <w:szCs w:val="18"/>
              </w:rPr>
              <w:t>≥87.5</w:t>
            </w:r>
          </w:p>
        </w:tc>
        <w:tc>
          <w:tcPr>
            <w:tcW w:w="333" w:type="pct"/>
            <w:noWrap w:val="0"/>
            <w:vAlign w:val="top"/>
          </w:tcPr>
          <w:p>
            <w:pPr>
              <w:spacing w:line="280" w:lineRule="exact"/>
              <w:jc w:val="center"/>
              <w:rPr>
                <w:rFonts w:ascii="宋体" w:hAnsi="宋体"/>
                <w:color w:val="000000"/>
                <w:sz w:val="18"/>
                <w:szCs w:val="18"/>
              </w:rPr>
            </w:pPr>
            <w:r>
              <w:rPr>
                <w:rFonts w:hint="eastAsia" w:ascii="宋体" w:hAnsi="宋体"/>
                <w:color w:val="000000"/>
                <w:sz w:val="18"/>
                <w:szCs w:val="18"/>
              </w:rPr>
              <w:t>90.62</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10</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w:t>
            </w:r>
            <w:r>
              <w:rPr>
                <w:color w:val="000000"/>
                <w:sz w:val="18"/>
                <w:szCs w:val="18"/>
              </w:rPr>
              <w:t>伴生元素回收程度</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0.35</w:t>
            </w:r>
          </w:p>
        </w:tc>
        <w:tc>
          <w:tcPr>
            <w:tcW w:w="673" w:type="pct"/>
            <w:noWrap w:val="0"/>
            <w:vAlign w:val="top"/>
          </w:tcPr>
          <w:p>
            <w:pPr>
              <w:spacing w:line="280" w:lineRule="exact"/>
              <w:jc w:val="center"/>
              <w:rPr>
                <w:rFonts w:hint="eastAsia"/>
                <w:color w:val="000000"/>
                <w:sz w:val="18"/>
                <w:szCs w:val="18"/>
              </w:rPr>
            </w:pPr>
            <w:r>
              <w:rPr>
                <w:color w:val="000000"/>
                <w:sz w:val="18"/>
                <w:szCs w:val="18"/>
              </w:rPr>
              <w:t>≥70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≥60</w:t>
            </w:r>
          </w:p>
        </w:tc>
        <w:tc>
          <w:tcPr>
            <w:tcW w:w="671" w:type="pct"/>
            <w:noWrap w:val="0"/>
            <w:vAlign w:val="top"/>
          </w:tcPr>
          <w:p>
            <w:pPr>
              <w:spacing w:line="280" w:lineRule="exact"/>
              <w:jc w:val="center"/>
              <w:rPr>
                <w:rFonts w:hint="eastAsia"/>
                <w:color w:val="000000"/>
                <w:sz w:val="18"/>
                <w:szCs w:val="18"/>
              </w:rPr>
            </w:pPr>
            <w:r>
              <w:rPr>
                <w:color w:val="000000"/>
                <w:sz w:val="18"/>
                <w:szCs w:val="18"/>
              </w:rPr>
              <w:t>≥50</w:t>
            </w:r>
          </w:p>
        </w:tc>
        <w:tc>
          <w:tcPr>
            <w:tcW w:w="333" w:type="pct"/>
            <w:noWrap w:val="0"/>
            <w:vAlign w:val="top"/>
          </w:tcPr>
          <w:p>
            <w:pPr>
              <w:spacing w:line="280" w:lineRule="exact"/>
              <w:jc w:val="center"/>
              <w:rPr>
                <w:rFonts w:hint="eastAsia" w:ascii="宋体" w:hAnsi="宋体"/>
                <w:color w:val="000000"/>
                <w:sz w:val="18"/>
                <w:szCs w:val="18"/>
              </w:rPr>
            </w:pP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11</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rFonts w:hint="eastAsia" w:ascii="宋体" w:hAnsi="宋体" w:cs="宋体"/>
                <w:color w:val="000000"/>
                <w:sz w:val="18"/>
                <w:szCs w:val="18"/>
              </w:rPr>
              <w:t>※</w:t>
            </w:r>
            <w:r>
              <w:rPr>
                <w:color w:val="000000"/>
                <w:sz w:val="18"/>
                <w:szCs w:val="18"/>
              </w:rPr>
              <w:t>工业用水重复利用率</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0.20</w:t>
            </w:r>
          </w:p>
        </w:tc>
        <w:tc>
          <w:tcPr>
            <w:tcW w:w="673" w:type="pct"/>
            <w:noWrap w:val="0"/>
            <w:vAlign w:val="top"/>
          </w:tcPr>
          <w:p>
            <w:pPr>
              <w:spacing w:line="280" w:lineRule="exact"/>
              <w:jc w:val="center"/>
              <w:rPr>
                <w:rFonts w:hint="eastAsia"/>
                <w:color w:val="000000"/>
                <w:sz w:val="18"/>
                <w:szCs w:val="18"/>
              </w:rPr>
            </w:pPr>
            <w:r>
              <w:rPr>
                <w:color w:val="000000"/>
                <w:sz w:val="18"/>
                <w:szCs w:val="18"/>
              </w:rPr>
              <w:t>≥85</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≥83</w:t>
            </w:r>
          </w:p>
        </w:tc>
        <w:tc>
          <w:tcPr>
            <w:tcW w:w="671" w:type="pct"/>
            <w:noWrap w:val="0"/>
            <w:vAlign w:val="top"/>
          </w:tcPr>
          <w:p>
            <w:pPr>
              <w:spacing w:line="280" w:lineRule="exact"/>
              <w:jc w:val="center"/>
              <w:rPr>
                <w:rFonts w:hint="eastAsia"/>
                <w:color w:val="000000"/>
                <w:sz w:val="18"/>
                <w:szCs w:val="18"/>
              </w:rPr>
            </w:pPr>
            <w:r>
              <w:rPr>
                <w:color w:val="000000"/>
                <w:sz w:val="18"/>
                <w:szCs w:val="18"/>
              </w:rPr>
              <w:t>≥80</w:t>
            </w:r>
          </w:p>
        </w:tc>
        <w:tc>
          <w:tcPr>
            <w:tcW w:w="333" w:type="pct"/>
            <w:noWrap w:val="0"/>
            <w:vAlign w:val="top"/>
          </w:tcPr>
          <w:p>
            <w:pPr>
              <w:spacing w:line="360" w:lineRule="auto"/>
              <w:jc w:val="center"/>
              <w:rPr>
                <w:rFonts w:hint="eastAsia" w:ascii="宋体" w:hAnsi="宋体"/>
                <w:color w:val="000000"/>
                <w:sz w:val="18"/>
                <w:szCs w:val="18"/>
              </w:rPr>
            </w:pPr>
            <w:r>
              <w:rPr>
                <w:rFonts w:hint="eastAsia" w:ascii="宋体" w:hAnsi="宋体"/>
                <w:color w:val="000000"/>
                <w:sz w:val="18"/>
                <w:szCs w:val="18"/>
              </w:rPr>
              <w:t>85.6</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rFonts w:hint="eastAsia"/>
                <w:color w:val="000000"/>
                <w:sz w:val="18"/>
                <w:szCs w:val="18"/>
              </w:rPr>
            </w:pPr>
            <w:r>
              <w:rPr>
                <w:color w:val="000000"/>
                <w:sz w:val="18"/>
                <w:szCs w:val="18"/>
              </w:rPr>
              <w:t>12</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rFonts w:hint="eastAsia"/>
                <w:color w:val="000000"/>
                <w:sz w:val="18"/>
                <w:szCs w:val="18"/>
              </w:rPr>
            </w:pPr>
            <w:r>
              <w:rPr>
                <w:color w:val="000000"/>
                <w:sz w:val="18"/>
                <w:szCs w:val="18"/>
              </w:rPr>
              <w:t>尾矿综合利用率（地下 矿山）</w:t>
            </w:r>
          </w:p>
        </w:tc>
        <w:tc>
          <w:tcPr>
            <w:tcW w:w="373" w:type="pct"/>
            <w:noWrap w:val="0"/>
            <w:vAlign w:val="top"/>
          </w:tcPr>
          <w:p>
            <w:pPr>
              <w:spacing w:line="280" w:lineRule="exact"/>
              <w:jc w:val="center"/>
              <w:rPr>
                <w:rFonts w:hint="eastAsia"/>
                <w:color w:val="000000"/>
                <w:sz w:val="18"/>
                <w:szCs w:val="18"/>
              </w:rPr>
            </w:pPr>
            <w:r>
              <w:rPr>
                <w:color w:val="000000"/>
                <w:sz w:val="18"/>
                <w:szCs w:val="18"/>
              </w:rPr>
              <w:t>%</w:t>
            </w:r>
          </w:p>
        </w:tc>
        <w:tc>
          <w:tcPr>
            <w:tcW w:w="372" w:type="pct"/>
            <w:noWrap w:val="0"/>
            <w:vAlign w:val="top"/>
          </w:tcPr>
          <w:p>
            <w:pPr>
              <w:spacing w:line="280" w:lineRule="exact"/>
              <w:jc w:val="center"/>
              <w:rPr>
                <w:rFonts w:hint="eastAsia"/>
                <w:color w:val="000000"/>
                <w:sz w:val="18"/>
                <w:szCs w:val="18"/>
              </w:rPr>
            </w:pPr>
            <w:r>
              <w:rPr>
                <w:color w:val="000000"/>
                <w:sz w:val="18"/>
                <w:szCs w:val="18"/>
              </w:rPr>
              <w:t>0.15</w:t>
            </w:r>
          </w:p>
        </w:tc>
        <w:tc>
          <w:tcPr>
            <w:tcW w:w="673" w:type="pct"/>
            <w:noWrap w:val="0"/>
            <w:vAlign w:val="top"/>
          </w:tcPr>
          <w:p>
            <w:pPr>
              <w:spacing w:line="280" w:lineRule="exact"/>
              <w:jc w:val="center"/>
              <w:rPr>
                <w:rFonts w:hint="eastAsia"/>
                <w:color w:val="000000"/>
                <w:sz w:val="18"/>
                <w:szCs w:val="18"/>
              </w:rPr>
            </w:pPr>
            <w:r>
              <w:rPr>
                <w:color w:val="000000"/>
                <w:sz w:val="18"/>
                <w:szCs w:val="18"/>
              </w:rPr>
              <w:t>≥50</w:t>
            </w:r>
          </w:p>
        </w:tc>
        <w:tc>
          <w:tcPr>
            <w:tcW w:w="560" w:type="pct"/>
            <w:gridSpan w:val="2"/>
            <w:noWrap w:val="0"/>
            <w:vAlign w:val="top"/>
          </w:tcPr>
          <w:p>
            <w:pPr>
              <w:spacing w:line="280" w:lineRule="exact"/>
              <w:jc w:val="center"/>
              <w:rPr>
                <w:rFonts w:hint="eastAsia"/>
                <w:color w:val="000000"/>
                <w:sz w:val="18"/>
                <w:szCs w:val="18"/>
              </w:rPr>
            </w:pPr>
            <w:r>
              <w:rPr>
                <w:color w:val="000000"/>
                <w:sz w:val="18"/>
                <w:szCs w:val="18"/>
              </w:rPr>
              <w:t>≥40</w:t>
            </w:r>
          </w:p>
        </w:tc>
        <w:tc>
          <w:tcPr>
            <w:tcW w:w="671" w:type="pct"/>
            <w:noWrap w:val="0"/>
            <w:vAlign w:val="top"/>
          </w:tcPr>
          <w:p>
            <w:pPr>
              <w:spacing w:line="280" w:lineRule="exact"/>
              <w:jc w:val="center"/>
              <w:rPr>
                <w:rFonts w:hint="eastAsia"/>
                <w:color w:val="000000"/>
                <w:sz w:val="18"/>
                <w:szCs w:val="18"/>
              </w:rPr>
            </w:pPr>
            <w:r>
              <w:rPr>
                <w:color w:val="000000"/>
                <w:sz w:val="18"/>
                <w:szCs w:val="18"/>
              </w:rPr>
              <w:t>≥30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60</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13</w:t>
            </w:r>
          </w:p>
        </w:tc>
        <w:tc>
          <w:tcPr>
            <w:tcW w:w="280" w:type="pct"/>
            <w:vMerge w:val="restart"/>
            <w:noWrap w:val="0"/>
            <w:vAlign w:val="top"/>
          </w:tcPr>
          <w:p>
            <w:pPr>
              <w:spacing w:line="280" w:lineRule="exact"/>
              <w:rPr>
                <w:rFonts w:hint="eastAsia"/>
                <w:color w:val="000000"/>
                <w:sz w:val="18"/>
                <w:szCs w:val="18"/>
              </w:rPr>
            </w:pPr>
            <w:r>
              <w:rPr>
                <w:color w:val="000000"/>
                <w:sz w:val="18"/>
                <w:szCs w:val="18"/>
              </w:rPr>
              <w:t>污染物产生指 标</w:t>
            </w:r>
          </w:p>
        </w:tc>
        <w:tc>
          <w:tcPr>
            <w:tcW w:w="331" w:type="pct"/>
            <w:vMerge w:val="restart"/>
            <w:noWrap w:val="0"/>
            <w:vAlign w:val="top"/>
          </w:tcPr>
          <w:p>
            <w:pPr>
              <w:spacing w:line="280" w:lineRule="exact"/>
              <w:jc w:val="center"/>
              <w:rPr>
                <w:rFonts w:hint="eastAsia"/>
                <w:color w:val="000000"/>
                <w:sz w:val="18"/>
                <w:szCs w:val="18"/>
              </w:rPr>
            </w:pPr>
            <w:r>
              <w:rPr>
                <w:color w:val="000000"/>
                <w:sz w:val="18"/>
                <w:szCs w:val="18"/>
              </w:rPr>
              <w:t>0.10</w:t>
            </w:r>
          </w:p>
        </w:tc>
        <w:tc>
          <w:tcPr>
            <w:tcW w:w="879" w:type="pct"/>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废水产生量</w:t>
            </w:r>
          </w:p>
        </w:tc>
        <w:tc>
          <w:tcPr>
            <w:tcW w:w="373" w:type="pct"/>
            <w:noWrap w:val="0"/>
            <w:vAlign w:val="top"/>
          </w:tcPr>
          <w:p>
            <w:pPr>
              <w:spacing w:line="280" w:lineRule="exact"/>
              <w:jc w:val="center"/>
              <w:rPr>
                <w:color w:val="000000"/>
                <w:sz w:val="18"/>
                <w:szCs w:val="18"/>
              </w:rPr>
            </w:pPr>
            <w:r>
              <w:rPr>
                <w:color w:val="000000"/>
                <w:sz w:val="18"/>
                <w:szCs w:val="18"/>
              </w:rPr>
              <w:t>m3/t</w:t>
            </w:r>
          </w:p>
        </w:tc>
        <w:tc>
          <w:tcPr>
            <w:tcW w:w="372" w:type="pct"/>
            <w:noWrap w:val="0"/>
            <w:vAlign w:val="top"/>
          </w:tcPr>
          <w:p>
            <w:pPr>
              <w:spacing w:line="280" w:lineRule="exact"/>
              <w:jc w:val="center"/>
              <w:rPr>
                <w:color w:val="000000"/>
                <w:sz w:val="18"/>
                <w:szCs w:val="18"/>
              </w:rPr>
            </w:pPr>
            <w:r>
              <w:rPr>
                <w:color w:val="000000"/>
                <w:sz w:val="18"/>
                <w:szCs w:val="18"/>
              </w:rPr>
              <w:t>0.25</w:t>
            </w:r>
          </w:p>
        </w:tc>
        <w:tc>
          <w:tcPr>
            <w:tcW w:w="673" w:type="pct"/>
            <w:noWrap w:val="0"/>
            <w:vAlign w:val="top"/>
          </w:tcPr>
          <w:p>
            <w:pPr>
              <w:spacing w:line="280" w:lineRule="exact"/>
              <w:jc w:val="center"/>
              <w:rPr>
                <w:color w:val="000000"/>
                <w:sz w:val="18"/>
                <w:szCs w:val="18"/>
              </w:rPr>
            </w:pPr>
            <w:r>
              <w:rPr>
                <w:color w:val="000000"/>
                <w:sz w:val="18"/>
                <w:szCs w:val="18"/>
              </w:rPr>
              <w:t>≤4.0</w:t>
            </w:r>
          </w:p>
        </w:tc>
        <w:tc>
          <w:tcPr>
            <w:tcW w:w="560" w:type="pct"/>
            <w:gridSpan w:val="2"/>
            <w:noWrap w:val="0"/>
            <w:vAlign w:val="top"/>
          </w:tcPr>
          <w:p>
            <w:pPr>
              <w:spacing w:line="280" w:lineRule="exact"/>
              <w:jc w:val="center"/>
              <w:rPr>
                <w:color w:val="000000"/>
                <w:sz w:val="18"/>
                <w:szCs w:val="18"/>
              </w:rPr>
            </w:pPr>
            <w:r>
              <w:rPr>
                <w:color w:val="000000"/>
                <w:sz w:val="18"/>
                <w:szCs w:val="18"/>
              </w:rPr>
              <w:t>≤4.2</w:t>
            </w:r>
          </w:p>
        </w:tc>
        <w:tc>
          <w:tcPr>
            <w:tcW w:w="671" w:type="pct"/>
            <w:noWrap w:val="0"/>
            <w:vAlign w:val="top"/>
          </w:tcPr>
          <w:p>
            <w:pPr>
              <w:spacing w:line="280" w:lineRule="exact"/>
              <w:jc w:val="center"/>
              <w:rPr>
                <w:color w:val="000000"/>
                <w:sz w:val="18"/>
                <w:szCs w:val="18"/>
              </w:rPr>
            </w:pPr>
            <w:r>
              <w:rPr>
                <w:color w:val="000000"/>
                <w:sz w:val="18"/>
                <w:szCs w:val="18"/>
              </w:rPr>
              <w:t>≤4.5</w:t>
            </w:r>
          </w:p>
        </w:tc>
        <w:tc>
          <w:tcPr>
            <w:tcW w:w="333" w:type="pct"/>
            <w:noWrap w:val="0"/>
            <w:vAlign w:val="top"/>
          </w:tcPr>
          <w:p>
            <w:pPr>
              <w:spacing w:line="280" w:lineRule="exact"/>
              <w:jc w:val="center"/>
              <w:rPr>
                <w:color w:val="000000"/>
                <w:sz w:val="18"/>
                <w:szCs w:val="18"/>
              </w:rPr>
            </w:pPr>
            <w:r>
              <w:rPr>
                <w:rFonts w:hint="eastAsia"/>
                <w:color w:val="000000"/>
                <w:sz w:val="18"/>
                <w:szCs w:val="18"/>
              </w:rPr>
              <w:t>1.27</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14</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废水中Pb的最高允许浓度</w:t>
            </w:r>
          </w:p>
        </w:tc>
        <w:tc>
          <w:tcPr>
            <w:tcW w:w="373" w:type="pct"/>
            <w:noWrap w:val="0"/>
            <w:vAlign w:val="top"/>
          </w:tcPr>
          <w:p>
            <w:pPr>
              <w:spacing w:line="280" w:lineRule="exact"/>
              <w:jc w:val="center"/>
              <w:rPr>
                <w:color w:val="000000"/>
                <w:sz w:val="18"/>
                <w:szCs w:val="18"/>
              </w:rPr>
            </w:pPr>
            <w:r>
              <w:rPr>
                <w:color w:val="000000"/>
                <w:sz w:val="18"/>
                <w:szCs w:val="18"/>
              </w:rPr>
              <w:t>mg/l</w:t>
            </w:r>
          </w:p>
        </w:tc>
        <w:tc>
          <w:tcPr>
            <w:tcW w:w="372" w:type="pct"/>
            <w:noWrap w:val="0"/>
            <w:vAlign w:val="top"/>
          </w:tcPr>
          <w:p>
            <w:pPr>
              <w:spacing w:line="280" w:lineRule="exact"/>
              <w:jc w:val="center"/>
              <w:rPr>
                <w:color w:val="000000"/>
                <w:sz w:val="18"/>
                <w:szCs w:val="18"/>
              </w:rPr>
            </w:pPr>
            <w:r>
              <w:rPr>
                <w:color w:val="000000"/>
                <w:sz w:val="18"/>
                <w:szCs w:val="18"/>
              </w:rPr>
              <w:t>0.15</w:t>
            </w:r>
          </w:p>
        </w:tc>
        <w:tc>
          <w:tcPr>
            <w:tcW w:w="673" w:type="pct"/>
            <w:noWrap w:val="0"/>
            <w:vAlign w:val="top"/>
          </w:tcPr>
          <w:p>
            <w:pPr>
              <w:spacing w:line="280" w:lineRule="exact"/>
              <w:jc w:val="center"/>
              <w:rPr>
                <w:color w:val="000000"/>
                <w:sz w:val="18"/>
                <w:szCs w:val="18"/>
              </w:rPr>
            </w:pPr>
            <w:r>
              <w:rPr>
                <w:color w:val="000000"/>
                <w:sz w:val="18"/>
                <w:szCs w:val="18"/>
              </w:rPr>
              <w:t>≤0.40</w:t>
            </w:r>
          </w:p>
        </w:tc>
        <w:tc>
          <w:tcPr>
            <w:tcW w:w="560" w:type="pct"/>
            <w:gridSpan w:val="2"/>
            <w:noWrap w:val="0"/>
            <w:vAlign w:val="top"/>
          </w:tcPr>
          <w:p>
            <w:pPr>
              <w:spacing w:line="280" w:lineRule="exact"/>
              <w:jc w:val="center"/>
              <w:rPr>
                <w:color w:val="000000"/>
                <w:sz w:val="18"/>
                <w:szCs w:val="18"/>
              </w:rPr>
            </w:pPr>
            <w:r>
              <w:rPr>
                <w:color w:val="000000"/>
                <w:sz w:val="18"/>
                <w:szCs w:val="18"/>
              </w:rPr>
              <w:t>≤0.45</w:t>
            </w:r>
          </w:p>
        </w:tc>
        <w:tc>
          <w:tcPr>
            <w:tcW w:w="671" w:type="pct"/>
            <w:noWrap w:val="0"/>
            <w:vAlign w:val="top"/>
          </w:tcPr>
          <w:p>
            <w:pPr>
              <w:spacing w:line="280" w:lineRule="exact"/>
              <w:jc w:val="center"/>
              <w:rPr>
                <w:color w:val="000000"/>
                <w:sz w:val="18"/>
                <w:szCs w:val="18"/>
              </w:rPr>
            </w:pPr>
            <w:r>
              <w:rPr>
                <w:color w:val="000000"/>
                <w:sz w:val="18"/>
                <w:szCs w:val="18"/>
              </w:rPr>
              <w:t>≤0.50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0.46</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15</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废水中 Zn 的最高允许 浓度</w:t>
            </w:r>
          </w:p>
        </w:tc>
        <w:tc>
          <w:tcPr>
            <w:tcW w:w="373" w:type="pct"/>
            <w:noWrap w:val="0"/>
            <w:vAlign w:val="top"/>
          </w:tcPr>
          <w:p>
            <w:pPr>
              <w:spacing w:line="280" w:lineRule="exact"/>
              <w:jc w:val="center"/>
              <w:rPr>
                <w:color w:val="000000"/>
                <w:sz w:val="18"/>
                <w:szCs w:val="18"/>
              </w:rPr>
            </w:pPr>
            <w:r>
              <w:rPr>
                <w:color w:val="000000"/>
                <w:sz w:val="18"/>
                <w:szCs w:val="18"/>
              </w:rPr>
              <w:t>mg/l</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673" w:type="pct"/>
            <w:noWrap w:val="0"/>
            <w:vAlign w:val="top"/>
          </w:tcPr>
          <w:p>
            <w:pPr>
              <w:spacing w:line="280" w:lineRule="exact"/>
              <w:jc w:val="center"/>
              <w:rPr>
                <w:color w:val="000000"/>
                <w:sz w:val="18"/>
                <w:szCs w:val="18"/>
              </w:rPr>
            </w:pPr>
            <w:r>
              <w:rPr>
                <w:color w:val="000000"/>
                <w:sz w:val="18"/>
                <w:szCs w:val="18"/>
              </w:rPr>
              <w:t>≤1.30</w:t>
            </w:r>
          </w:p>
        </w:tc>
        <w:tc>
          <w:tcPr>
            <w:tcW w:w="560" w:type="pct"/>
            <w:gridSpan w:val="2"/>
            <w:noWrap w:val="0"/>
            <w:vAlign w:val="top"/>
          </w:tcPr>
          <w:p>
            <w:pPr>
              <w:spacing w:line="280" w:lineRule="exact"/>
              <w:jc w:val="center"/>
              <w:rPr>
                <w:color w:val="000000"/>
                <w:sz w:val="18"/>
                <w:szCs w:val="18"/>
              </w:rPr>
            </w:pPr>
            <w:r>
              <w:rPr>
                <w:color w:val="000000"/>
                <w:sz w:val="18"/>
                <w:szCs w:val="18"/>
              </w:rPr>
              <w:t>≤1.40</w:t>
            </w:r>
          </w:p>
        </w:tc>
        <w:tc>
          <w:tcPr>
            <w:tcW w:w="671" w:type="pct"/>
            <w:noWrap w:val="0"/>
            <w:vAlign w:val="top"/>
          </w:tcPr>
          <w:p>
            <w:pPr>
              <w:spacing w:line="280" w:lineRule="exact"/>
              <w:jc w:val="center"/>
              <w:rPr>
                <w:color w:val="000000"/>
                <w:sz w:val="18"/>
                <w:szCs w:val="18"/>
              </w:rPr>
            </w:pPr>
            <w:r>
              <w:rPr>
                <w:color w:val="000000"/>
                <w:sz w:val="18"/>
                <w:szCs w:val="18"/>
              </w:rPr>
              <w:t>≤1.50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0.39</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16</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废水中 Cu 的最高允许浓度</w:t>
            </w:r>
          </w:p>
        </w:tc>
        <w:tc>
          <w:tcPr>
            <w:tcW w:w="373" w:type="pct"/>
            <w:noWrap w:val="0"/>
            <w:vAlign w:val="top"/>
          </w:tcPr>
          <w:p>
            <w:pPr>
              <w:spacing w:line="280" w:lineRule="exact"/>
              <w:jc w:val="center"/>
              <w:rPr>
                <w:color w:val="000000"/>
                <w:sz w:val="18"/>
                <w:szCs w:val="18"/>
              </w:rPr>
            </w:pPr>
            <w:r>
              <w:rPr>
                <w:color w:val="000000"/>
                <w:sz w:val="18"/>
                <w:szCs w:val="18"/>
              </w:rPr>
              <w:t>mg/l</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673" w:type="pct"/>
            <w:noWrap w:val="0"/>
            <w:vAlign w:val="top"/>
          </w:tcPr>
          <w:p>
            <w:pPr>
              <w:spacing w:line="280" w:lineRule="exact"/>
              <w:jc w:val="center"/>
              <w:rPr>
                <w:color w:val="000000"/>
                <w:sz w:val="18"/>
                <w:szCs w:val="18"/>
              </w:rPr>
            </w:pPr>
            <w:r>
              <w:rPr>
                <w:color w:val="000000"/>
                <w:sz w:val="18"/>
                <w:szCs w:val="18"/>
              </w:rPr>
              <w:t>≤0.40</w:t>
            </w:r>
          </w:p>
        </w:tc>
        <w:tc>
          <w:tcPr>
            <w:tcW w:w="560" w:type="pct"/>
            <w:gridSpan w:val="2"/>
            <w:noWrap w:val="0"/>
            <w:vAlign w:val="top"/>
          </w:tcPr>
          <w:p>
            <w:pPr>
              <w:spacing w:line="280" w:lineRule="exact"/>
              <w:jc w:val="center"/>
              <w:rPr>
                <w:color w:val="000000"/>
                <w:sz w:val="18"/>
                <w:szCs w:val="18"/>
              </w:rPr>
            </w:pPr>
            <w:r>
              <w:rPr>
                <w:color w:val="000000"/>
                <w:sz w:val="18"/>
                <w:szCs w:val="18"/>
              </w:rPr>
              <w:t>≤0.45</w:t>
            </w:r>
          </w:p>
        </w:tc>
        <w:tc>
          <w:tcPr>
            <w:tcW w:w="671" w:type="pct"/>
            <w:noWrap w:val="0"/>
            <w:vAlign w:val="top"/>
          </w:tcPr>
          <w:p>
            <w:pPr>
              <w:spacing w:line="280" w:lineRule="exact"/>
              <w:jc w:val="center"/>
              <w:rPr>
                <w:color w:val="000000"/>
                <w:sz w:val="18"/>
                <w:szCs w:val="18"/>
              </w:rPr>
            </w:pPr>
            <w:r>
              <w:rPr>
                <w:color w:val="000000"/>
                <w:sz w:val="18"/>
                <w:szCs w:val="18"/>
              </w:rPr>
              <w:t>≤0.50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0.09</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17</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废水中 As 的最高允许浓度</w:t>
            </w:r>
          </w:p>
        </w:tc>
        <w:tc>
          <w:tcPr>
            <w:tcW w:w="373" w:type="pct"/>
            <w:noWrap w:val="0"/>
            <w:vAlign w:val="top"/>
          </w:tcPr>
          <w:p>
            <w:pPr>
              <w:spacing w:line="280" w:lineRule="exact"/>
              <w:jc w:val="center"/>
              <w:rPr>
                <w:color w:val="000000"/>
                <w:sz w:val="18"/>
                <w:szCs w:val="18"/>
              </w:rPr>
            </w:pPr>
            <w:r>
              <w:rPr>
                <w:color w:val="000000"/>
                <w:sz w:val="18"/>
                <w:szCs w:val="18"/>
              </w:rPr>
              <w:t>mg/l</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673" w:type="pct"/>
            <w:noWrap w:val="0"/>
            <w:vAlign w:val="top"/>
          </w:tcPr>
          <w:p>
            <w:pPr>
              <w:spacing w:line="280" w:lineRule="exact"/>
              <w:jc w:val="center"/>
              <w:rPr>
                <w:color w:val="000000"/>
                <w:sz w:val="18"/>
                <w:szCs w:val="18"/>
              </w:rPr>
            </w:pPr>
            <w:r>
              <w:rPr>
                <w:color w:val="000000"/>
                <w:sz w:val="18"/>
                <w:szCs w:val="18"/>
              </w:rPr>
              <w:t>≤0.20</w:t>
            </w:r>
          </w:p>
        </w:tc>
        <w:tc>
          <w:tcPr>
            <w:tcW w:w="560" w:type="pct"/>
            <w:gridSpan w:val="2"/>
            <w:noWrap w:val="0"/>
            <w:vAlign w:val="top"/>
          </w:tcPr>
          <w:p>
            <w:pPr>
              <w:spacing w:line="280" w:lineRule="exact"/>
              <w:jc w:val="center"/>
              <w:rPr>
                <w:color w:val="000000"/>
                <w:sz w:val="18"/>
                <w:szCs w:val="18"/>
              </w:rPr>
            </w:pPr>
            <w:r>
              <w:rPr>
                <w:color w:val="000000"/>
                <w:sz w:val="18"/>
                <w:szCs w:val="18"/>
              </w:rPr>
              <w:t>≤0.25</w:t>
            </w:r>
          </w:p>
        </w:tc>
        <w:tc>
          <w:tcPr>
            <w:tcW w:w="671" w:type="pct"/>
            <w:noWrap w:val="0"/>
            <w:vAlign w:val="top"/>
          </w:tcPr>
          <w:p>
            <w:pPr>
              <w:spacing w:line="280" w:lineRule="exact"/>
              <w:jc w:val="center"/>
              <w:rPr>
                <w:color w:val="000000"/>
                <w:sz w:val="18"/>
                <w:szCs w:val="18"/>
              </w:rPr>
            </w:pPr>
            <w:r>
              <w:rPr>
                <w:color w:val="000000"/>
                <w:sz w:val="18"/>
                <w:szCs w:val="18"/>
              </w:rPr>
              <w:t>≤0.30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0.12</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18</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废水中 Cd 的最高允许 浓度</w:t>
            </w:r>
          </w:p>
        </w:tc>
        <w:tc>
          <w:tcPr>
            <w:tcW w:w="373" w:type="pct"/>
            <w:noWrap w:val="0"/>
            <w:vAlign w:val="top"/>
          </w:tcPr>
          <w:p>
            <w:pPr>
              <w:spacing w:line="280" w:lineRule="exact"/>
              <w:jc w:val="center"/>
              <w:rPr>
                <w:color w:val="000000"/>
                <w:sz w:val="18"/>
                <w:szCs w:val="18"/>
              </w:rPr>
            </w:pPr>
            <w:r>
              <w:rPr>
                <w:color w:val="000000"/>
                <w:sz w:val="18"/>
                <w:szCs w:val="18"/>
              </w:rPr>
              <w:t>mg/l</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673" w:type="pct"/>
            <w:noWrap w:val="0"/>
            <w:vAlign w:val="top"/>
          </w:tcPr>
          <w:p>
            <w:pPr>
              <w:spacing w:line="280" w:lineRule="exact"/>
              <w:jc w:val="center"/>
              <w:rPr>
                <w:color w:val="000000"/>
                <w:sz w:val="18"/>
                <w:szCs w:val="18"/>
              </w:rPr>
            </w:pPr>
            <w:r>
              <w:rPr>
                <w:color w:val="000000"/>
                <w:sz w:val="18"/>
                <w:szCs w:val="18"/>
              </w:rPr>
              <w:t>≤0.04</w:t>
            </w:r>
          </w:p>
        </w:tc>
        <w:tc>
          <w:tcPr>
            <w:tcW w:w="560" w:type="pct"/>
            <w:gridSpan w:val="2"/>
            <w:noWrap w:val="0"/>
            <w:vAlign w:val="top"/>
          </w:tcPr>
          <w:p>
            <w:pPr>
              <w:spacing w:line="280" w:lineRule="exact"/>
              <w:jc w:val="center"/>
              <w:rPr>
                <w:color w:val="000000"/>
                <w:sz w:val="18"/>
                <w:szCs w:val="18"/>
              </w:rPr>
            </w:pPr>
            <w:r>
              <w:rPr>
                <w:color w:val="000000"/>
                <w:sz w:val="18"/>
                <w:szCs w:val="18"/>
              </w:rPr>
              <w:t>≤0.05</w:t>
            </w:r>
          </w:p>
        </w:tc>
        <w:tc>
          <w:tcPr>
            <w:tcW w:w="671" w:type="pct"/>
            <w:noWrap w:val="0"/>
            <w:vAlign w:val="top"/>
          </w:tcPr>
          <w:p>
            <w:pPr>
              <w:spacing w:line="280" w:lineRule="exact"/>
              <w:jc w:val="center"/>
              <w:rPr>
                <w:color w:val="000000"/>
                <w:sz w:val="18"/>
                <w:szCs w:val="18"/>
              </w:rPr>
            </w:pPr>
            <w:r>
              <w:rPr>
                <w:color w:val="000000"/>
                <w:sz w:val="18"/>
                <w:szCs w:val="18"/>
              </w:rPr>
              <w:t>≤0.05</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0.05</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二级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19</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化学需氧量 (COD)</w:t>
            </w:r>
          </w:p>
        </w:tc>
        <w:tc>
          <w:tcPr>
            <w:tcW w:w="373" w:type="pct"/>
            <w:noWrap w:val="0"/>
            <w:vAlign w:val="top"/>
          </w:tcPr>
          <w:p>
            <w:pPr>
              <w:spacing w:line="280" w:lineRule="exact"/>
              <w:jc w:val="center"/>
              <w:rPr>
                <w:color w:val="000000"/>
                <w:sz w:val="18"/>
                <w:szCs w:val="18"/>
              </w:rPr>
            </w:pPr>
            <w:r>
              <w:rPr>
                <w:color w:val="000000"/>
                <w:sz w:val="18"/>
                <w:szCs w:val="18"/>
              </w:rPr>
              <w:t>mg/l</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673" w:type="pct"/>
            <w:noWrap w:val="0"/>
            <w:vAlign w:val="top"/>
          </w:tcPr>
          <w:p>
            <w:pPr>
              <w:spacing w:line="280" w:lineRule="exact"/>
              <w:jc w:val="center"/>
              <w:rPr>
                <w:color w:val="000000"/>
                <w:sz w:val="18"/>
                <w:szCs w:val="18"/>
              </w:rPr>
            </w:pPr>
            <w:r>
              <w:rPr>
                <w:color w:val="000000"/>
                <w:sz w:val="18"/>
                <w:szCs w:val="18"/>
              </w:rPr>
              <w:t>≤50</w:t>
            </w:r>
          </w:p>
        </w:tc>
        <w:tc>
          <w:tcPr>
            <w:tcW w:w="560" w:type="pct"/>
            <w:gridSpan w:val="2"/>
            <w:noWrap w:val="0"/>
            <w:vAlign w:val="top"/>
          </w:tcPr>
          <w:p>
            <w:pPr>
              <w:spacing w:line="280" w:lineRule="exact"/>
              <w:jc w:val="center"/>
              <w:rPr>
                <w:color w:val="000000"/>
                <w:sz w:val="18"/>
                <w:szCs w:val="18"/>
              </w:rPr>
            </w:pPr>
            <w:r>
              <w:rPr>
                <w:color w:val="000000"/>
                <w:sz w:val="18"/>
                <w:szCs w:val="18"/>
              </w:rPr>
              <w:t>≤55</w:t>
            </w:r>
          </w:p>
        </w:tc>
        <w:tc>
          <w:tcPr>
            <w:tcW w:w="671" w:type="pct"/>
            <w:noWrap w:val="0"/>
            <w:vAlign w:val="top"/>
          </w:tcPr>
          <w:p>
            <w:pPr>
              <w:spacing w:line="280" w:lineRule="exact"/>
              <w:jc w:val="center"/>
              <w:rPr>
                <w:color w:val="000000"/>
                <w:sz w:val="18"/>
                <w:szCs w:val="18"/>
              </w:rPr>
            </w:pPr>
            <w:r>
              <w:rPr>
                <w:color w:val="000000"/>
                <w:sz w:val="18"/>
                <w:szCs w:val="18"/>
              </w:rPr>
              <w:t>≤60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56</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20</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作业环境空气中粉尘最高允许浓度</w:t>
            </w:r>
          </w:p>
        </w:tc>
        <w:tc>
          <w:tcPr>
            <w:tcW w:w="373" w:type="pct"/>
            <w:noWrap w:val="0"/>
            <w:vAlign w:val="top"/>
          </w:tcPr>
          <w:p>
            <w:pPr>
              <w:spacing w:line="280" w:lineRule="exact"/>
              <w:jc w:val="center"/>
              <w:rPr>
                <w:color w:val="000000"/>
                <w:sz w:val="18"/>
                <w:szCs w:val="18"/>
              </w:rPr>
            </w:pPr>
            <w:r>
              <w:rPr>
                <w:color w:val="000000"/>
                <w:sz w:val="18"/>
                <w:szCs w:val="18"/>
              </w:rPr>
              <w:t>mg/m3</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673" w:type="pct"/>
            <w:noWrap w:val="0"/>
            <w:vAlign w:val="top"/>
          </w:tcPr>
          <w:p>
            <w:pPr>
              <w:spacing w:line="280" w:lineRule="exact"/>
              <w:jc w:val="center"/>
              <w:rPr>
                <w:color w:val="000000"/>
                <w:sz w:val="18"/>
                <w:szCs w:val="18"/>
              </w:rPr>
            </w:pPr>
            <w:r>
              <w:rPr>
                <w:color w:val="000000"/>
                <w:sz w:val="18"/>
                <w:szCs w:val="18"/>
              </w:rPr>
              <w:t>≤6.0</w:t>
            </w:r>
          </w:p>
        </w:tc>
        <w:tc>
          <w:tcPr>
            <w:tcW w:w="560" w:type="pct"/>
            <w:gridSpan w:val="2"/>
            <w:noWrap w:val="0"/>
            <w:vAlign w:val="top"/>
          </w:tcPr>
          <w:p>
            <w:pPr>
              <w:spacing w:line="280" w:lineRule="exact"/>
              <w:jc w:val="center"/>
              <w:rPr>
                <w:color w:val="000000"/>
                <w:sz w:val="18"/>
                <w:szCs w:val="18"/>
              </w:rPr>
            </w:pPr>
            <w:r>
              <w:rPr>
                <w:color w:val="000000"/>
                <w:sz w:val="18"/>
                <w:szCs w:val="18"/>
              </w:rPr>
              <w:t>≤8.0</w:t>
            </w:r>
          </w:p>
        </w:tc>
        <w:tc>
          <w:tcPr>
            <w:tcW w:w="671" w:type="pct"/>
            <w:noWrap w:val="0"/>
            <w:vAlign w:val="top"/>
          </w:tcPr>
          <w:p>
            <w:pPr>
              <w:spacing w:line="280" w:lineRule="exact"/>
              <w:jc w:val="center"/>
              <w:rPr>
                <w:rFonts w:hint="eastAsia"/>
                <w:color w:val="000000"/>
                <w:sz w:val="18"/>
                <w:szCs w:val="18"/>
              </w:rPr>
            </w:pPr>
            <w:r>
              <w:rPr>
                <w:color w:val="000000"/>
                <w:sz w:val="18"/>
                <w:szCs w:val="18"/>
              </w:rPr>
              <w:t>≤10.0</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5</w:t>
            </w: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一级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21</w:t>
            </w:r>
          </w:p>
        </w:tc>
        <w:tc>
          <w:tcPr>
            <w:tcW w:w="280" w:type="pct"/>
            <w:vMerge w:val="restart"/>
            <w:noWrap w:val="0"/>
            <w:vAlign w:val="top"/>
          </w:tcPr>
          <w:p>
            <w:pPr>
              <w:spacing w:line="280" w:lineRule="exact"/>
              <w:jc w:val="center"/>
              <w:rPr>
                <w:rFonts w:hint="eastAsia"/>
                <w:color w:val="000000"/>
                <w:sz w:val="18"/>
                <w:szCs w:val="18"/>
              </w:rPr>
            </w:pPr>
            <w:r>
              <w:rPr>
                <w:color w:val="000000"/>
                <w:sz w:val="18"/>
                <w:szCs w:val="18"/>
              </w:rPr>
              <w:t>产品特征指标</w:t>
            </w:r>
          </w:p>
        </w:tc>
        <w:tc>
          <w:tcPr>
            <w:tcW w:w="331" w:type="pct"/>
            <w:vMerge w:val="restart"/>
            <w:noWrap w:val="0"/>
            <w:vAlign w:val="top"/>
          </w:tcPr>
          <w:p>
            <w:pPr>
              <w:spacing w:line="280" w:lineRule="exact"/>
              <w:jc w:val="center"/>
              <w:rPr>
                <w:rFonts w:hint="eastAsia"/>
                <w:color w:val="000000"/>
                <w:sz w:val="18"/>
                <w:szCs w:val="18"/>
              </w:rPr>
            </w:pPr>
            <w:r>
              <w:rPr>
                <w:color w:val="000000"/>
                <w:sz w:val="18"/>
                <w:szCs w:val="18"/>
              </w:rPr>
              <w:t>0.05</w:t>
            </w:r>
          </w:p>
        </w:tc>
        <w:tc>
          <w:tcPr>
            <w:tcW w:w="879" w:type="pct"/>
            <w:noWrap w:val="0"/>
            <w:vAlign w:val="top"/>
          </w:tcPr>
          <w:p>
            <w:pPr>
              <w:spacing w:line="280" w:lineRule="exact"/>
              <w:jc w:val="center"/>
              <w:rPr>
                <w:color w:val="000000"/>
                <w:sz w:val="18"/>
                <w:szCs w:val="18"/>
              </w:rPr>
            </w:pPr>
            <w:r>
              <w:rPr>
                <w:color w:val="000000"/>
                <w:sz w:val="18"/>
                <w:szCs w:val="18"/>
              </w:rPr>
              <w:t>铅精矿</w:t>
            </w:r>
          </w:p>
        </w:tc>
        <w:tc>
          <w:tcPr>
            <w:tcW w:w="373" w:type="pct"/>
            <w:noWrap w:val="0"/>
            <w:vAlign w:val="top"/>
          </w:tcPr>
          <w:p>
            <w:pPr>
              <w:spacing w:line="280" w:lineRule="exact"/>
              <w:jc w:val="center"/>
              <w:rPr>
                <w:color w:val="000000"/>
                <w:sz w:val="18"/>
                <w:szCs w:val="18"/>
              </w:rPr>
            </w:pPr>
            <w:r>
              <w:rPr>
                <w:color w:val="000000"/>
                <w:sz w:val="18"/>
                <w:szCs w:val="18"/>
              </w:rPr>
              <w:t>等级</w:t>
            </w:r>
          </w:p>
        </w:tc>
        <w:tc>
          <w:tcPr>
            <w:tcW w:w="372" w:type="pct"/>
            <w:noWrap w:val="0"/>
            <w:vAlign w:val="top"/>
          </w:tcPr>
          <w:p>
            <w:pPr>
              <w:spacing w:line="280" w:lineRule="exact"/>
              <w:jc w:val="center"/>
              <w:rPr>
                <w:color w:val="000000"/>
                <w:sz w:val="18"/>
                <w:szCs w:val="18"/>
              </w:rPr>
            </w:pPr>
            <w:r>
              <w:rPr>
                <w:color w:val="000000"/>
                <w:sz w:val="18"/>
                <w:szCs w:val="18"/>
              </w:rPr>
              <w:t>0.50</w:t>
            </w:r>
          </w:p>
        </w:tc>
        <w:tc>
          <w:tcPr>
            <w:tcW w:w="1904" w:type="pct"/>
            <w:gridSpan w:val="4"/>
            <w:noWrap w:val="0"/>
            <w:vAlign w:val="top"/>
          </w:tcPr>
          <w:p>
            <w:pPr>
              <w:spacing w:line="280" w:lineRule="exact"/>
              <w:jc w:val="center"/>
              <w:rPr>
                <w:color w:val="000000"/>
                <w:sz w:val="18"/>
                <w:szCs w:val="18"/>
              </w:rPr>
            </w:pPr>
            <w:r>
              <w:rPr>
                <w:color w:val="000000"/>
                <w:sz w:val="18"/>
                <w:szCs w:val="18"/>
              </w:rPr>
              <w:t>符合铅精矿质量标准（YS/T 319-2007）</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22</w:t>
            </w:r>
          </w:p>
        </w:tc>
        <w:tc>
          <w:tcPr>
            <w:tcW w:w="280" w:type="pct"/>
            <w:vMerge w:val="continue"/>
            <w:noWrap w:val="0"/>
            <w:vAlign w:val="top"/>
          </w:tcPr>
          <w:p>
            <w:pPr>
              <w:spacing w:line="280" w:lineRule="exact"/>
              <w:jc w:val="center"/>
              <w:rPr>
                <w:rFonts w:hint="eastAsia"/>
                <w:color w:val="000000"/>
                <w:sz w:val="18"/>
                <w:szCs w:val="18"/>
              </w:rPr>
            </w:pPr>
          </w:p>
        </w:tc>
        <w:tc>
          <w:tcPr>
            <w:tcW w:w="331" w:type="pct"/>
            <w:vMerge w:val="continue"/>
            <w:noWrap w:val="0"/>
            <w:vAlign w:val="top"/>
          </w:tcPr>
          <w:p>
            <w:pPr>
              <w:spacing w:line="280" w:lineRule="exact"/>
              <w:jc w:val="center"/>
              <w:rPr>
                <w:rFonts w:hint="eastAsia"/>
                <w:color w:val="000000"/>
                <w:sz w:val="18"/>
                <w:szCs w:val="18"/>
              </w:rPr>
            </w:pPr>
          </w:p>
        </w:tc>
        <w:tc>
          <w:tcPr>
            <w:tcW w:w="879" w:type="pct"/>
            <w:noWrap w:val="0"/>
            <w:vAlign w:val="top"/>
          </w:tcPr>
          <w:p>
            <w:pPr>
              <w:spacing w:line="280" w:lineRule="exact"/>
              <w:jc w:val="center"/>
              <w:rPr>
                <w:color w:val="000000"/>
                <w:sz w:val="18"/>
                <w:szCs w:val="18"/>
              </w:rPr>
            </w:pPr>
            <w:r>
              <w:rPr>
                <w:color w:val="000000"/>
                <w:sz w:val="18"/>
                <w:szCs w:val="18"/>
              </w:rPr>
              <w:t>锌精矿</w:t>
            </w:r>
          </w:p>
        </w:tc>
        <w:tc>
          <w:tcPr>
            <w:tcW w:w="373" w:type="pct"/>
            <w:noWrap w:val="0"/>
            <w:vAlign w:val="top"/>
          </w:tcPr>
          <w:p>
            <w:pPr>
              <w:spacing w:line="280" w:lineRule="exact"/>
              <w:jc w:val="center"/>
              <w:rPr>
                <w:color w:val="000000"/>
                <w:sz w:val="18"/>
                <w:szCs w:val="18"/>
              </w:rPr>
            </w:pPr>
            <w:r>
              <w:rPr>
                <w:color w:val="000000"/>
                <w:sz w:val="18"/>
                <w:szCs w:val="18"/>
              </w:rPr>
              <w:t>等级</w:t>
            </w:r>
          </w:p>
        </w:tc>
        <w:tc>
          <w:tcPr>
            <w:tcW w:w="372" w:type="pct"/>
            <w:noWrap w:val="0"/>
            <w:vAlign w:val="top"/>
          </w:tcPr>
          <w:p>
            <w:pPr>
              <w:spacing w:line="280" w:lineRule="exact"/>
              <w:jc w:val="center"/>
              <w:rPr>
                <w:color w:val="000000"/>
                <w:sz w:val="18"/>
                <w:szCs w:val="18"/>
              </w:rPr>
            </w:pPr>
            <w:r>
              <w:rPr>
                <w:color w:val="000000"/>
                <w:sz w:val="18"/>
                <w:szCs w:val="18"/>
              </w:rPr>
              <w:t>0.50</w:t>
            </w:r>
          </w:p>
        </w:tc>
        <w:tc>
          <w:tcPr>
            <w:tcW w:w="1904" w:type="pct"/>
            <w:gridSpan w:val="4"/>
            <w:noWrap w:val="0"/>
            <w:vAlign w:val="top"/>
          </w:tcPr>
          <w:p>
            <w:pPr>
              <w:spacing w:line="280" w:lineRule="exact"/>
              <w:jc w:val="center"/>
              <w:rPr>
                <w:rFonts w:hint="eastAsia"/>
                <w:color w:val="000000"/>
                <w:sz w:val="18"/>
                <w:szCs w:val="18"/>
              </w:rPr>
            </w:pPr>
            <w:r>
              <w:rPr>
                <w:color w:val="000000"/>
                <w:sz w:val="18"/>
                <w:szCs w:val="18"/>
              </w:rPr>
              <w:t>符合锌精矿质量标准（YS/T320-2007）</w:t>
            </w:r>
          </w:p>
        </w:tc>
        <w:tc>
          <w:tcPr>
            <w:tcW w:w="333" w:type="pct"/>
            <w:noWrap w:val="0"/>
            <w:vAlign w:val="top"/>
          </w:tcPr>
          <w:p>
            <w:pPr>
              <w:spacing w:line="280" w:lineRule="exact"/>
              <w:jc w:val="center"/>
              <w:rPr>
                <w:rFonts w:hint="eastAsia"/>
                <w:color w:val="000000"/>
                <w:sz w:val="18"/>
                <w:szCs w:val="18"/>
              </w:rPr>
            </w:pP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23</w:t>
            </w:r>
          </w:p>
        </w:tc>
        <w:tc>
          <w:tcPr>
            <w:tcW w:w="280" w:type="pct"/>
            <w:vMerge w:val="restart"/>
            <w:noWrap w:val="0"/>
            <w:vAlign w:val="top"/>
          </w:tcPr>
          <w:p>
            <w:pPr>
              <w:spacing w:line="280" w:lineRule="exact"/>
              <w:rPr>
                <w:rFonts w:hint="eastAsia"/>
                <w:color w:val="000000"/>
                <w:sz w:val="18"/>
                <w:szCs w:val="18"/>
              </w:rPr>
            </w:pPr>
            <w:r>
              <w:rPr>
                <w:color w:val="000000"/>
                <w:sz w:val="18"/>
                <w:szCs w:val="18"/>
              </w:rPr>
              <w:t>清洁生产管理指标</w:t>
            </w:r>
          </w:p>
        </w:tc>
        <w:tc>
          <w:tcPr>
            <w:tcW w:w="331" w:type="pct"/>
            <w:vMerge w:val="restart"/>
            <w:noWrap w:val="0"/>
            <w:vAlign w:val="top"/>
          </w:tcPr>
          <w:p>
            <w:pPr>
              <w:spacing w:line="280" w:lineRule="exact"/>
              <w:jc w:val="center"/>
              <w:rPr>
                <w:rFonts w:hint="eastAsia"/>
                <w:color w:val="000000"/>
                <w:sz w:val="18"/>
                <w:szCs w:val="18"/>
              </w:rPr>
            </w:pPr>
            <w:r>
              <w:rPr>
                <w:color w:val="000000"/>
                <w:sz w:val="18"/>
                <w:szCs w:val="18"/>
              </w:rPr>
              <w:t>0.15</w:t>
            </w:r>
          </w:p>
        </w:tc>
        <w:tc>
          <w:tcPr>
            <w:tcW w:w="1252"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环境法律法规标准执行情况</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904" w:type="pct"/>
            <w:gridSpan w:val="4"/>
            <w:noWrap w:val="0"/>
            <w:vAlign w:val="top"/>
          </w:tcPr>
          <w:p>
            <w:pPr>
              <w:spacing w:line="280" w:lineRule="exact"/>
              <w:rPr>
                <w:color w:val="000000"/>
                <w:sz w:val="18"/>
                <w:szCs w:val="18"/>
              </w:rPr>
            </w:pPr>
            <w:r>
              <w:rPr>
                <w:color w:val="000000"/>
                <w:sz w:val="18"/>
                <w:szCs w:val="18"/>
              </w:rPr>
              <w:t>符合国家和地方有关环境法律、法规，污染物排放达到国家排放标准、总量控制和排污 许可证管理要求</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24</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产业政策执行情况</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904" w:type="pct"/>
            <w:gridSpan w:val="4"/>
            <w:noWrap w:val="0"/>
            <w:vAlign w:val="top"/>
          </w:tcPr>
          <w:p>
            <w:pPr>
              <w:spacing w:line="280" w:lineRule="exact"/>
              <w:rPr>
                <w:color w:val="000000"/>
                <w:sz w:val="18"/>
                <w:szCs w:val="18"/>
              </w:rPr>
            </w:pPr>
            <w:r>
              <w:rPr>
                <w:color w:val="000000"/>
                <w:sz w:val="18"/>
                <w:szCs w:val="18"/>
              </w:rPr>
              <w:t>生产规模符合国家和地方产业政策要求，不使用国家和地方明令淘汰的落后工艺和装备</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2" w:hRule="atLeast"/>
        </w:trPr>
        <w:tc>
          <w:tcPr>
            <w:tcW w:w="223" w:type="pct"/>
            <w:noWrap w:val="0"/>
            <w:vAlign w:val="top"/>
          </w:tcPr>
          <w:p>
            <w:pPr>
              <w:spacing w:line="280" w:lineRule="exact"/>
              <w:jc w:val="center"/>
              <w:rPr>
                <w:color w:val="000000"/>
                <w:sz w:val="18"/>
                <w:szCs w:val="18"/>
              </w:rPr>
            </w:pPr>
            <w:r>
              <w:rPr>
                <w:color w:val="000000"/>
                <w:sz w:val="18"/>
                <w:szCs w:val="18"/>
              </w:rPr>
              <w:t>25</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color w:val="000000"/>
                <w:sz w:val="18"/>
                <w:szCs w:val="18"/>
              </w:rPr>
              <w:t>开展清洁生产审核</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904" w:type="pct"/>
            <w:gridSpan w:val="4"/>
            <w:noWrap w:val="0"/>
            <w:vAlign w:val="top"/>
          </w:tcPr>
          <w:p>
            <w:pPr>
              <w:spacing w:line="280" w:lineRule="exact"/>
              <w:rPr>
                <w:color w:val="000000"/>
                <w:sz w:val="18"/>
                <w:szCs w:val="18"/>
              </w:rPr>
            </w:pPr>
            <w:r>
              <w:rPr>
                <w:color w:val="000000"/>
                <w:sz w:val="18"/>
                <w:szCs w:val="18"/>
              </w:rPr>
              <w:t>按照国家和地方要求，开展清洁生产审核</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59" w:hRule="atLeast"/>
        </w:trPr>
        <w:tc>
          <w:tcPr>
            <w:tcW w:w="223" w:type="pct"/>
            <w:noWrap w:val="0"/>
            <w:vAlign w:val="top"/>
          </w:tcPr>
          <w:p>
            <w:pPr>
              <w:spacing w:line="280" w:lineRule="exact"/>
              <w:jc w:val="center"/>
              <w:rPr>
                <w:color w:val="000000"/>
                <w:sz w:val="18"/>
                <w:szCs w:val="18"/>
              </w:rPr>
            </w:pPr>
            <w:r>
              <w:rPr>
                <w:color w:val="000000"/>
                <w:sz w:val="18"/>
                <w:szCs w:val="18"/>
              </w:rPr>
              <w:t>26</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color w:val="000000"/>
                <w:sz w:val="18"/>
                <w:szCs w:val="18"/>
              </w:rPr>
              <w:t>环境管理体系制度</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179" w:type="pct"/>
            <w:gridSpan w:val="2"/>
            <w:noWrap w:val="0"/>
            <w:vAlign w:val="top"/>
          </w:tcPr>
          <w:p>
            <w:pPr>
              <w:spacing w:line="280" w:lineRule="exact"/>
              <w:rPr>
                <w:color w:val="000000"/>
                <w:sz w:val="18"/>
                <w:szCs w:val="18"/>
              </w:rPr>
            </w:pPr>
            <w:r>
              <w:rPr>
                <w:color w:val="000000"/>
                <w:sz w:val="18"/>
                <w:szCs w:val="18"/>
              </w:rPr>
              <w:t xml:space="preserve">按照 GB/T24001 建立并运行环境管理体系，环境管理程序文件及作业文件齐备 </w:t>
            </w:r>
          </w:p>
        </w:tc>
        <w:tc>
          <w:tcPr>
            <w:tcW w:w="725" w:type="pct"/>
            <w:gridSpan w:val="2"/>
            <w:noWrap w:val="0"/>
            <w:vAlign w:val="top"/>
          </w:tcPr>
          <w:p>
            <w:pPr>
              <w:spacing w:line="280" w:lineRule="exact"/>
              <w:rPr>
                <w:color w:val="000000"/>
                <w:sz w:val="18"/>
                <w:szCs w:val="18"/>
              </w:rPr>
            </w:pPr>
            <w:r>
              <w:rPr>
                <w:color w:val="000000"/>
                <w:sz w:val="18"/>
                <w:szCs w:val="18"/>
              </w:rPr>
              <w:t>拥有健全的环境管理体系和完备的管理文件</w:t>
            </w:r>
          </w:p>
        </w:tc>
        <w:tc>
          <w:tcPr>
            <w:tcW w:w="333" w:type="pct"/>
            <w:noWrap w:val="0"/>
            <w:vAlign w:val="top"/>
          </w:tcPr>
          <w:p>
            <w:pPr>
              <w:spacing w:line="280" w:lineRule="exact"/>
              <w:jc w:val="center"/>
              <w:rPr>
                <w:rFonts w:hint="eastAsia"/>
                <w:color w:val="000000"/>
                <w:sz w:val="18"/>
                <w:szCs w:val="18"/>
              </w:rPr>
            </w:pP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03" w:hRule="atLeast"/>
        </w:trPr>
        <w:tc>
          <w:tcPr>
            <w:tcW w:w="223" w:type="pct"/>
            <w:noWrap w:val="0"/>
            <w:vAlign w:val="top"/>
          </w:tcPr>
          <w:p>
            <w:pPr>
              <w:spacing w:line="280" w:lineRule="exact"/>
              <w:jc w:val="center"/>
              <w:rPr>
                <w:color w:val="000000"/>
                <w:sz w:val="18"/>
                <w:szCs w:val="18"/>
              </w:rPr>
            </w:pPr>
            <w:r>
              <w:rPr>
                <w:color w:val="000000"/>
                <w:sz w:val="18"/>
                <w:szCs w:val="18"/>
              </w:rPr>
              <w:t>27</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建设项目环保“三同时”执行情况</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904" w:type="pct"/>
            <w:gridSpan w:val="4"/>
            <w:noWrap w:val="0"/>
            <w:vAlign w:val="top"/>
          </w:tcPr>
          <w:p>
            <w:pPr>
              <w:spacing w:line="280" w:lineRule="exact"/>
              <w:rPr>
                <w:color w:val="000000"/>
                <w:sz w:val="18"/>
                <w:szCs w:val="18"/>
              </w:rPr>
            </w:pPr>
            <w:r>
              <w:rPr>
                <w:color w:val="000000"/>
                <w:sz w:val="18"/>
                <w:szCs w:val="18"/>
              </w:rPr>
              <w:t>严格执行建设项目环境影响评价制度和建设项目环保“三同时”制度</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23" w:hRule="atLeast"/>
        </w:trPr>
        <w:tc>
          <w:tcPr>
            <w:tcW w:w="223" w:type="pct"/>
            <w:noWrap w:val="0"/>
            <w:vAlign w:val="top"/>
          </w:tcPr>
          <w:p>
            <w:pPr>
              <w:spacing w:line="280" w:lineRule="exact"/>
              <w:jc w:val="center"/>
              <w:rPr>
                <w:color w:val="000000"/>
                <w:sz w:val="18"/>
                <w:szCs w:val="18"/>
              </w:rPr>
            </w:pPr>
            <w:r>
              <w:rPr>
                <w:color w:val="000000"/>
                <w:sz w:val="18"/>
                <w:szCs w:val="18"/>
              </w:rPr>
              <w:t>28</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color w:val="000000"/>
                <w:sz w:val="18"/>
                <w:szCs w:val="18"/>
              </w:rPr>
              <w:t>废水处理设施运行管理</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233" w:type="pct"/>
            <w:gridSpan w:val="3"/>
            <w:noWrap w:val="0"/>
            <w:vAlign w:val="top"/>
          </w:tcPr>
          <w:p>
            <w:pPr>
              <w:spacing w:line="280" w:lineRule="exact"/>
              <w:rPr>
                <w:color w:val="000000"/>
                <w:sz w:val="18"/>
                <w:szCs w:val="18"/>
              </w:rPr>
            </w:pPr>
            <w:r>
              <w:rPr>
                <w:color w:val="000000"/>
                <w:sz w:val="18"/>
                <w:szCs w:val="18"/>
              </w:rPr>
              <w:t xml:space="preserve">建有废水处理设施运行中控系统并建立废水处理设施运行台帐 </w:t>
            </w:r>
          </w:p>
        </w:tc>
        <w:tc>
          <w:tcPr>
            <w:tcW w:w="671" w:type="pct"/>
            <w:noWrap w:val="0"/>
            <w:vAlign w:val="top"/>
          </w:tcPr>
          <w:p>
            <w:pPr>
              <w:spacing w:line="280" w:lineRule="exact"/>
              <w:rPr>
                <w:color w:val="000000"/>
                <w:sz w:val="18"/>
                <w:szCs w:val="18"/>
              </w:rPr>
            </w:pPr>
            <w:r>
              <w:rPr>
                <w:color w:val="000000"/>
                <w:sz w:val="18"/>
                <w:szCs w:val="18"/>
              </w:rPr>
              <w:t>建立废水处理设施运行台帐</w:t>
            </w:r>
          </w:p>
        </w:tc>
        <w:tc>
          <w:tcPr>
            <w:tcW w:w="333" w:type="pct"/>
            <w:noWrap w:val="0"/>
            <w:vAlign w:val="top"/>
          </w:tcPr>
          <w:p>
            <w:pPr>
              <w:spacing w:line="280" w:lineRule="exact"/>
              <w:jc w:val="center"/>
              <w:rPr>
                <w:rFonts w:hint="eastAsia"/>
                <w:color w:val="000000"/>
                <w:sz w:val="18"/>
                <w:szCs w:val="18"/>
              </w:rPr>
            </w:pP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05" w:hRule="atLeast"/>
        </w:trPr>
        <w:tc>
          <w:tcPr>
            <w:tcW w:w="223" w:type="pct"/>
            <w:noWrap w:val="0"/>
            <w:vAlign w:val="top"/>
          </w:tcPr>
          <w:p>
            <w:pPr>
              <w:spacing w:line="280" w:lineRule="exact"/>
              <w:jc w:val="center"/>
              <w:rPr>
                <w:color w:val="000000"/>
                <w:sz w:val="18"/>
                <w:szCs w:val="18"/>
              </w:rPr>
            </w:pPr>
            <w:r>
              <w:rPr>
                <w:color w:val="000000"/>
                <w:sz w:val="18"/>
                <w:szCs w:val="18"/>
              </w:rPr>
              <w:t>29</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rFonts w:hint="eastAsia" w:ascii="宋体" w:hAnsi="宋体" w:cs="宋体"/>
                <w:color w:val="000000"/>
                <w:sz w:val="18"/>
                <w:szCs w:val="18"/>
              </w:rPr>
              <w:t>※</w:t>
            </w:r>
            <w:r>
              <w:rPr>
                <w:color w:val="000000"/>
                <w:sz w:val="18"/>
                <w:szCs w:val="18"/>
              </w:rPr>
              <w:t>污染物排放监测</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904" w:type="pct"/>
            <w:gridSpan w:val="4"/>
            <w:noWrap w:val="0"/>
            <w:vAlign w:val="top"/>
          </w:tcPr>
          <w:p>
            <w:pPr>
              <w:spacing w:line="280" w:lineRule="exact"/>
              <w:rPr>
                <w:color w:val="000000"/>
                <w:sz w:val="18"/>
                <w:szCs w:val="18"/>
              </w:rPr>
            </w:pPr>
            <w:r>
              <w:rPr>
                <w:color w:val="000000"/>
                <w:sz w:val="18"/>
                <w:szCs w:val="18"/>
              </w:rPr>
              <w:t>对污染物排放实施定期监测</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686" w:hRule="atLeast"/>
        </w:trPr>
        <w:tc>
          <w:tcPr>
            <w:tcW w:w="223" w:type="pct"/>
            <w:noWrap w:val="0"/>
            <w:vAlign w:val="top"/>
          </w:tcPr>
          <w:p>
            <w:pPr>
              <w:spacing w:line="280" w:lineRule="exact"/>
              <w:jc w:val="center"/>
              <w:rPr>
                <w:color w:val="000000"/>
                <w:sz w:val="18"/>
                <w:szCs w:val="18"/>
              </w:rPr>
            </w:pPr>
            <w:r>
              <w:rPr>
                <w:color w:val="000000"/>
                <w:sz w:val="18"/>
                <w:szCs w:val="18"/>
              </w:rPr>
              <w:t>30</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color w:val="000000"/>
                <w:sz w:val="18"/>
                <w:szCs w:val="18"/>
              </w:rPr>
              <w:t>尾矿处理与处置</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904" w:type="pct"/>
            <w:gridSpan w:val="4"/>
            <w:noWrap w:val="0"/>
            <w:vAlign w:val="top"/>
          </w:tcPr>
          <w:p>
            <w:pPr>
              <w:spacing w:line="280" w:lineRule="exact"/>
              <w:rPr>
                <w:color w:val="000000"/>
                <w:sz w:val="18"/>
                <w:szCs w:val="18"/>
              </w:rPr>
            </w:pPr>
            <w:r>
              <w:rPr>
                <w:color w:val="000000"/>
                <w:sz w:val="18"/>
                <w:szCs w:val="18"/>
              </w:rPr>
              <w:t>采取专用尾矿库，具有防渗、集排水措施、尾矿库坝面、坝坡采取覆盖等措施并有专人 维护管理，符合危险废物鉴别标准要求的固体废物严格按 GB 18598 等相关规定执行</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862" w:hRule="atLeast"/>
        </w:trPr>
        <w:tc>
          <w:tcPr>
            <w:tcW w:w="223" w:type="pct"/>
            <w:noWrap w:val="0"/>
            <w:vAlign w:val="top"/>
          </w:tcPr>
          <w:p>
            <w:pPr>
              <w:spacing w:line="280" w:lineRule="exact"/>
              <w:jc w:val="center"/>
              <w:rPr>
                <w:color w:val="000000"/>
                <w:sz w:val="18"/>
                <w:szCs w:val="18"/>
              </w:rPr>
            </w:pPr>
            <w:r>
              <w:rPr>
                <w:color w:val="000000"/>
                <w:sz w:val="18"/>
                <w:szCs w:val="18"/>
              </w:rPr>
              <w:t>31</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color w:val="000000"/>
                <w:sz w:val="18"/>
                <w:szCs w:val="18"/>
              </w:rPr>
              <w:t>环境信息</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233" w:type="pct"/>
            <w:gridSpan w:val="3"/>
            <w:noWrap w:val="0"/>
            <w:vAlign w:val="top"/>
          </w:tcPr>
          <w:p>
            <w:pPr>
              <w:spacing w:line="280" w:lineRule="exact"/>
              <w:rPr>
                <w:color w:val="000000"/>
                <w:sz w:val="18"/>
                <w:szCs w:val="18"/>
              </w:rPr>
            </w:pPr>
            <w:r>
              <w:rPr>
                <w:color w:val="000000"/>
                <w:sz w:val="18"/>
                <w:szCs w:val="18"/>
              </w:rPr>
              <w:t xml:space="preserve">按照《环境信息公开（试行）》第十九条要求公开环境信息 </w:t>
            </w:r>
          </w:p>
        </w:tc>
        <w:tc>
          <w:tcPr>
            <w:tcW w:w="671" w:type="pct"/>
            <w:noWrap w:val="0"/>
            <w:vAlign w:val="top"/>
          </w:tcPr>
          <w:p>
            <w:pPr>
              <w:spacing w:line="280" w:lineRule="exact"/>
              <w:rPr>
                <w:color w:val="000000"/>
                <w:sz w:val="18"/>
                <w:szCs w:val="18"/>
              </w:rPr>
            </w:pPr>
            <w:r>
              <w:rPr>
                <w:color w:val="000000"/>
                <w:sz w:val="18"/>
                <w:szCs w:val="18"/>
              </w:rPr>
              <w:t>按照《环境信息公开（试 行）》第二十条要求公开环 境信息</w:t>
            </w:r>
          </w:p>
        </w:tc>
        <w:tc>
          <w:tcPr>
            <w:tcW w:w="333" w:type="pct"/>
            <w:noWrap w:val="0"/>
            <w:vAlign w:val="top"/>
          </w:tcPr>
          <w:p>
            <w:pPr>
              <w:spacing w:line="280" w:lineRule="exact"/>
              <w:jc w:val="center"/>
              <w:rPr>
                <w:rFonts w:hint="eastAsia"/>
                <w:color w:val="000000"/>
                <w:sz w:val="18"/>
                <w:szCs w:val="18"/>
              </w:rPr>
            </w:pPr>
          </w:p>
        </w:tc>
        <w:tc>
          <w:tcPr>
            <w:tcW w:w="305" w:type="pct"/>
            <w:noWrap w:val="0"/>
            <w:vAlign w:val="top"/>
          </w:tcPr>
          <w:p>
            <w:pPr>
              <w:spacing w:line="280" w:lineRule="exact"/>
              <w:jc w:val="center"/>
              <w:rPr>
                <w:rFonts w:hint="eastAsia"/>
                <w:color w:val="000000"/>
                <w:sz w:val="18"/>
                <w:szCs w:val="18"/>
              </w:rPr>
            </w:pPr>
            <w:r>
              <w:rPr>
                <w:rFonts w:hint="eastAsia"/>
                <w:color w:val="000000"/>
                <w:sz w:val="18"/>
                <w:szCs w:val="18"/>
              </w:rPr>
              <w:t>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11" w:hRule="atLeast"/>
        </w:trPr>
        <w:tc>
          <w:tcPr>
            <w:tcW w:w="223" w:type="pct"/>
            <w:noWrap w:val="0"/>
            <w:vAlign w:val="top"/>
          </w:tcPr>
          <w:p>
            <w:pPr>
              <w:spacing w:line="280" w:lineRule="exact"/>
              <w:jc w:val="center"/>
              <w:rPr>
                <w:color w:val="000000"/>
                <w:sz w:val="18"/>
                <w:szCs w:val="18"/>
              </w:rPr>
            </w:pPr>
            <w:r>
              <w:rPr>
                <w:color w:val="000000"/>
                <w:sz w:val="18"/>
                <w:szCs w:val="18"/>
              </w:rPr>
              <w:t>32</w:t>
            </w:r>
          </w:p>
        </w:tc>
        <w:tc>
          <w:tcPr>
            <w:tcW w:w="280" w:type="pct"/>
            <w:vMerge w:val="continue"/>
            <w:noWrap w:val="0"/>
            <w:vAlign w:val="top"/>
          </w:tcPr>
          <w:p>
            <w:pPr>
              <w:spacing w:line="280" w:lineRule="exact"/>
              <w:rPr>
                <w:rFonts w:hint="eastAsia"/>
                <w:color w:val="000000"/>
                <w:sz w:val="18"/>
                <w:szCs w:val="18"/>
              </w:rPr>
            </w:pPr>
          </w:p>
        </w:tc>
        <w:tc>
          <w:tcPr>
            <w:tcW w:w="331" w:type="pct"/>
            <w:vMerge w:val="continue"/>
            <w:noWrap w:val="0"/>
            <w:vAlign w:val="top"/>
          </w:tcPr>
          <w:p>
            <w:pPr>
              <w:spacing w:line="280" w:lineRule="exact"/>
              <w:rPr>
                <w:rFonts w:hint="eastAsia"/>
                <w:color w:val="000000"/>
                <w:sz w:val="18"/>
                <w:szCs w:val="18"/>
              </w:rPr>
            </w:pPr>
          </w:p>
        </w:tc>
        <w:tc>
          <w:tcPr>
            <w:tcW w:w="1252" w:type="pct"/>
            <w:gridSpan w:val="2"/>
            <w:noWrap w:val="0"/>
            <w:vAlign w:val="top"/>
          </w:tcPr>
          <w:p>
            <w:pPr>
              <w:spacing w:line="280" w:lineRule="exact"/>
              <w:jc w:val="center"/>
              <w:rPr>
                <w:color w:val="000000"/>
                <w:sz w:val="18"/>
                <w:szCs w:val="18"/>
              </w:rPr>
            </w:pPr>
            <w:r>
              <w:rPr>
                <w:color w:val="000000"/>
                <w:sz w:val="18"/>
                <w:szCs w:val="18"/>
              </w:rPr>
              <w:t>环境应急预案</w:t>
            </w:r>
          </w:p>
        </w:tc>
        <w:tc>
          <w:tcPr>
            <w:tcW w:w="372" w:type="pct"/>
            <w:noWrap w:val="0"/>
            <w:vAlign w:val="top"/>
          </w:tcPr>
          <w:p>
            <w:pPr>
              <w:spacing w:line="280" w:lineRule="exact"/>
              <w:jc w:val="center"/>
              <w:rPr>
                <w:color w:val="000000"/>
                <w:sz w:val="18"/>
                <w:szCs w:val="18"/>
              </w:rPr>
            </w:pPr>
            <w:r>
              <w:rPr>
                <w:color w:val="000000"/>
                <w:sz w:val="18"/>
                <w:szCs w:val="18"/>
              </w:rPr>
              <w:t>0.10</w:t>
            </w:r>
          </w:p>
        </w:tc>
        <w:tc>
          <w:tcPr>
            <w:tcW w:w="1904" w:type="pct"/>
            <w:gridSpan w:val="4"/>
            <w:noWrap w:val="0"/>
            <w:vAlign w:val="top"/>
          </w:tcPr>
          <w:p>
            <w:pPr>
              <w:spacing w:line="280" w:lineRule="exact"/>
              <w:rPr>
                <w:rFonts w:hint="eastAsia"/>
                <w:color w:val="000000"/>
                <w:sz w:val="18"/>
                <w:szCs w:val="18"/>
              </w:rPr>
            </w:pPr>
            <w:r>
              <w:rPr>
                <w:color w:val="000000"/>
                <w:sz w:val="18"/>
                <w:szCs w:val="18"/>
              </w:rPr>
              <w:t>根据《突发环境事件应急预案管理办法》（环发[2010]113 号）及环境保护法要求，制 定企业突发环境事件应急预案</w:t>
            </w:r>
          </w:p>
        </w:tc>
        <w:tc>
          <w:tcPr>
            <w:tcW w:w="333" w:type="pct"/>
            <w:noWrap w:val="0"/>
            <w:vAlign w:val="top"/>
          </w:tcPr>
          <w:p>
            <w:pPr>
              <w:spacing w:line="280" w:lineRule="exact"/>
              <w:jc w:val="center"/>
              <w:rPr>
                <w:rFonts w:hint="eastAsia"/>
                <w:color w:val="000000"/>
                <w:sz w:val="18"/>
                <w:szCs w:val="18"/>
              </w:rPr>
            </w:pPr>
            <w:r>
              <w:rPr>
                <w:rFonts w:hint="eastAsia"/>
                <w:color w:val="000000"/>
                <w:sz w:val="18"/>
                <w:szCs w:val="18"/>
              </w:rPr>
              <w:t>符合</w:t>
            </w:r>
          </w:p>
        </w:tc>
        <w:tc>
          <w:tcPr>
            <w:tcW w:w="305" w:type="pct"/>
            <w:noWrap w:val="0"/>
            <w:vAlign w:val="top"/>
          </w:tcPr>
          <w:p>
            <w:pPr>
              <w:spacing w:line="280" w:lineRule="exact"/>
              <w:jc w:val="center"/>
              <w:rPr>
                <w:rFonts w:hint="eastAsia"/>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280" w:hRule="atLeast"/>
        </w:trPr>
        <w:tc>
          <w:tcPr>
            <w:tcW w:w="4362" w:type="pct"/>
            <w:gridSpan w:val="10"/>
            <w:noWrap w:val="0"/>
            <w:vAlign w:val="top"/>
          </w:tcPr>
          <w:p>
            <w:pPr>
              <w:spacing w:line="280" w:lineRule="exact"/>
              <w:rPr>
                <w:color w:val="000000"/>
                <w:sz w:val="18"/>
                <w:szCs w:val="18"/>
              </w:rPr>
            </w:pPr>
            <w:r>
              <w:rPr>
                <w:color w:val="000000"/>
                <w:sz w:val="18"/>
                <w:szCs w:val="18"/>
              </w:rPr>
              <w:t>注：带</w:t>
            </w:r>
            <w:r>
              <w:rPr>
                <w:rFonts w:hint="eastAsia" w:ascii="宋体" w:hAnsi="宋体" w:cs="宋体"/>
                <w:color w:val="000000"/>
                <w:sz w:val="18"/>
                <w:szCs w:val="18"/>
              </w:rPr>
              <w:t>※</w:t>
            </w:r>
            <w:r>
              <w:rPr>
                <w:color w:val="000000"/>
                <w:sz w:val="18"/>
                <w:szCs w:val="18"/>
              </w:rPr>
              <w:t>的指标为限定性指标。</w:t>
            </w:r>
          </w:p>
        </w:tc>
        <w:tc>
          <w:tcPr>
            <w:tcW w:w="333" w:type="pct"/>
            <w:noWrap w:val="0"/>
            <w:vAlign w:val="top"/>
          </w:tcPr>
          <w:p>
            <w:pPr>
              <w:spacing w:line="280" w:lineRule="exact"/>
              <w:jc w:val="center"/>
              <w:rPr>
                <w:rFonts w:hint="eastAsia"/>
                <w:color w:val="000000"/>
                <w:sz w:val="18"/>
                <w:szCs w:val="18"/>
              </w:rPr>
            </w:pPr>
          </w:p>
        </w:tc>
        <w:tc>
          <w:tcPr>
            <w:tcW w:w="305" w:type="pct"/>
            <w:noWrap w:val="0"/>
            <w:vAlign w:val="top"/>
          </w:tcPr>
          <w:p>
            <w:pPr>
              <w:spacing w:line="280" w:lineRule="exact"/>
              <w:jc w:val="center"/>
              <w:rPr>
                <w:rFonts w:hint="eastAsia"/>
                <w:color w:val="000000"/>
                <w:sz w:val="18"/>
                <w:szCs w:val="18"/>
              </w:rPr>
            </w:pPr>
          </w:p>
        </w:tc>
      </w:tr>
    </w:tbl>
    <w:p>
      <w:pPr>
        <w:spacing w:line="360" w:lineRule="auto"/>
        <w:jc w:val="center"/>
        <w:rPr>
          <w:rFonts w:hint="eastAsia"/>
          <w:b/>
          <w:color w:val="000000"/>
          <w:sz w:val="24"/>
        </w:rPr>
      </w:pPr>
    </w:p>
    <w:p>
      <w:pPr>
        <w:spacing w:line="360" w:lineRule="auto"/>
        <w:jc w:val="center"/>
        <w:rPr>
          <w:rFonts w:hint="eastAsia"/>
          <w:b/>
          <w:color w:val="000000"/>
          <w:sz w:val="24"/>
        </w:rPr>
      </w:pPr>
    </w:p>
    <w:p>
      <w:pPr>
        <w:spacing w:line="360" w:lineRule="auto"/>
        <w:jc w:val="center"/>
        <w:rPr>
          <w:rFonts w:hint="eastAsia"/>
          <w:b/>
          <w:color w:val="000000"/>
          <w:sz w:val="24"/>
        </w:rPr>
      </w:pPr>
    </w:p>
    <w:p>
      <w:pPr>
        <w:spacing w:line="360" w:lineRule="auto"/>
        <w:jc w:val="left"/>
        <w:rPr>
          <w:rFonts w:hint="eastAsia" w:ascii="宋体" w:hAnsi="宋体"/>
          <w:color w:val="000000"/>
          <w:sz w:val="18"/>
          <w:szCs w:val="18"/>
        </w:rPr>
        <w:sectPr>
          <w:pgSz w:w="16838" w:h="11906" w:orient="landscape"/>
          <w:pgMar w:top="1418" w:right="1247" w:bottom="1418" w:left="1247" w:header="851" w:footer="992" w:gutter="0"/>
          <w:cols w:space="720" w:num="1"/>
          <w:docGrid w:linePitch="312" w:charSpace="0"/>
        </w:sectPr>
      </w:pPr>
    </w:p>
    <w:p>
      <w:pPr>
        <w:spacing w:line="360" w:lineRule="auto"/>
        <w:ind w:firstLine="480" w:firstLineChars="200"/>
        <w:rPr>
          <w:rFonts w:hint="eastAsia" w:ascii="宋体" w:hAnsi="宋体"/>
          <w:color w:val="000000"/>
          <w:sz w:val="24"/>
        </w:rPr>
      </w:pPr>
      <w:r>
        <w:rPr>
          <w:rFonts w:hint="eastAsia" w:ascii="宋体" w:hAnsi="宋体"/>
          <w:color w:val="000000"/>
          <w:sz w:val="24"/>
        </w:rPr>
        <w:t>铅锌采选行业清洁生产企业的评定</w:t>
      </w:r>
    </w:p>
    <w:p>
      <w:pPr>
        <w:spacing w:line="360" w:lineRule="auto"/>
        <w:ind w:firstLine="480" w:firstLineChars="200"/>
        <w:rPr>
          <w:rFonts w:hint="eastAsia" w:ascii="宋体" w:hAnsi="宋体"/>
          <w:color w:val="000000"/>
          <w:sz w:val="24"/>
        </w:rPr>
      </w:pPr>
      <w:r>
        <w:rPr>
          <w:rFonts w:hint="eastAsia" w:ascii="宋体" w:hAnsi="宋体"/>
          <w:color w:val="000000"/>
          <w:sz w:val="24"/>
        </w:rPr>
        <w:t>本体系采用限定性指标评价和指标分级加权评价相结合的方法。在限定性指标达到Ⅲ级水平的基础上，采用指标分级加权评价方法，计算行业清洁生产综合评价指数。根据综合评价指数，确定清洁生产水平等级。</w:t>
      </w:r>
    </w:p>
    <w:p>
      <w:pPr>
        <w:spacing w:line="360" w:lineRule="auto"/>
        <w:ind w:firstLine="480" w:firstLineChars="200"/>
        <w:rPr>
          <w:rFonts w:hint="eastAsia" w:ascii="宋体" w:hAnsi="宋体"/>
          <w:color w:val="000000"/>
          <w:sz w:val="24"/>
        </w:rPr>
      </w:pPr>
      <w:r>
        <w:rPr>
          <w:rFonts w:hint="eastAsia" w:ascii="宋体" w:hAnsi="宋体"/>
          <w:color w:val="000000"/>
          <w:sz w:val="24"/>
        </w:rPr>
        <w:t>对铅锌采选企业清洁生产水平的评价，是以其清洁生产综合评价指数为依据的，对达到一定综合评价指数的企业，分别评定为清洁生产领先企业、清洁生产先进企业或清洁生产一般企业。</w:t>
      </w:r>
    </w:p>
    <w:p>
      <w:pPr>
        <w:spacing w:line="360" w:lineRule="auto"/>
        <w:ind w:firstLine="480" w:firstLineChars="200"/>
        <w:rPr>
          <w:rFonts w:hint="eastAsia" w:ascii="宋体" w:hAnsi="宋体"/>
          <w:color w:val="000000"/>
          <w:sz w:val="24"/>
        </w:rPr>
      </w:pPr>
      <w:r>
        <w:rPr>
          <w:rFonts w:hint="eastAsia" w:ascii="宋体" w:hAnsi="宋体"/>
          <w:color w:val="000000"/>
          <w:sz w:val="24"/>
        </w:rPr>
        <w:t>根据目前我国铅锌采选行业的实际情况，不同等级的清洁生产企业的综合评价指数列于表6-8 。</w:t>
      </w:r>
    </w:p>
    <w:p>
      <w:pPr>
        <w:spacing w:line="360" w:lineRule="auto"/>
        <w:ind w:firstLine="482" w:firstLineChars="200"/>
        <w:jc w:val="center"/>
        <w:rPr>
          <w:rFonts w:hint="eastAsia" w:ascii="宋体" w:hAnsi="宋体"/>
          <w:b/>
          <w:color w:val="000000"/>
          <w:sz w:val="24"/>
        </w:rPr>
      </w:pPr>
      <w:r>
        <w:rPr>
          <w:rFonts w:hint="eastAsia" w:ascii="宋体" w:hAnsi="宋体"/>
          <w:b/>
          <w:color w:val="000000"/>
          <w:sz w:val="24"/>
        </w:rPr>
        <w:t>表 6-8 铅锌采选行业不同等级清洁生产企业综合评价指数</w:t>
      </w:r>
    </w:p>
    <w:tbl>
      <w:tblPr>
        <w:tblStyle w:val="36"/>
        <w:tblW w:w="0" w:type="auto"/>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51"/>
        <w:gridCol w:w="4688"/>
        <w:gridCol w:w="12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3" w:hRule="atLeast"/>
        </w:trPr>
        <w:tc>
          <w:tcPr>
            <w:tcW w:w="2751" w:type="dxa"/>
            <w:noWrap w:val="0"/>
            <w:vAlign w:val="top"/>
          </w:tcPr>
          <w:p>
            <w:pPr>
              <w:spacing w:line="360" w:lineRule="auto"/>
              <w:jc w:val="center"/>
              <w:rPr>
                <w:rFonts w:hint="eastAsia"/>
                <w:color w:val="000000"/>
                <w:szCs w:val="21"/>
              </w:rPr>
            </w:pPr>
            <w:r>
              <w:rPr>
                <w:rFonts w:hint="eastAsia"/>
                <w:color w:val="000000"/>
                <w:szCs w:val="21"/>
              </w:rPr>
              <w:t>企业清洁生产水平</w:t>
            </w:r>
          </w:p>
        </w:tc>
        <w:tc>
          <w:tcPr>
            <w:tcW w:w="4688" w:type="dxa"/>
            <w:noWrap w:val="0"/>
            <w:vAlign w:val="top"/>
          </w:tcPr>
          <w:p>
            <w:pPr>
              <w:spacing w:line="360" w:lineRule="auto"/>
              <w:jc w:val="center"/>
              <w:rPr>
                <w:rFonts w:hint="eastAsia"/>
                <w:color w:val="000000"/>
                <w:szCs w:val="28"/>
              </w:rPr>
            </w:pPr>
            <w:r>
              <w:rPr>
                <w:rFonts w:hint="eastAsia"/>
                <w:color w:val="000000"/>
                <w:szCs w:val="28"/>
              </w:rPr>
              <w:t>评定条件</w:t>
            </w:r>
          </w:p>
        </w:tc>
        <w:tc>
          <w:tcPr>
            <w:tcW w:w="1219" w:type="dxa"/>
            <w:noWrap w:val="0"/>
            <w:vAlign w:val="top"/>
          </w:tcPr>
          <w:p>
            <w:pPr>
              <w:spacing w:line="360" w:lineRule="auto"/>
              <w:jc w:val="center"/>
              <w:rPr>
                <w:rFonts w:hint="eastAsia"/>
                <w:color w:val="000000"/>
                <w:szCs w:val="28"/>
              </w:rPr>
            </w:pPr>
            <w:r>
              <w:rPr>
                <w:rFonts w:hint="eastAsia"/>
                <w:color w:val="000000"/>
                <w:szCs w:val="28"/>
              </w:rPr>
              <w:t>公司自评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9" w:hRule="atLeast"/>
        </w:trPr>
        <w:tc>
          <w:tcPr>
            <w:tcW w:w="2751" w:type="dxa"/>
            <w:noWrap w:val="0"/>
            <w:vAlign w:val="top"/>
          </w:tcPr>
          <w:p>
            <w:pPr>
              <w:spacing w:line="360" w:lineRule="auto"/>
              <w:jc w:val="center"/>
              <w:rPr>
                <w:rFonts w:hint="eastAsia"/>
                <w:color w:val="000000"/>
                <w:szCs w:val="21"/>
              </w:rPr>
            </w:pPr>
            <w:r>
              <w:rPr>
                <w:rFonts w:hint="eastAsia"/>
                <w:color w:val="000000"/>
                <w:szCs w:val="21"/>
              </w:rPr>
              <w:t>Ⅰ级</w:t>
            </w:r>
          </w:p>
        </w:tc>
        <w:tc>
          <w:tcPr>
            <w:tcW w:w="4688" w:type="dxa"/>
            <w:noWrap w:val="0"/>
            <w:vAlign w:val="top"/>
          </w:tcPr>
          <w:p>
            <w:pPr>
              <w:spacing w:line="360" w:lineRule="auto"/>
              <w:rPr>
                <w:rFonts w:hint="eastAsia"/>
                <w:color w:val="000000"/>
                <w:szCs w:val="28"/>
              </w:rPr>
            </w:pPr>
            <w:r>
              <w:rPr>
                <w:color w:val="000000"/>
                <w:sz w:val="28"/>
                <w:szCs w:val="28"/>
              </w:rPr>
              <w:t>Y</w:t>
            </w:r>
            <w:r>
              <w:rPr>
                <w:rFonts w:hint="eastAsia"/>
                <w:color w:val="000000"/>
                <w:sz w:val="15"/>
                <w:szCs w:val="15"/>
              </w:rPr>
              <w:t>g</w:t>
            </w:r>
            <w:r>
              <w:rPr>
                <w:color w:val="000000"/>
                <w:sz w:val="18"/>
                <w:szCs w:val="18"/>
              </w:rPr>
              <w:t xml:space="preserve"> </w:t>
            </w:r>
            <w:r>
              <w:rPr>
                <w:rFonts w:hint="eastAsia"/>
                <w:color w:val="000000"/>
                <w:sz w:val="18"/>
                <w:szCs w:val="18"/>
                <w:vertAlign w:val="superscript"/>
              </w:rPr>
              <w:t>1</w:t>
            </w:r>
            <w:r>
              <w:rPr>
                <w:rFonts w:hint="eastAsia" w:ascii="宋体" w:hAnsi="宋体"/>
                <w:color w:val="000000"/>
                <w:sz w:val="24"/>
              </w:rPr>
              <w:t xml:space="preserve"> ≥</w:t>
            </w:r>
            <w:r>
              <w:rPr>
                <w:color w:val="000000"/>
                <w:sz w:val="24"/>
              </w:rPr>
              <w:t>85</w:t>
            </w:r>
            <w:r>
              <w:rPr>
                <w:rFonts w:hint="eastAsia"/>
                <w:color w:val="000000"/>
                <w:sz w:val="24"/>
              </w:rPr>
              <w:t>,</w:t>
            </w:r>
            <w:r>
              <w:rPr>
                <w:rFonts w:hint="eastAsia"/>
                <w:color w:val="000000"/>
                <w:szCs w:val="21"/>
              </w:rPr>
              <w:t>限定性指标全部满足Ⅰ级基准值要求</w:t>
            </w:r>
          </w:p>
        </w:tc>
        <w:tc>
          <w:tcPr>
            <w:tcW w:w="1219" w:type="dxa"/>
            <w:noWrap w:val="0"/>
            <w:vAlign w:val="top"/>
          </w:tcPr>
          <w:p>
            <w:pPr>
              <w:spacing w:line="360" w:lineRule="auto"/>
              <w:jc w:val="center"/>
              <w:rPr>
                <w:rFonts w:hint="eastAsia"/>
                <w:color w:val="000000"/>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48" w:hRule="atLeast"/>
        </w:trPr>
        <w:tc>
          <w:tcPr>
            <w:tcW w:w="2751" w:type="dxa"/>
            <w:noWrap w:val="0"/>
            <w:vAlign w:val="top"/>
          </w:tcPr>
          <w:p>
            <w:pPr>
              <w:spacing w:line="360" w:lineRule="auto"/>
              <w:jc w:val="center"/>
              <w:rPr>
                <w:rFonts w:hint="eastAsia"/>
                <w:color w:val="000000"/>
                <w:szCs w:val="21"/>
              </w:rPr>
            </w:pPr>
            <w:r>
              <w:rPr>
                <w:rFonts w:hint="eastAsia"/>
                <w:color w:val="000000"/>
                <w:szCs w:val="21"/>
              </w:rPr>
              <w:t>Ⅱ级</w:t>
            </w:r>
          </w:p>
          <w:p>
            <w:pPr>
              <w:spacing w:line="360" w:lineRule="auto"/>
              <w:jc w:val="center"/>
              <w:rPr>
                <w:rFonts w:hint="eastAsia"/>
                <w:color w:val="000000"/>
                <w:szCs w:val="21"/>
              </w:rPr>
            </w:pPr>
          </w:p>
        </w:tc>
        <w:tc>
          <w:tcPr>
            <w:tcW w:w="4688" w:type="dxa"/>
            <w:noWrap w:val="0"/>
            <w:vAlign w:val="top"/>
          </w:tcPr>
          <w:p>
            <w:pPr>
              <w:spacing w:line="360" w:lineRule="auto"/>
              <w:rPr>
                <w:rFonts w:hint="eastAsia"/>
                <w:color w:val="000000"/>
                <w:szCs w:val="28"/>
              </w:rPr>
            </w:pPr>
            <w:r>
              <w:rPr>
                <w:color w:val="000000"/>
                <w:sz w:val="28"/>
                <w:szCs w:val="28"/>
              </w:rPr>
              <w:t>Y</w:t>
            </w:r>
            <w:r>
              <w:rPr>
                <w:rFonts w:hint="eastAsia"/>
                <w:color w:val="000000"/>
                <w:sz w:val="15"/>
                <w:szCs w:val="15"/>
              </w:rPr>
              <w:t>g</w:t>
            </w:r>
            <w:r>
              <w:rPr>
                <w:color w:val="000000"/>
                <w:sz w:val="24"/>
              </w:rPr>
              <w:t xml:space="preserve"> </w:t>
            </w:r>
            <w:r>
              <w:rPr>
                <w:rFonts w:hint="eastAsia"/>
                <w:color w:val="000000"/>
                <w:sz w:val="18"/>
                <w:szCs w:val="18"/>
                <w:vertAlign w:val="superscript"/>
              </w:rPr>
              <w:t>2</w:t>
            </w:r>
            <w:r>
              <w:rPr>
                <w:rFonts w:hint="eastAsia"/>
                <w:color w:val="000000"/>
                <w:sz w:val="18"/>
                <w:szCs w:val="18"/>
              </w:rPr>
              <w:t xml:space="preserve"> </w:t>
            </w:r>
            <w:r>
              <w:rPr>
                <w:rFonts w:hint="eastAsia" w:ascii="宋体" w:hAnsi="宋体"/>
                <w:color w:val="000000"/>
                <w:sz w:val="24"/>
              </w:rPr>
              <w:t xml:space="preserve"> ≥</w:t>
            </w:r>
            <w:r>
              <w:rPr>
                <w:color w:val="000000"/>
                <w:sz w:val="24"/>
              </w:rPr>
              <w:t xml:space="preserve">85 </w:t>
            </w:r>
            <w:r>
              <w:rPr>
                <w:rFonts w:hint="eastAsia"/>
                <w:color w:val="000000"/>
                <w:sz w:val="24"/>
              </w:rPr>
              <w:t>,</w:t>
            </w:r>
            <w:r>
              <w:rPr>
                <w:rFonts w:hint="eastAsia"/>
                <w:color w:val="000000"/>
                <w:szCs w:val="28"/>
              </w:rPr>
              <w:t>限定性指标全部满足Ⅱ级基准值要求及以上</w:t>
            </w:r>
          </w:p>
        </w:tc>
        <w:tc>
          <w:tcPr>
            <w:tcW w:w="1219" w:type="dxa"/>
            <w:noWrap w:val="0"/>
            <w:vAlign w:val="top"/>
          </w:tcPr>
          <w:p>
            <w:pPr>
              <w:spacing w:line="360" w:lineRule="auto"/>
              <w:jc w:val="center"/>
              <w:rPr>
                <w:rFonts w:hint="eastAsia"/>
                <w:color w:val="000000"/>
                <w:szCs w:val="28"/>
              </w:rPr>
            </w:pPr>
            <w:r>
              <w:rPr>
                <w:rFonts w:hint="eastAsia"/>
                <w:color w:val="000000"/>
                <w:szCs w:val="28"/>
              </w:rPr>
              <w:t>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5" w:hRule="atLeast"/>
        </w:trPr>
        <w:tc>
          <w:tcPr>
            <w:tcW w:w="2751" w:type="dxa"/>
            <w:noWrap w:val="0"/>
            <w:vAlign w:val="top"/>
          </w:tcPr>
          <w:p>
            <w:pPr>
              <w:spacing w:line="360" w:lineRule="auto"/>
              <w:jc w:val="center"/>
              <w:rPr>
                <w:rFonts w:hint="eastAsia"/>
                <w:color w:val="000000"/>
                <w:szCs w:val="21"/>
              </w:rPr>
            </w:pPr>
            <w:r>
              <w:rPr>
                <w:rFonts w:hint="eastAsia"/>
                <w:color w:val="000000"/>
                <w:szCs w:val="21"/>
              </w:rPr>
              <w:t>Ⅲ级</w:t>
            </w:r>
          </w:p>
        </w:tc>
        <w:tc>
          <w:tcPr>
            <w:tcW w:w="4688" w:type="dxa"/>
            <w:noWrap w:val="0"/>
            <w:vAlign w:val="top"/>
          </w:tcPr>
          <w:p>
            <w:pPr>
              <w:spacing w:line="360" w:lineRule="auto"/>
              <w:rPr>
                <w:rFonts w:hint="eastAsia"/>
                <w:color w:val="000000"/>
                <w:szCs w:val="28"/>
              </w:rPr>
            </w:pPr>
            <w:r>
              <w:rPr>
                <w:color w:val="000000"/>
                <w:sz w:val="28"/>
                <w:szCs w:val="28"/>
              </w:rPr>
              <w:t>Y</w:t>
            </w:r>
            <w:r>
              <w:rPr>
                <w:rFonts w:hint="eastAsia"/>
                <w:color w:val="000000"/>
                <w:sz w:val="15"/>
                <w:szCs w:val="15"/>
              </w:rPr>
              <w:t>g</w:t>
            </w:r>
            <w:r>
              <w:rPr>
                <w:color w:val="000000"/>
                <w:sz w:val="24"/>
              </w:rPr>
              <w:t xml:space="preserve"> </w:t>
            </w:r>
            <w:r>
              <w:rPr>
                <w:color w:val="000000"/>
                <w:sz w:val="18"/>
                <w:szCs w:val="18"/>
                <w:vertAlign w:val="superscript"/>
              </w:rPr>
              <w:t>3</w:t>
            </w:r>
            <w:r>
              <w:rPr>
                <w:rFonts w:hint="eastAsia"/>
                <w:color w:val="000000"/>
                <w:sz w:val="24"/>
              </w:rPr>
              <w:t xml:space="preserve"> </w:t>
            </w:r>
            <w:r>
              <w:rPr>
                <w:rFonts w:hint="eastAsia" w:ascii="宋体" w:hAnsi="宋体"/>
                <w:color w:val="000000"/>
                <w:sz w:val="24"/>
              </w:rPr>
              <w:t xml:space="preserve"> =100</w:t>
            </w:r>
          </w:p>
        </w:tc>
        <w:tc>
          <w:tcPr>
            <w:tcW w:w="1219" w:type="dxa"/>
            <w:noWrap w:val="0"/>
            <w:vAlign w:val="top"/>
          </w:tcPr>
          <w:p>
            <w:pPr>
              <w:spacing w:line="360" w:lineRule="auto"/>
              <w:jc w:val="center"/>
              <w:rPr>
                <w:rFonts w:hint="eastAsia"/>
                <w:color w:val="000000"/>
                <w:szCs w:val="28"/>
              </w:rPr>
            </w:pPr>
            <w:r>
              <w:rPr>
                <w:rFonts w:hint="eastAsia"/>
                <w:color w:val="000000"/>
                <w:szCs w:val="28"/>
              </w:rPr>
              <w:t>100</w:t>
            </w:r>
          </w:p>
        </w:tc>
      </w:tr>
    </w:tbl>
    <w:p>
      <w:pPr>
        <w:spacing w:before="240" w:beforeLines="100" w:line="360" w:lineRule="auto"/>
        <w:ind w:firstLine="482" w:firstLineChars="200"/>
        <w:rPr>
          <w:rFonts w:hint="eastAsia" w:ascii="宋体" w:hAnsi="宋体"/>
          <w:b/>
          <w:color w:val="000000"/>
          <w:sz w:val="24"/>
          <w:szCs w:val="24"/>
        </w:rPr>
      </w:pPr>
      <w:r>
        <w:rPr>
          <w:rFonts w:hint="eastAsia" w:ascii="宋体" w:hAnsi="宋体"/>
          <w:b/>
          <w:color w:val="000000"/>
          <w:sz w:val="24"/>
          <w:szCs w:val="24"/>
        </w:rPr>
        <w:t>6.4.3.2审核后清洁生产水平评价</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（1）三级清洁生产水平评定：</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公司生产工艺及装备指标，资源能源消耗指标，资源综合利用指标，产品特征指标，污染物产生指标，清洁生产管理指标均达到清洁生产三级水平。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（2）二级清洁生产水平评定：</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根据评定要求，带*的指标为限定性指标。公司</w:t>
      </w:r>
      <w:r>
        <w:rPr>
          <w:color w:val="000000"/>
          <w:sz w:val="24"/>
          <w:szCs w:val="24"/>
        </w:rPr>
        <w:t>资源能源消耗指标</w:t>
      </w:r>
      <w:r>
        <w:rPr>
          <w:rFonts w:hint="eastAsia" w:ascii="宋体" w:hAnsi="宋体"/>
          <w:color w:val="000000"/>
          <w:sz w:val="24"/>
          <w:szCs w:val="24"/>
        </w:rPr>
        <w:t>—</w:t>
      </w:r>
      <w:r>
        <w:rPr>
          <w:rFonts w:hint="eastAsia" w:ascii="宋体" w:hAnsi="宋体" w:cs="宋体"/>
          <w:color w:val="000000"/>
          <w:sz w:val="24"/>
          <w:szCs w:val="24"/>
        </w:rPr>
        <w:t>※</w:t>
      </w:r>
      <w:r>
        <w:rPr>
          <w:color w:val="000000"/>
          <w:sz w:val="24"/>
          <w:szCs w:val="24"/>
        </w:rPr>
        <w:t>新水用量</w:t>
      </w:r>
      <w:r>
        <w:rPr>
          <w:rFonts w:hint="eastAsia"/>
          <w:color w:val="000000"/>
          <w:sz w:val="24"/>
          <w:szCs w:val="24"/>
        </w:rPr>
        <w:t>、</w:t>
      </w:r>
      <w:r>
        <w:rPr>
          <w:color w:val="000000"/>
          <w:sz w:val="24"/>
          <w:szCs w:val="24"/>
        </w:rPr>
        <w:t>资源利用指标</w:t>
      </w:r>
      <w:r>
        <w:rPr>
          <w:rFonts w:hint="eastAsia"/>
          <w:color w:val="000000"/>
          <w:sz w:val="24"/>
          <w:szCs w:val="24"/>
        </w:rPr>
        <w:t>—</w:t>
      </w:r>
      <w:r>
        <w:rPr>
          <w:rFonts w:hint="eastAsia" w:ascii="宋体" w:hAnsi="宋体" w:cs="宋体"/>
          <w:color w:val="000000"/>
          <w:sz w:val="24"/>
          <w:szCs w:val="24"/>
        </w:rPr>
        <w:t>※</w:t>
      </w:r>
      <w:r>
        <w:rPr>
          <w:color w:val="000000"/>
          <w:sz w:val="24"/>
          <w:szCs w:val="24"/>
        </w:rPr>
        <w:t>工业用水重复利用率</w:t>
      </w:r>
      <w:r>
        <w:rPr>
          <w:rFonts w:hint="eastAsia" w:ascii="宋体" w:hAnsi="宋体"/>
          <w:color w:val="000000"/>
          <w:sz w:val="24"/>
          <w:szCs w:val="24"/>
        </w:rPr>
        <w:t>审核前为三级指标，审核后达到新水用量达二级指标,工业水重复利用率达一级指标。审核后带*的指标为限定性指标全部达二级水平。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审核前二级清洁生产指标评分为45.5分，审核后提升到81分，提升了36分。但达不到二级清洁生产水平的85分基准值。</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（3）审核后清洁生产评价结论：</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审核后，公司各项指标</w:t>
      </w:r>
      <w:r>
        <w:rPr>
          <w:rFonts w:ascii="宋体" w:hAnsi="宋体"/>
          <w:color w:val="000000"/>
          <w:sz w:val="24"/>
          <w:szCs w:val="24"/>
        </w:rPr>
        <w:t>与国家发展和改革委员会、环境保护部、工业和信息化部</w:t>
      </w:r>
      <w:r>
        <w:rPr>
          <w:rFonts w:hint="eastAsia" w:ascii="宋体" w:hAnsi="宋体"/>
          <w:color w:val="000000"/>
          <w:sz w:val="24"/>
          <w:szCs w:val="24"/>
        </w:rPr>
        <w:t>2015年</w:t>
      </w:r>
      <w:r>
        <w:rPr>
          <w:rFonts w:ascii="宋体" w:hAnsi="宋体"/>
          <w:color w:val="000000"/>
          <w:sz w:val="24"/>
          <w:szCs w:val="24"/>
        </w:rPr>
        <w:t>颁布的《</w:t>
      </w:r>
      <w:r>
        <w:rPr>
          <w:rFonts w:hint="eastAsia" w:ascii="宋体" w:hAnsi="宋体"/>
          <w:color w:val="000000"/>
          <w:sz w:val="24"/>
          <w:szCs w:val="24"/>
        </w:rPr>
        <w:t>铅锌采选行业清洁生产评价指标体系</w:t>
      </w:r>
      <w:r>
        <w:rPr>
          <w:rFonts w:ascii="宋体" w:hAnsi="宋体"/>
          <w:color w:val="000000"/>
          <w:sz w:val="24"/>
          <w:szCs w:val="24"/>
        </w:rPr>
        <w:t>》进行对比，</w:t>
      </w:r>
      <w:r>
        <w:rPr>
          <w:rFonts w:hint="eastAsia" w:ascii="宋体" w:hAnsi="宋体"/>
          <w:color w:val="000000"/>
          <w:sz w:val="24"/>
          <w:szCs w:val="24"/>
        </w:rPr>
        <w:t>公司达到清洁生产三级水平。</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6.4.3.3审核后各项指标数据来源和计算</w:t>
      </w:r>
    </w:p>
    <w:p>
      <w:pPr>
        <w:spacing w:line="360" w:lineRule="auto"/>
        <w:ind w:firstLine="480" w:firstLineChars="200"/>
        <w:rPr>
          <w:rFonts w:hint="eastAsia" w:ascii="宋体" w:hAnsi="宋体"/>
          <w:color w:val="000000"/>
          <w:sz w:val="24"/>
          <w:szCs w:val="24"/>
        </w:rPr>
      </w:pPr>
      <w:r>
        <w:rPr>
          <w:rFonts w:ascii="宋体" w:hAnsi="宋体"/>
          <w:color w:val="000000"/>
          <w:sz w:val="24"/>
          <w:szCs w:val="24"/>
        </w:rPr>
        <w:t>资源能源消耗指标</w:t>
      </w:r>
      <w:r>
        <w:rPr>
          <w:rFonts w:hint="eastAsia" w:ascii="宋体" w:hAnsi="宋体"/>
          <w:color w:val="000000"/>
          <w:sz w:val="24"/>
          <w:szCs w:val="24"/>
        </w:rPr>
        <w:t>：</w:t>
      </w:r>
    </w:p>
    <w:p>
      <w:pPr>
        <w:spacing w:line="360" w:lineRule="auto"/>
        <w:ind w:firstLine="480" w:firstLineChars="200"/>
        <w:rPr>
          <w:rFonts w:hint="eastAsia" w:ascii="宋体" w:hAnsi="宋体"/>
          <w:color w:val="000000"/>
          <w:sz w:val="24"/>
        </w:rPr>
      </w:pPr>
      <w:r>
        <w:rPr>
          <w:rFonts w:hint="eastAsia" w:ascii="宋体" w:hAnsi="宋体"/>
          <w:color w:val="000000"/>
          <w:sz w:val="24"/>
        </w:rPr>
        <w:t>（1）公司2019年1-9月铅锌矿总产量（精矿）5838吨。</w:t>
      </w:r>
    </w:p>
    <w:p>
      <w:pPr>
        <w:spacing w:line="360" w:lineRule="auto"/>
        <w:ind w:firstLine="480" w:firstLineChars="200"/>
        <w:rPr>
          <w:rFonts w:hint="eastAsia" w:ascii="宋体" w:hAnsi="宋体"/>
          <w:color w:val="000000"/>
          <w:sz w:val="24"/>
        </w:rPr>
      </w:pPr>
      <w:r>
        <w:rPr>
          <w:rFonts w:hint="eastAsia" w:ascii="宋体" w:hAnsi="宋体"/>
          <w:color w:val="000000"/>
          <w:sz w:val="24"/>
        </w:rPr>
        <w:t>（2）公司2019年1-9月用水量53662吨。</w:t>
      </w:r>
    </w:p>
    <w:p>
      <w:pPr>
        <w:spacing w:line="360" w:lineRule="auto"/>
        <w:ind w:firstLine="480" w:firstLineChars="200"/>
        <w:rPr>
          <w:rFonts w:hint="eastAsia" w:ascii="宋体" w:hAnsi="宋体"/>
          <w:color w:val="000000"/>
          <w:sz w:val="24"/>
        </w:rPr>
      </w:pPr>
      <w:r>
        <w:rPr>
          <w:rFonts w:hint="eastAsia" w:ascii="宋体" w:hAnsi="宋体"/>
          <w:color w:val="000000"/>
          <w:sz w:val="24"/>
        </w:rPr>
        <w:t>（3）公司2019年1-9月用电量1398067千瓦时，</w:t>
      </w:r>
    </w:p>
    <w:p>
      <w:pPr>
        <w:spacing w:line="360" w:lineRule="auto"/>
        <w:ind w:firstLine="480" w:firstLineChars="200"/>
        <w:rPr>
          <w:rFonts w:hint="eastAsia" w:ascii="宋体" w:hAnsi="宋体"/>
          <w:color w:val="000000"/>
          <w:sz w:val="24"/>
        </w:rPr>
      </w:pPr>
      <w:r>
        <w:rPr>
          <w:rFonts w:hint="eastAsia" w:ascii="宋体" w:hAnsi="宋体"/>
          <w:color w:val="000000"/>
          <w:sz w:val="24"/>
        </w:rPr>
        <w:t>（4）2019年1-9月原矿产量41609.16吨</w:t>
      </w:r>
    </w:p>
    <w:p>
      <w:pPr>
        <w:spacing w:line="360" w:lineRule="auto"/>
        <w:ind w:firstLine="480" w:firstLineChars="200"/>
        <w:rPr>
          <w:rFonts w:hint="eastAsia" w:ascii="宋体" w:hAnsi="宋体"/>
          <w:color w:val="000000"/>
          <w:sz w:val="24"/>
        </w:rPr>
      </w:pPr>
      <w:r>
        <w:rPr>
          <w:rFonts w:hint="eastAsia" w:ascii="宋体" w:hAnsi="宋体"/>
          <w:color w:val="000000"/>
          <w:sz w:val="24"/>
        </w:rPr>
        <w:t>资源能源计算见表6-9</w:t>
      </w:r>
    </w:p>
    <w:p>
      <w:pPr>
        <w:spacing w:line="320" w:lineRule="exact"/>
        <w:jc w:val="center"/>
        <w:rPr>
          <w:rFonts w:hint="eastAsia"/>
          <w:b/>
          <w:color w:val="000000"/>
          <w:sz w:val="24"/>
          <w:szCs w:val="24"/>
        </w:rPr>
      </w:pPr>
      <w:r>
        <w:rPr>
          <w:rFonts w:hint="eastAsia"/>
          <w:b/>
          <w:color w:val="000000"/>
          <w:sz w:val="24"/>
          <w:szCs w:val="24"/>
        </w:rPr>
        <w:t>表6-9资源能源消耗情况表</w:t>
      </w:r>
    </w:p>
    <w:tbl>
      <w:tblPr>
        <w:tblStyle w:val="35"/>
        <w:tblW w:w="8660" w:type="dxa"/>
        <w:tblInd w:w="288"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Layout w:type="fixed"/>
        <w:tblCellMar>
          <w:top w:w="0" w:type="dxa"/>
          <w:left w:w="0" w:type="dxa"/>
          <w:bottom w:w="0" w:type="dxa"/>
          <w:right w:w="0" w:type="dxa"/>
        </w:tblCellMar>
      </w:tblPr>
      <w:tblGrid>
        <w:gridCol w:w="4854"/>
        <w:gridCol w:w="1858"/>
        <w:gridCol w:w="194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shd w:val="clear" w:color="auto" w:fill="FFFFFF"/>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ascii="宋体" w:hAnsi="宋体" w:cs="宋体"/>
                <w:color w:val="000000"/>
                <w:kern w:val="0"/>
                <w:szCs w:val="21"/>
              </w:rPr>
              <w:t>能源</w:t>
            </w:r>
          </w:p>
        </w:tc>
        <w:tc>
          <w:tcPr>
            <w:tcW w:w="3806" w:type="dxa"/>
            <w:gridSpan w:val="2"/>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ascii="宋体" w:hAnsi="宋体" w:cs="宋体"/>
                <w:color w:val="000000"/>
                <w:kern w:val="0"/>
                <w:szCs w:val="21"/>
              </w:rPr>
              <w:t>2019年1-9月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种类</w:t>
            </w:r>
          </w:p>
        </w:tc>
        <w:tc>
          <w:tcPr>
            <w:tcW w:w="1858"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用量</w:t>
            </w:r>
          </w:p>
        </w:tc>
        <w:tc>
          <w:tcPr>
            <w:tcW w:w="1948"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折标煤</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s="宋体"/>
                <w:color w:val="000000"/>
                <w:kern w:val="0"/>
                <w:szCs w:val="21"/>
              </w:rPr>
              <w:t>电（kwh）</w:t>
            </w:r>
          </w:p>
        </w:tc>
        <w:tc>
          <w:tcPr>
            <w:tcW w:w="1858"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color w:val="000000"/>
                <w:szCs w:val="21"/>
              </w:rPr>
              <w:t>1398067</w:t>
            </w:r>
          </w:p>
        </w:tc>
        <w:tc>
          <w:tcPr>
            <w:tcW w:w="1948"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olor w:val="000000"/>
                <w:szCs w:val="21"/>
              </w:rPr>
              <w:t>171.82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ascii="宋体" w:hAnsi="宋体" w:cs="宋体"/>
                <w:color w:val="000000"/>
                <w:kern w:val="0"/>
                <w:szCs w:val="21"/>
              </w:rPr>
              <w:t>柴油（吨）</w:t>
            </w:r>
          </w:p>
        </w:tc>
        <w:tc>
          <w:tcPr>
            <w:tcW w:w="1858"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14.5</w:t>
            </w:r>
          </w:p>
        </w:tc>
        <w:tc>
          <w:tcPr>
            <w:tcW w:w="1948"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olor w:val="000000"/>
                <w:szCs w:val="21"/>
              </w:rPr>
              <w:t>21.128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ascii="宋体" w:hAnsi="宋体" w:cs="宋体"/>
                <w:color w:val="000000"/>
                <w:kern w:val="0"/>
                <w:szCs w:val="21"/>
              </w:rPr>
              <w:t>总能耗（tce)</w:t>
            </w:r>
          </w:p>
        </w:tc>
        <w:tc>
          <w:tcPr>
            <w:tcW w:w="1858"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rPr>
            </w:pPr>
          </w:p>
        </w:tc>
        <w:tc>
          <w:tcPr>
            <w:tcW w:w="1948"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192.948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ascii="Verdana" w:hAnsi="宋体" w:cs="宋体"/>
                <w:color w:val="000000"/>
                <w:kern w:val="0"/>
                <w:szCs w:val="21"/>
              </w:rPr>
              <w:t>产品产量</w:t>
            </w:r>
            <w:r>
              <w:rPr>
                <w:rFonts w:hint="eastAsia" w:ascii="Verdana" w:hAnsi="宋体" w:cs="宋体"/>
                <w:color w:val="000000"/>
                <w:kern w:val="0"/>
                <w:szCs w:val="21"/>
              </w:rPr>
              <w:t>（</w:t>
            </w:r>
            <w:r>
              <w:rPr>
                <w:rFonts w:hint="eastAsia" w:ascii="Verdana" w:hAnsi="Verdana" w:cs="宋体"/>
                <w:color w:val="000000"/>
                <w:kern w:val="0"/>
                <w:szCs w:val="21"/>
              </w:rPr>
              <w:t>原矿</w:t>
            </w:r>
            <w:r>
              <w:rPr>
                <w:rFonts w:ascii="Verdana" w:hAnsi="Verdana" w:cs="宋体"/>
                <w:color w:val="000000"/>
                <w:kern w:val="0"/>
                <w:szCs w:val="21"/>
              </w:rPr>
              <w:t>t)</w:t>
            </w:r>
          </w:p>
        </w:tc>
        <w:tc>
          <w:tcPr>
            <w:tcW w:w="3806" w:type="dxa"/>
            <w:gridSpan w:val="2"/>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color w:val="000000"/>
                <w:szCs w:val="21"/>
              </w:rPr>
              <w:t>41609.16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ascii="宋体" w:hAnsi="宋体"/>
                <w:color w:val="000000"/>
                <w:szCs w:val="21"/>
              </w:rPr>
            </w:pPr>
            <w:r>
              <w:rPr>
                <w:rFonts w:hint="eastAsia" w:ascii="宋体" w:hAnsi="宋体" w:cs="宋体"/>
                <w:color w:val="000000"/>
                <w:kern w:val="0"/>
                <w:szCs w:val="21"/>
              </w:rPr>
              <w:t>综合能</w:t>
            </w:r>
            <w:r>
              <w:rPr>
                <w:rFonts w:ascii="宋体" w:hAnsi="宋体" w:cs="宋体"/>
                <w:color w:val="000000"/>
                <w:kern w:val="0"/>
                <w:szCs w:val="21"/>
              </w:rPr>
              <w:t>耗(</w:t>
            </w:r>
            <w:r>
              <w:rPr>
                <w:rFonts w:hint="eastAsia" w:ascii="宋体" w:hAnsi="宋体" w:cs="宋体"/>
                <w:color w:val="000000"/>
                <w:kern w:val="0"/>
                <w:szCs w:val="21"/>
              </w:rPr>
              <w:t>kg</w:t>
            </w:r>
            <w:r>
              <w:rPr>
                <w:rFonts w:ascii="宋体" w:hAnsi="宋体" w:cs="宋体"/>
                <w:color w:val="000000"/>
                <w:kern w:val="0"/>
                <w:szCs w:val="21"/>
              </w:rPr>
              <w:t>ce</w:t>
            </w:r>
            <w:r>
              <w:rPr>
                <w:rFonts w:hint="eastAsia" w:ascii="宋体" w:hAnsi="宋体" w:cs="宋体"/>
                <w:color w:val="000000"/>
                <w:kern w:val="0"/>
                <w:szCs w:val="21"/>
              </w:rPr>
              <w:t>/t原矿</w:t>
            </w:r>
            <w:r>
              <w:rPr>
                <w:rFonts w:ascii="宋体" w:hAnsi="宋体" w:cs="宋体"/>
                <w:color w:val="000000"/>
                <w:kern w:val="0"/>
                <w:szCs w:val="21"/>
              </w:rPr>
              <w:t>)</w:t>
            </w:r>
          </w:p>
        </w:tc>
        <w:tc>
          <w:tcPr>
            <w:tcW w:w="3806" w:type="dxa"/>
            <w:gridSpan w:val="2"/>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4.64</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hint="eastAsia" w:ascii="宋体" w:hAnsi="宋体" w:cs="宋体"/>
                <w:color w:val="000000"/>
                <w:kern w:val="0"/>
                <w:szCs w:val="21"/>
                <w:highlight w:val="yellow"/>
              </w:rPr>
            </w:pPr>
            <w:r>
              <w:rPr>
                <w:color w:val="000000"/>
                <w:szCs w:val="21"/>
              </w:rPr>
              <w:t>电耗</w:t>
            </w:r>
            <w:r>
              <w:rPr>
                <w:rFonts w:hint="eastAsia" w:ascii="宋体" w:hAnsi="宋体"/>
                <w:color w:val="000000"/>
                <w:szCs w:val="21"/>
              </w:rPr>
              <w:t>（</w:t>
            </w:r>
            <w:r>
              <w:rPr>
                <w:rFonts w:ascii="宋体" w:hAnsi="宋体"/>
                <w:color w:val="000000"/>
                <w:szCs w:val="21"/>
              </w:rPr>
              <w:t>k·Wh/t原矿</w:t>
            </w:r>
            <w:r>
              <w:rPr>
                <w:rFonts w:hint="eastAsia" w:ascii="宋体" w:hAnsi="宋体"/>
                <w:color w:val="000000"/>
                <w:szCs w:val="21"/>
              </w:rPr>
              <w:t>）</w:t>
            </w:r>
          </w:p>
        </w:tc>
        <w:tc>
          <w:tcPr>
            <w:tcW w:w="3806" w:type="dxa"/>
            <w:gridSpan w:val="2"/>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hint="eastAsia" w:ascii="宋体" w:hAnsi="宋体" w:cs="宋体"/>
                <w:color w:val="000000"/>
                <w:kern w:val="0"/>
                <w:szCs w:val="21"/>
              </w:rPr>
              <w:t>33.6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hint="eastAsia"/>
                <w:color w:val="000000"/>
                <w:szCs w:val="21"/>
              </w:rPr>
            </w:pPr>
            <w:r>
              <w:rPr>
                <w:rFonts w:ascii="Verdana" w:hAnsi="宋体" w:cs="宋体"/>
                <w:color w:val="000000"/>
                <w:kern w:val="0"/>
                <w:szCs w:val="21"/>
              </w:rPr>
              <w:t>选矿生产用水</w:t>
            </w:r>
            <w:r>
              <w:rPr>
                <w:rFonts w:ascii="Verdana" w:hAnsi="Verdana" w:cs="宋体"/>
                <w:color w:val="000000"/>
                <w:kern w:val="0"/>
                <w:szCs w:val="21"/>
              </w:rPr>
              <w:t>(</w:t>
            </w:r>
            <w:r>
              <w:rPr>
                <w:rFonts w:ascii="Verdana" w:hAnsi="Verdana"/>
                <w:color w:val="000000"/>
                <w:szCs w:val="21"/>
              </w:rPr>
              <w:t>m</w:t>
            </w:r>
            <w:r>
              <w:rPr>
                <w:rFonts w:ascii="Verdana" w:hAnsi="Verdana"/>
                <w:color w:val="000000"/>
                <w:szCs w:val="21"/>
                <w:vertAlign w:val="superscript"/>
              </w:rPr>
              <w:t>3</w:t>
            </w:r>
            <w:r>
              <w:rPr>
                <w:rFonts w:ascii="Verdana" w:hAnsi="Verdana"/>
                <w:color w:val="000000"/>
                <w:szCs w:val="21"/>
              </w:rPr>
              <w:t>)</w:t>
            </w:r>
          </w:p>
        </w:tc>
        <w:tc>
          <w:tcPr>
            <w:tcW w:w="3806" w:type="dxa"/>
            <w:gridSpan w:val="2"/>
            <w:shd w:val="clear" w:color="auto" w:fill="FFFFFF"/>
            <w:noWrap w:val="0"/>
            <w:tcMar>
              <w:left w:w="108" w:type="dxa"/>
              <w:right w:w="108" w:type="dxa"/>
            </w:tcMar>
            <w:vAlign w:val="center"/>
          </w:tcPr>
          <w:p>
            <w:pPr>
              <w:widowControl/>
              <w:spacing w:line="320" w:lineRule="exact"/>
              <w:jc w:val="center"/>
              <w:textAlignment w:val="center"/>
              <w:rPr>
                <w:color w:val="000000"/>
                <w:szCs w:val="21"/>
              </w:rPr>
            </w:pPr>
            <w:r>
              <w:rPr>
                <w:rFonts w:hint="eastAsia"/>
                <w:color w:val="000000"/>
                <w:kern w:val="0"/>
                <w:szCs w:val="21"/>
                <w:lang w:bidi="ar"/>
              </w:rPr>
              <w:t>53662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center"/>
          </w:tcPr>
          <w:p>
            <w:pPr>
              <w:widowControl/>
              <w:spacing w:line="320" w:lineRule="exact"/>
              <w:jc w:val="center"/>
              <w:rPr>
                <w:rFonts w:ascii="宋体" w:hAnsi="宋体" w:cs="宋体"/>
                <w:color w:val="000000"/>
                <w:kern w:val="0"/>
                <w:szCs w:val="21"/>
              </w:rPr>
            </w:pPr>
            <w:r>
              <w:rPr>
                <w:rFonts w:ascii="Verdana" w:hAnsi="宋体" w:cs="宋体"/>
                <w:color w:val="000000"/>
                <w:kern w:val="0"/>
                <w:szCs w:val="21"/>
              </w:rPr>
              <w:t>产品产量</w:t>
            </w:r>
            <w:r>
              <w:rPr>
                <w:rFonts w:hint="eastAsia" w:ascii="Verdana" w:hAnsi="宋体" w:cs="宋体"/>
                <w:color w:val="000000"/>
                <w:kern w:val="0"/>
                <w:szCs w:val="21"/>
              </w:rPr>
              <w:t>（</w:t>
            </w:r>
            <w:r>
              <w:rPr>
                <w:rFonts w:hint="eastAsia" w:ascii="Verdana" w:hAnsi="Verdana" w:cs="宋体"/>
                <w:color w:val="000000"/>
                <w:kern w:val="0"/>
                <w:szCs w:val="21"/>
              </w:rPr>
              <w:t>原矿</w:t>
            </w:r>
            <w:r>
              <w:rPr>
                <w:rFonts w:ascii="Verdana" w:hAnsi="Verdana" w:cs="宋体"/>
                <w:color w:val="000000"/>
                <w:kern w:val="0"/>
                <w:szCs w:val="21"/>
              </w:rPr>
              <w:t>t</w:t>
            </w:r>
            <w:r>
              <w:rPr>
                <w:rFonts w:hint="eastAsia" w:ascii="Verdana" w:hAnsi="Verdana" w:cs="宋体"/>
                <w:color w:val="000000"/>
                <w:kern w:val="0"/>
                <w:szCs w:val="21"/>
              </w:rPr>
              <w:t>）</w:t>
            </w:r>
          </w:p>
        </w:tc>
        <w:tc>
          <w:tcPr>
            <w:tcW w:w="3806" w:type="dxa"/>
            <w:gridSpan w:val="2"/>
            <w:shd w:val="clear" w:color="auto" w:fill="FFFFFF"/>
            <w:noWrap w:val="0"/>
            <w:tcMar>
              <w:left w:w="108" w:type="dxa"/>
              <w:right w:w="108" w:type="dxa"/>
            </w:tcMar>
            <w:vAlign w:val="center"/>
          </w:tcPr>
          <w:p>
            <w:pPr>
              <w:widowControl/>
              <w:spacing w:line="320" w:lineRule="exact"/>
              <w:jc w:val="center"/>
              <w:rPr>
                <w:color w:val="000000"/>
                <w:szCs w:val="21"/>
              </w:rPr>
            </w:pPr>
            <w:r>
              <w:rPr>
                <w:rFonts w:hint="eastAsia"/>
                <w:color w:val="000000"/>
                <w:szCs w:val="21"/>
              </w:rPr>
              <w:t>41609.16</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wBefore w:w="0" w:type="dxa"/>
          <w:wAfter w:w="0" w:type="dxa"/>
          <w:trHeight w:val="92" w:hRule="atLeast"/>
        </w:trPr>
        <w:tc>
          <w:tcPr>
            <w:tcW w:w="4854" w:type="dxa"/>
            <w:shd w:val="clear" w:color="auto" w:fill="FFFFFF"/>
            <w:noWrap w:val="0"/>
            <w:tcMar>
              <w:left w:w="108" w:type="dxa"/>
              <w:right w:w="108" w:type="dxa"/>
            </w:tcMar>
            <w:vAlign w:val="top"/>
          </w:tcPr>
          <w:p>
            <w:pPr>
              <w:spacing w:line="320" w:lineRule="exact"/>
              <w:jc w:val="center"/>
              <w:rPr>
                <w:rFonts w:hint="eastAsia"/>
                <w:color w:val="000000"/>
                <w:szCs w:val="21"/>
              </w:rPr>
            </w:pPr>
            <w:r>
              <w:rPr>
                <w:rFonts w:hint="eastAsia" w:ascii="宋体" w:hAnsi="宋体" w:cs="宋体"/>
                <w:color w:val="000000"/>
                <w:szCs w:val="21"/>
              </w:rPr>
              <w:t>※</w:t>
            </w:r>
            <w:r>
              <w:rPr>
                <w:color w:val="000000"/>
                <w:szCs w:val="21"/>
              </w:rPr>
              <w:t>新水用量</w:t>
            </w:r>
          </w:p>
        </w:tc>
        <w:tc>
          <w:tcPr>
            <w:tcW w:w="3806" w:type="dxa"/>
            <w:gridSpan w:val="2"/>
            <w:shd w:val="clear" w:color="auto" w:fill="FFFFFF"/>
            <w:noWrap w:val="0"/>
            <w:tcMar>
              <w:left w:w="108" w:type="dxa"/>
              <w:right w:w="108" w:type="dxa"/>
            </w:tcMar>
            <w:vAlign w:val="top"/>
          </w:tcPr>
          <w:p>
            <w:pPr>
              <w:spacing w:line="320" w:lineRule="exact"/>
              <w:jc w:val="center"/>
              <w:rPr>
                <w:color w:val="000000"/>
                <w:szCs w:val="21"/>
              </w:rPr>
            </w:pPr>
            <w:r>
              <w:rPr>
                <w:rFonts w:hint="eastAsia"/>
                <w:color w:val="000000"/>
                <w:szCs w:val="21"/>
              </w:rPr>
              <w:t>1.29</w:t>
            </w:r>
          </w:p>
        </w:tc>
      </w:tr>
    </w:tbl>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6.4.3.4</w:t>
      </w:r>
      <w:r>
        <w:rPr>
          <w:rFonts w:ascii="宋体" w:hAnsi="宋体" w:cs="宋体"/>
          <w:color w:val="000000"/>
          <w:sz w:val="24"/>
        </w:rPr>
        <w:t>资源利用指标</w:t>
      </w:r>
      <w:r>
        <w:rPr>
          <w:rFonts w:hint="eastAsia" w:ascii="宋体" w:hAnsi="宋体" w:cs="宋体"/>
          <w:color w:val="000000"/>
          <w:sz w:val="24"/>
        </w:rPr>
        <w:t>：</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（1）</w:t>
      </w:r>
      <w:r>
        <w:rPr>
          <w:rFonts w:ascii="宋体" w:hAnsi="宋体" w:cs="宋体"/>
          <w:color w:val="000000"/>
          <w:sz w:val="24"/>
        </w:rPr>
        <w:t>铅选矿金属实际回收率</w:t>
      </w:r>
    </w:p>
    <w:p>
      <w:pPr>
        <w:spacing w:line="360" w:lineRule="auto"/>
        <w:ind w:firstLine="480" w:firstLineChars="200"/>
        <w:rPr>
          <w:rFonts w:ascii="宋体" w:hAnsi="宋体" w:cs="宋体"/>
          <w:color w:val="000000"/>
          <w:sz w:val="24"/>
        </w:rPr>
      </w:pPr>
      <w:r>
        <w:rPr>
          <w:rFonts w:hint="eastAsia" w:ascii="宋体" w:hAnsi="宋体" w:cs="宋体"/>
          <w:color w:val="000000"/>
          <w:sz w:val="24"/>
        </w:rPr>
        <w:t>2019年1-9月产品原矿产量41609.16吨,含铅2.11%,铅金属877.95吨，铅精矿1141.02吨,品位69.34%,含铅量为791.184吨.铅金属回收率为90.12%</w:t>
      </w:r>
    </w:p>
    <w:p>
      <w:pPr>
        <w:spacing w:line="360" w:lineRule="auto"/>
        <w:ind w:firstLine="480" w:firstLineChars="200"/>
        <w:outlineLvl w:val="0"/>
        <w:rPr>
          <w:rFonts w:ascii="宋体" w:hAnsi="宋体" w:cs="宋体"/>
          <w:color w:val="000000"/>
          <w:sz w:val="24"/>
        </w:rPr>
      </w:pPr>
      <w:r>
        <w:rPr>
          <w:rFonts w:hint="eastAsia" w:ascii="宋体" w:hAnsi="宋体" w:cs="宋体"/>
          <w:color w:val="000000"/>
          <w:sz w:val="24"/>
        </w:rPr>
        <w:t>（2）</w:t>
      </w:r>
      <w:r>
        <w:rPr>
          <w:rFonts w:ascii="宋体" w:hAnsi="宋体" w:cs="宋体"/>
          <w:color w:val="000000"/>
          <w:sz w:val="24"/>
        </w:rPr>
        <w:t>锌选矿金属实际回收率</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2019年1-9月产品原矿产量41609.16吨,含锌7.04%,锌金属2929.28吨，锌精矿4696.98吨,品位56.7%,含锌量为2663.185.锌金属回收率为90.62%</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w:t>
      </w:r>
      <w:r>
        <w:rPr>
          <w:rFonts w:ascii="宋体" w:hAnsi="宋体" w:cs="宋体"/>
          <w:color w:val="000000"/>
          <w:sz w:val="24"/>
        </w:rPr>
        <w:t>工业用水重复利用率</w:t>
      </w:r>
      <w:r>
        <w:rPr>
          <w:rFonts w:hint="eastAsia" w:ascii="宋体" w:hAnsi="宋体" w:cs="宋体"/>
          <w:color w:val="000000"/>
          <w:sz w:val="24"/>
        </w:rPr>
        <w:t>：</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水重复利用率=总重复利用水量÷鲜水用量﹢总重复利用水量=319333÷(53662＋319333)= 85.6%</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w:t>
      </w:r>
      <w:r>
        <w:rPr>
          <w:rFonts w:ascii="宋体" w:hAnsi="宋体" w:cs="宋体"/>
          <w:color w:val="000000"/>
          <w:sz w:val="24"/>
        </w:rPr>
        <w:t>尾矿综合利用率（地下矿山）</w:t>
      </w:r>
      <w:r>
        <w:rPr>
          <w:rFonts w:hint="eastAsia" w:ascii="宋体" w:hAnsi="宋体" w:cs="宋体"/>
          <w:color w:val="000000"/>
          <w:sz w:val="24"/>
        </w:rPr>
        <w:t>：地下矿山尾矿综合利用率为60%，主要用于回填采空区。</w:t>
      </w:r>
    </w:p>
    <w:p>
      <w:pPr>
        <w:spacing w:line="360" w:lineRule="auto"/>
        <w:ind w:firstLine="480" w:firstLineChars="200"/>
        <w:rPr>
          <w:rFonts w:hint="eastAsia" w:ascii="宋体" w:hAnsi="宋体" w:cs="宋体"/>
          <w:color w:val="000000"/>
          <w:sz w:val="24"/>
        </w:rPr>
      </w:pPr>
      <w:r>
        <w:rPr>
          <w:rFonts w:ascii="宋体" w:hAnsi="宋体" w:cs="宋体"/>
          <w:color w:val="000000"/>
          <w:sz w:val="24"/>
        </w:rPr>
        <w:t>污染物产生指标</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（1）※</w:t>
      </w:r>
      <w:r>
        <w:rPr>
          <w:rFonts w:ascii="宋体" w:hAnsi="宋体" w:cs="宋体"/>
          <w:color w:val="000000"/>
          <w:sz w:val="24"/>
        </w:rPr>
        <w:t>废水产生量</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全年总废水量为=52684(总废水量)÷41609.16(原矿)=1.27</w:t>
      </w:r>
      <w:r>
        <w:rPr>
          <w:rFonts w:ascii="宋体" w:hAnsi="宋体" w:cs="宋体"/>
          <w:color w:val="000000"/>
          <w:sz w:val="24"/>
        </w:rPr>
        <w:t xml:space="preserve"> m</w:t>
      </w:r>
      <w:r>
        <w:rPr>
          <w:rFonts w:ascii="宋体" w:hAnsi="宋体" w:cs="宋体"/>
          <w:color w:val="000000"/>
          <w:sz w:val="24"/>
          <w:vertAlign w:val="superscript"/>
        </w:rPr>
        <w:t>3</w:t>
      </w:r>
      <w:r>
        <w:rPr>
          <w:rFonts w:ascii="宋体" w:hAnsi="宋体" w:cs="宋体"/>
          <w:color w:val="000000"/>
          <w:sz w:val="24"/>
        </w:rPr>
        <w:t>/t</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（2）</w:t>
      </w:r>
      <w:r>
        <w:rPr>
          <w:rFonts w:ascii="宋体" w:hAnsi="宋体" w:cs="宋体"/>
          <w:color w:val="000000"/>
          <w:sz w:val="24"/>
        </w:rPr>
        <w:t>废水中Pb的最高允许浓度</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（3）</w:t>
      </w:r>
      <w:r>
        <w:rPr>
          <w:rFonts w:ascii="宋体" w:hAnsi="宋体" w:cs="宋体"/>
          <w:color w:val="000000"/>
          <w:sz w:val="24"/>
        </w:rPr>
        <w:t>废水中 Zn 的最高允许 浓度</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（4）</w:t>
      </w:r>
      <w:r>
        <w:rPr>
          <w:rFonts w:ascii="宋体" w:hAnsi="宋体" w:cs="宋体"/>
          <w:color w:val="000000"/>
          <w:sz w:val="24"/>
        </w:rPr>
        <w:t>废水中 Cu 的最高允许浓度</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（5）</w:t>
      </w:r>
      <w:r>
        <w:rPr>
          <w:rFonts w:ascii="宋体" w:hAnsi="宋体" w:cs="宋体"/>
          <w:color w:val="000000"/>
          <w:sz w:val="24"/>
        </w:rPr>
        <w:t>废水中 As 的最高允许浓度</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（6）</w:t>
      </w:r>
      <w:r>
        <w:rPr>
          <w:rFonts w:ascii="宋体" w:hAnsi="宋体" w:cs="宋体"/>
          <w:color w:val="000000"/>
          <w:sz w:val="24"/>
        </w:rPr>
        <w:t>废水中 Cd 的最高允许 浓度</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（7）</w:t>
      </w:r>
      <w:r>
        <w:rPr>
          <w:rFonts w:ascii="宋体" w:hAnsi="宋体" w:cs="宋体"/>
          <w:color w:val="000000"/>
          <w:sz w:val="24"/>
        </w:rPr>
        <w:t xml:space="preserve">化学需氧量 (COD) </w:t>
      </w:r>
    </w:p>
    <w:p>
      <w:pPr>
        <w:spacing w:line="360" w:lineRule="auto"/>
        <w:ind w:firstLine="480" w:firstLineChars="200"/>
        <w:rPr>
          <w:rFonts w:hint="eastAsia" w:ascii="宋体" w:hAnsi="宋体" w:cs="宋体"/>
          <w:color w:val="000000"/>
          <w:sz w:val="24"/>
        </w:rPr>
      </w:pPr>
      <w:r>
        <w:rPr>
          <w:rFonts w:hint="eastAsia" w:ascii="宋体" w:hAnsi="宋体" w:cs="宋体"/>
          <w:color w:val="000000"/>
          <w:sz w:val="24"/>
        </w:rPr>
        <w:t>（8）</w:t>
      </w:r>
      <w:r>
        <w:rPr>
          <w:rFonts w:ascii="宋体" w:hAnsi="宋体" w:cs="宋体"/>
          <w:color w:val="000000"/>
          <w:sz w:val="24"/>
        </w:rPr>
        <w:t>作业环境空气中粉尘最高允许浓度</w:t>
      </w:r>
    </w:p>
    <w:p>
      <w:pPr>
        <w:pStyle w:val="4"/>
        <w:spacing w:before="240" w:beforeLines="100" w:after="120" w:afterLines="50" w:line="360" w:lineRule="auto"/>
        <w:rPr>
          <w:rFonts w:hint="eastAsia" w:ascii="宋体" w:hAnsi="宋体" w:eastAsia="宋体"/>
          <w:color w:val="000000"/>
        </w:rPr>
      </w:pPr>
      <w:bookmarkStart w:id="591" w:name="_Toc23000939"/>
      <w:r>
        <w:rPr>
          <w:rFonts w:hint="eastAsia" w:ascii="宋体" w:hAnsi="宋体" w:eastAsia="宋体"/>
          <w:color w:val="000000"/>
        </w:rPr>
        <w:t>6.5  成果宣传</w:t>
      </w:r>
      <w:bookmarkEnd w:id="591"/>
    </w:p>
    <w:p>
      <w:pPr>
        <w:spacing w:line="360" w:lineRule="auto"/>
        <w:ind w:firstLine="482"/>
        <w:rPr>
          <w:rFonts w:hint="eastAsia" w:ascii="宋体" w:hAnsi="宋体"/>
          <w:color w:val="000000"/>
          <w:sz w:val="24"/>
        </w:rPr>
      </w:pPr>
      <w:r>
        <w:rPr>
          <w:rFonts w:hint="eastAsia" w:ascii="宋体" w:hAnsi="宋体"/>
          <w:color w:val="000000"/>
          <w:sz w:val="24"/>
        </w:rPr>
        <w:t>公司通过实施清洁生产，取得了较好的经济效益和环境效益。同时对提高公司产品质量、较好的占领市场，取得客户的信任，在行业中的市场竟争中打下良好的基础。</w:t>
      </w:r>
    </w:p>
    <w:p>
      <w:pPr>
        <w:spacing w:line="360" w:lineRule="auto"/>
        <w:ind w:firstLine="480"/>
        <w:rPr>
          <w:rFonts w:hint="eastAsia" w:ascii="宋体" w:hAnsi="宋体"/>
          <w:color w:val="000000"/>
          <w:sz w:val="24"/>
        </w:rPr>
      </w:pPr>
      <w:r>
        <w:rPr>
          <w:rFonts w:hint="eastAsia" w:ascii="宋体" w:hAnsi="宋体"/>
          <w:color w:val="000000"/>
          <w:sz w:val="24"/>
        </w:rPr>
        <w:t>通过清洁生产审核，公司建立健全了各种规章制度和奖励机制，较大地提高了员工的开拓能力和工作积极性。通过各种培训，教育员工节约各种原材料，节约资源能源，做好废弃物的回收利用，增强员工的节约减排意识。</w:t>
      </w:r>
    </w:p>
    <w:p>
      <w:pPr>
        <w:spacing w:line="360" w:lineRule="auto"/>
        <w:ind w:firstLine="480"/>
        <w:rPr>
          <w:rFonts w:hint="eastAsia" w:ascii="宋体" w:hAnsi="宋体"/>
          <w:color w:val="000000"/>
          <w:sz w:val="24"/>
        </w:rPr>
      </w:pPr>
      <w:r>
        <w:rPr>
          <w:rFonts w:hint="eastAsia" w:ascii="宋体" w:hAnsi="宋体"/>
          <w:color w:val="000000"/>
          <w:sz w:val="24"/>
        </w:rPr>
        <w:t>总的来说，公司实施清洁生产取得的效益是多方面的，但和同行业的水平对比，公司不论在能源的利用还是在减污排污的各项指标等方面，公司将继续努力，不断推进清洁生产工作，改善良好的公共环境。</w: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pStyle w:val="3"/>
        <w:spacing w:before="0" w:after="0"/>
        <w:jc w:val="center"/>
        <w:rPr>
          <w:rFonts w:hint="eastAsia" w:ascii="宋体" w:hAnsi="宋体"/>
          <w:color w:val="000000"/>
        </w:rPr>
      </w:pPr>
      <w:bookmarkStart w:id="592" w:name="_Toc280366493"/>
      <w:bookmarkStart w:id="593" w:name="_Toc280366611"/>
      <w:bookmarkStart w:id="594" w:name="_Toc282271814"/>
      <w:bookmarkStart w:id="595" w:name="_Toc287917991"/>
      <w:bookmarkStart w:id="596" w:name="_Toc296604675"/>
      <w:bookmarkStart w:id="597" w:name="_Toc367782266"/>
      <w:bookmarkStart w:id="598" w:name="_Toc422252550"/>
      <w:bookmarkStart w:id="599" w:name="_Toc23000940"/>
      <w:r>
        <w:rPr>
          <w:rFonts w:hint="eastAsia" w:ascii="宋体" w:hAnsi="宋体"/>
          <w:color w:val="000000"/>
        </w:rPr>
        <w:t>第7章    持续清洁生产</w:t>
      </w:r>
      <w:bookmarkEnd w:id="592"/>
      <w:bookmarkEnd w:id="593"/>
      <w:bookmarkEnd w:id="594"/>
      <w:bookmarkEnd w:id="595"/>
      <w:bookmarkEnd w:id="596"/>
      <w:bookmarkEnd w:id="597"/>
      <w:bookmarkEnd w:id="598"/>
      <w:bookmarkEnd w:id="599"/>
    </w:p>
    <w:p>
      <w:pPr>
        <w:widowControl/>
        <w:tabs>
          <w:tab w:val="left" w:pos="0"/>
        </w:tabs>
        <w:spacing w:line="360" w:lineRule="auto"/>
        <w:ind w:left="17" w:firstLine="463" w:firstLineChars="193"/>
        <w:jc w:val="left"/>
        <w:rPr>
          <w:rFonts w:hint="eastAsia" w:ascii="宋体" w:hAnsi="宋体"/>
          <w:color w:val="000000"/>
          <w:sz w:val="24"/>
        </w:rPr>
      </w:pPr>
      <w:r>
        <w:rPr>
          <w:rFonts w:hint="eastAsia" w:ascii="宋体" w:hAnsi="宋体"/>
          <w:color w:val="000000"/>
          <w:sz w:val="24"/>
        </w:rPr>
        <w:t>持续清洁生产是企业清洁生产审核的最后一个阶段。目的是使清洁生产工作在企业内长期、持续的推行下去。本阶段工作重点是建立推行和管理清洁生产工作的组织机构、建立促进实施清洁生产的管理制度、制定持续清洁生产计划以及编写清洁生产审核报告。</w:t>
      </w:r>
    </w:p>
    <w:p>
      <w:pPr>
        <w:pStyle w:val="4"/>
        <w:spacing w:before="240" w:beforeLines="100" w:after="120" w:afterLines="50" w:line="360" w:lineRule="auto"/>
        <w:rPr>
          <w:rFonts w:hint="eastAsia" w:ascii="宋体" w:hAnsi="宋体" w:eastAsia="宋体"/>
          <w:color w:val="000000"/>
        </w:rPr>
      </w:pPr>
      <w:bookmarkStart w:id="600" w:name="_Toc19610"/>
      <w:bookmarkStart w:id="601" w:name="_Toc280366494"/>
      <w:bookmarkStart w:id="602" w:name="_Toc280366612"/>
      <w:bookmarkStart w:id="603" w:name="_Toc282271815"/>
      <w:bookmarkStart w:id="604" w:name="_Toc287917992"/>
      <w:bookmarkStart w:id="605" w:name="_Toc296604676"/>
      <w:bookmarkStart w:id="606" w:name="_Toc367782267"/>
      <w:bookmarkStart w:id="607" w:name="_Toc422252551"/>
      <w:bookmarkStart w:id="608" w:name="_Toc23000941"/>
      <w:r>
        <w:rPr>
          <w:rFonts w:hint="eastAsia" w:ascii="宋体" w:hAnsi="宋体" w:eastAsia="宋体"/>
          <w:color w:val="000000"/>
        </w:rPr>
        <w:t>7.1 建立和完善清洁生产组织机构</w:t>
      </w:r>
      <w:bookmarkEnd w:id="600"/>
      <w:bookmarkEnd w:id="601"/>
      <w:bookmarkEnd w:id="602"/>
      <w:bookmarkEnd w:id="603"/>
      <w:bookmarkEnd w:id="604"/>
      <w:bookmarkEnd w:id="605"/>
      <w:bookmarkEnd w:id="606"/>
      <w:bookmarkEnd w:id="607"/>
      <w:bookmarkEnd w:id="608"/>
    </w:p>
    <w:p>
      <w:pPr>
        <w:pStyle w:val="5"/>
        <w:spacing w:before="240" w:after="120" w:line="360" w:lineRule="auto"/>
        <w:jc w:val="left"/>
        <w:rPr>
          <w:rFonts w:hint="eastAsia" w:ascii="宋体" w:hAnsi="宋体"/>
          <w:color w:val="000000"/>
          <w:sz w:val="28"/>
          <w:szCs w:val="28"/>
        </w:rPr>
      </w:pPr>
      <w:bookmarkStart w:id="609" w:name="_Toc23000942"/>
      <w:bookmarkStart w:id="610" w:name="_Toc433986958"/>
      <w:r>
        <w:rPr>
          <w:rFonts w:hint="eastAsia" w:ascii="宋体" w:hAnsi="宋体"/>
          <w:color w:val="000000"/>
          <w:sz w:val="28"/>
          <w:szCs w:val="28"/>
        </w:rPr>
        <w:t>7.1.1 成立清洁生产审核常设机构</w:t>
      </w:r>
      <w:bookmarkEnd w:id="609"/>
      <w:bookmarkEnd w:id="610"/>
    </w:p>
    <w:p>
      <w:pPr>
        <w:pStyle w:val="17"/>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通过本轮的清洁生产审核工作,公司员工从本岗位细节入手，积极挖掘清洁生产的改进点，做到节能降耗、预防污染，进一步提高节能减排意识，也使企业获得明显的经济效益和明显的环境效果。为将清洁生产审核工作纳入公司日常生产管理，持续进行下去，经公司领导研究决定组成清洁生产办公室，办公室成员如下：</w:t>
      </w:r>
    </w:p>
    <w:p>
      <w:pPr>
        <w:spacing w:line="360" w:lineRule="auto"/>
        <w:ind w:firstLine="460" w:firstLineChars="200"/>
        <w:rPr>
          <w:rFonts w:hint="eastAsia" w:ascii="宋体" w:hAnsi="宋体"/>
          <w:color w:val="000000"/>
          <w:spacing w:val="-5"/>
          <w:sz w:val="24"/>
          <w:szCs w:val="24"/>
        </w:rPr>
      </w:pPr>
      <w:r>
        <w:rPr>
          <w:rFonts w:hint="eastAsia" w:ascii="宋体" w:hAnsi="宋体"/>
          <w:color w:val="000000"/>
          <w:spacing w:val="-5"/>
          <w:sz w:val="24"/>
          <w:szCs w:val="24"/>
        </w:rPr>
        <w:t>主  任：洪巩堤（公司总经理）</w:t>
      </w:r>
    </w:p>
    <w:p>
      <w:pPr>
        <w:spacing w:line="360" w:lineRule="auto"/>
        <w:ind w:firstLine="480" w:firstLineChars="200"/>
        <w:rPr>
          <w:rFonts w:hint="eastAsia" w:ascii="宋体" w:hAnsi="宋体"/>
          <w:color w:val="000000"/>
          <w:spacing w:val="-5"/>
          <w:sz w:val="24"/>
          <w:szCs w:val="24"/>
        </w:rPr>
      </w:pPr>
      <w:r>
        <w:rPr>
          <w:rFonts w:hint="eastAsia" w:ascii="宋体" w:hAnsi="宋体"/>
          <w:color w:val="000000"/>
          <w:sz w:val="24"/>
          <w:szCs w:val="24"/>
          <w:lang w:val="zh-CN"/>
        </w:rPr>
        <w:t>副主任：</w:t>
      </w:r>
      <w:r>
        <w:rPr>
          <w:rFonts w:hint="eastAsia" w:ascii="宋体" w:hAnsi="宋体"/>
          <w:color w:val="000000"/>
          <w:spacing w:val="-5"/>
          <w:sz w:val="24"/>
          <w:szCs w:val="24"/>
        </w:rPr>
        <w:t>李志敏（矿长）</w:t>
      </w:r>
    </w:p>
    <w:p>
      <w:pPr>
        <w:spacing w:line="360" w:lineRule="auto"/>
        <w:ind w:firstLine="460" w:firstLineChars="200"/>
        <w:rPr>
          <w:rFonts w:hint="eastAsia" w:ascii="宋体" w:hAnsi="宋体"/>
          <w:color w:val="000000"/>
          <w:spacing w:val="-5"/>
          <w:sz w:val="24"/>
          <w:szCs w:val="24"/>
        </w:rPr>
      </w:pPr>
      <w:r>
        <w:rPr>
          <w:rFonts w:hint="eastAsia" w:ascii="宋体" w:hAnsi="宋体"/>
          <w:color w:val="000000"/>
          <w:spacing w:val="-5"/>
          <w:sz w:val="24"/>
          <w:szCs w:val="24"/>
        </w:rPr>
        <w:t>成员：</w:t>
      </w:r>
      <w:r>
        <w:rPr>
          <w:rFonts w:hint="eastAsia" w:ascii="宋体" w:hAnsi="宋体" w:cs="仿宋_GB2312"/>
          <w:color w:val="000000"/>
          <w:kern w:val="0"/>
          <w:sz w:val="24"/>
          <w:szCs w:val="24"/>
          <w:lang w:val="zh-CN"/>
        </w:rPr>
        <w:t xml:space="preserve">桂镜德  李高  黄彦程  </w:t>
      </w:r>
      <w:r>
        <w:rPr>
          <w:rFonts w:hint="eastAsia" w:ascii="宋体" w:hAnsi="宋体" w:cs="仿宋_GB2312"/>
          <w:color w:val="000000"/>
          <w:sz w:val="24"/>
          <w:szCs w:val="24"/>
        </w:rPr>
        <w:t xml:space="preserve">吕生稳  </w:t>
      </w:r>
      <w:r>
        <w:rPr>
          <w:rFonts w:hint="eastAsia" w:ascii="宋体" w:hAnsi="宋体" w:cs="仿宋_GB2312"/>
          <w:color w:val="000000"/>
          <w:kern w:val="0"/>
          <w:sz w:val="24"/>
          <w:szCs w:val="24"/>
          <w:lang w:val="zh-CN"/>
        </w:rPr>
        <w:t>王学宽  桂腾生</w:t>
      </w:r>
    </w:p>
    <w:p>
      <w:pPr>
        <w:autoSpaceDE w:val="0"/>
        <w:autoSpaceDN w:val="0"/>
        <w:adjustRightInd w:val="0"/>
        <w:spacing w:line="400" w:lineRule="exact"/>
        <w:jc w:val="center"/>
        <w:rPr>
          <w:rFonts w:hint="eastAsia" w:ascii="宋体" w:hAnsi="宋体" w:cs="宋体"/>
          <w:b/>
          <w:color w:val="000000"/>
          <w:sz w:val="24"/>
        </w:rPr>
      </w:pPr>
      <w:bookmarkStart w:id="611" w:name="_Toc287653896"/>
      <w:bookmarkStart w:id="612" w:name="_Toc287917994"/>
      <w:bookmarkStart w:id="613" w:name="_Toc296604678"/>
      <w:bookmarkStart w:id="614" w:name="_Toc427653814"/>
      <w:bookmarkStart w:id="615" w:name="_Toc433986959"/>
      <w:r>
        <w:rPr>
          <w:rFonts w:hint="eastAsia" w:ascii="宋体" w:hAnsi="宋体" w:cs="宋体"/>
          <w:b/>
          <w:color w:val="000000"/>
          <w:sz w:val="24"/>
        </w:rPr>
        <w:t>表7－1  持续清洁生产办公室成员职能分工表</w:t>
      </w:r>
    </w:p>
    <w:tbl>
      <w:tblPr>
        <w:tblStyle w:val="35"/>
        <w:tblW w:w="0" w:type="auto"/>
        <w:tblInd w:w="1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3"/>
        <w:gridCol w:w="1311"/>
        <w:gridCol w:w="1886"/>
        <w:gridCol w:w="4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5"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姓名</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小组职务</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公司职务</w:t>
            </w:r>
          </w:p>
        </w:tc>
        <w:tc>
          <w:tcPr>
            <w:tcW w:w="45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职</w:t>
            </w:r>
            <w:r>
              <w:rPr>
                <w:rFonts w:ascii="宋体" w:hAnsi="宋体"/>
                <w:color w:val="000000"/>
                <w:kern w:val="0"/>
                <w:szCs w:val="21"/>
              </w:rPr>
              <w:t xml:space="preserve"> </w:t>
            </w:r>
            <w:r>
              <w:rPr>
                <w:rFonts w:hint="eastAsia" w:ascii="宋体" w:hAnsi="宋体"/>
                <w:color w:val="000000"/>
                <w:kern w:val="0"/>
                <w:szCs w:val="21"/>
              </w:rPr>
              <w:t>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65"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spacing w:val="-5"/>
                <w:sz w:val="24"/>
              </w:rPr>
              <w:t>洪巩堤</w:t>
            </w:r>
          </w:p>
        </w:tc>
        <w:tc>
          <w:tcPr>
            <w:tcW w:w="1311"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ascii="宋体" w:hAnsi="宋体"/>
                <w:color w:val="000000"/>
                <w:kern w:val="0"/>
                <w:szCs w:val="21"/>
              </w:rPr>
            </w:pPr>
            <w:r>
              <w:rPr>
                <w:rFonts w:hint="eastAsia" w:ascii="宋体" w:hAnsi="宋体"/>
                <w:color w:val="000000"/>
                <w:kern w:val="0"/>
                <w:szCs w:val="21"/>
              </w:rPr>
              <w:t>主任</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jc w:val="center"/>
              <w:rPr>
                <w:rFonts w:hint="eastAsia" w:ascii="宋体" w:hAnsi="宋体"/>
                <w:color w:val="000000"/>
                <w:kern w:val="0"/>
                <w:szCs w:val="21"/>
              </w:rPr>
            </w:pPr>
            <w:r>
              <w:rPr>
                <w:rFonts w:hint="eastAsia" w:ascii="宋体" w:hAnsi="宋体"/>
                <w:color w:val="000000"/>
                <w:spacing w:val="-5"/>
                <w:sz w:val="24"/>
              </w:rPr>
              <w:t>公司总经理</w:t>
            </w:r>
          </w:p>
        </w:tc>
        <w:tc>
          <w:tcPr>
            <w:tcW w:w="4500" w:type="dxa"/>
            <w:tcBorders>
              <w:top w:val="single" w:color="auto" w:sz="4" w:space="0"/>
              <w:left w:val="single" w:color="auto" w:sz="4" w:space="0"/>
              <w:bottom w:val="single" w:color="auto" w:sz="4" w:space="0"/>
              <w:right w:val="single" w:color="auto" w:sz="4" w:space="0"/>
            </w:tcBorders>
            <w:noWrap w:val="0"/>
            <w:vAlign w:val="center"/>
          </w:tcPr>
          <w:p>
            <w:pPr>
              <w:widowControl/>
              <w:spacing w:line="400" w:lineRule="exact"/>
              <w:rPr>
                <w:rFonts w:ascii="宋体" w:hAnsi="宋体"/>
                <w:color w:val="000000"/>
                <w:kern w:val="0"/>
                <w:szCs w:val="21"/>
              </w:rPr>
            </w:pPr>
            <w:r>
              <w:rPr>
                <w:rFonts w:hint="eastAsia" w:ascii="宋体" w:hAnsi="宋体"/>
                <w:color w:val="000000"/>
                <w:kern w:val="0"/>
                <w:szCs w:val="21"/>
              </w:rPr>
              <w:t>负责持续清洁生产全面工作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93"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szCs w:val="21"/>
                <w:lang w:val="en-GB"/>
              </w:rPr>
              <w:t>李志敏</w:t>
            </w:r>
          </w:p>
        </w:tc>
        <w:tc>
          <w:tcPr>
            <w:tcW w:w="1311"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jc w:val="center"/>
              <w:rPr>
                <w:rFonts w:ascii="宋体" w:hAnsi="宋体" w:cs="宋体"/>
                <w:color w:val="000000"/>
                <w:szCs w:val="21"/>
                <w:lang w:val="zh-CN"/>
              </w:rPr>
            </w:pPr>
            <w:r>
              <w:rPr>
                <w:rFonts w:hint="eastAsia" w:ascii="宋体" w:hAnsi="宋体"/>
                <w:color w:val="000000"/>
                <w:kern w:val="0"/>
                <w:szCs w:val="21"/>
              </w:rPr>
              <w:t>副主任</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矿长</w:t>
            </w:r>
          </w:p>
        </w:tc>
        <w:tc>
          <w:tcPr>
            <w:tcW w:w="45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rPr>
                <w:rFonts w:ascii="宋体" w:hAnsi="宋体" w:cs="宋体"/>
                <w:color w:val="000000"/>
                <w:szCs w:val="21"/>
                <w:lang w:val="zh-CN"/>
              </w:rPr>
            </w:pPr>
            <w:r>
              <w:rPr>
                <w:rFonts w:hint="eastAsia" w:ascii="宋体" w:hAnsi="宋体" w:cs="宋体"/>
                <w:color w:val="000000"/>
                <w:szCs w:val="21"/>
                <w:lang w:val="zh-CN"/>
              </w:rPr>
              <w:t>协助组长工作，负责本矿清洁生产日常工作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3"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桂镜德</w:t>
            </w:r>
          </w:p>
        </w:tc>
        <w:tc>
          <w:tcPr>
            <w:tcW w:w="1311"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宋体" w:hAnsi="宋体" w:cs="宋体"/>
                <w:color w:val="000000"/>
                <w:szCs w:val="21"/>
                <w:lang w:val="zh-CN"/>
              </w:rPr>
            </w:pPr>
            <w:r>
              <w:rPr>
                <w:rFonts w:hint="eastAsia" w:ascii="宋体" w:hAnsi="宋体"/>
                <w:color w:val="000000"/>
                <w:kern w:val="0"/>
                <w:szCs w:val="21"/>
              </w:rPr>
              <w:t>成员</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副矿长</w:t>
            </w:r>
          </w:p>
        </w:tc>
        <w:tc>
          <w:tcPr>
            <w:tcW w:w="45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rPr>
                <w:rFonts w:hint="eastAsia" w:ascii="宋体" w:hAnsi="宋体" w:cs="宋体"/>
                <w:color w:val="000000"/>
                <w:szCs w:val="21"/>
                <w:lang w:val="zh-CN"/>
              </w:rPr>
            </w:pPr>
            <w:r>
              <w:rPr>
                <w:rFonts w:hint="eastAsia" w:ascii="宋体" w:hAnsi="宋体" w:cs="宋体"/>
                <w:color w:val="000000"/>
                <w:szCs w:val="21"/>
                <w:lang w:val="zh-CN"/>
              </w:rPr>
              <w:t>负责本矿清洁生产日常管理工作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3"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李高</w:t>
            </w:r>
          </w:p>
        </w:tc>
        <w:tc>
          <w:tcPr>
            <w:tcW w:w="1311" w:type="dxa"/>
            <w:tcBorders>
              <w:top w:val="single" w:color="auto" w:sz="4" w:space="0"/>
              <w:left w:val="single" w:color="auto" w:sz="4" w:space="0"/>
              <w:bottom w:val="single" w:color="auto" w:sz="4" w:space="0"/>
              <w:right w:val="single" w:color="auto" w:sz="4" w:space="0"/>
            </w:tcBorders>
            <w:noWrap w:val="0"/>
            <w:vAlign w:val="top"/>
          </w:tcPr>
          <w:p>
            <w:pPr>
              <w:widowControl/>
              <w:spacing w:line="400" w:lineRule="exact"/>
              <w:jc w:val="center"/>
              <w:rPr>
                <w:rFonts w:ascii="宋体" w:hAnsi="宋体"/>
                <w:color w:val="000000"/>
                <w:kern w:val="0"/>
                <w:szCs w:val="21"/>
              </w:rPr>
            </w:pPr>
            <w:r>
              <w:rPr>
                <w:rFonts w:hint="eastAsia" w:ascii="宋体" w:hAnsi="宋体"/>
                <w:color w:val="000000"/>
                <w:kern w:val="0"/>
                <w:szCs w:val="21"/>
              </w:rPr>
              <w:t>成员</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szCs w:val="21"/>
              </w:rPr>
              <w:t>副矿长</w:t>
            </w:r>
          </w:p>
        </w:tc>
        <w:tc>
          <w:tcPr>
            <w:tcW w:w="45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rPr>
                <w:rFonts w:ascii="宋体" w:hAnsi="宋体" w:cs="宋体"/>
                <w:color w:val="000000"/>
                <w:szCs w:val="21"/>
                <w:lang w:val="zh-CN"/>
              </w:rPr>
            </w:pPr>
            <w:r>
              <w:rPr>
                <w:rFonts w:hint="eastAsia" w:ascii="宋体" w:hAnsi="宋体" w:cs="宋体"/>
                <w:color w:val="000000"/>
                <w:szCs w:val="21"/>
                <w:lang w:val="zh-CN"/>
              </w:rPr>
              <w:t>负责本矿清洁生产日常管理工作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393"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黄彦程</w:t>
            </w:r>
          </w:p>
        </w:tc>
        <w:tc>
          <w:tcPr>
            <w:tcW w:w="1311"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成员</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安全环保科长</w:t>
            </w:r>
          </w:p>
        </w:tc>
        <w:tc>
          <w:tcPr>
            <w:tcW w:w="45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rPr>
                <w:rFonts w:hint="eastAsia" w:ascii="宋体" w:hAnsi="宋体" w:cs="宋体"/>
                <w:color w:val="000000"/>
                <w:szCs w:val="21"/>
                <w:lang w:val="zh-CN"/>
              </w:rPr>
            </w:pPr>
            <w:r>
              <w:rPr>
                <w:rFonts w:hint="eastAsia" w:ascii="宋体" w:hAnsi="宋体" w:cs="宋体"/>
                <w:color w:val="000000"/>
                <w:szCs w:val="21"/>
                <w:lang w:val="zh-CN"/>
              </w:rPr>
              <w:t>负责清洁生产办公室日常工作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9"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szCs w:val="21"/>
              </w:rPr>
            </w:pPr>
            <w:r>
              <w:rPr>
                <w:rFonts w:hint="eastAsia" w:ascii="宋体" w:hAnsi="宋体" w:cs="仿宋_GB2312"/>
                <w:color w:val="000000"/>
                <w:szCs w:val="21"/>
              </w:rPr>
              <w:t>吕生稳</w:t>
            </w:r>
          </w:p>
        </w:tc>
        <w:tc>
          <w:tcPr>
            <w:tcW w:w="1311"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成员</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szCs w:val="21"/>
              </w:rPr>
            </w:pPr>
            <w:r>
              <w:rPr>
                <w:rFonts w:hint="eastAsia" w:ascii="宋体" w:hAnsi="宋体" w:cs="仿宋_GB2312"/>
                <w:color w:val="000000"/>
                <w:szCs w:val="21"/>
              </w:rPr>
              <w:t>生产科科长</w:t>
            </w:r>
          </w:p>
        </w:tc>
        <w:tc>
          <w:tcPr>
            <w:tcW w:w="45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rPr>
                <w:rFonts w:ascii="宋体" w:hAnsi="宋体" w:cs="宋体"/>
                <w:color w:val="000000"/>
                <w:szCs w:val="21"/>
                <w:lang w:val="zh-CN"/>
              </w:rPr>
            </w:pPr>
            <w:r>
              <w:rPr>
                <w:rFonts w:hint="eastAsia" w:ascii="宋体" w:hAnsi="宋体" w:cs="宋体"/>
                <w:color w:val="000000"/>
                <w:szCs w:val="21"/>
                <w:lang w:val="zh-CN"/>
              </w:rPr>
              <w:t>负责本部门清洁生产日常工作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98"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王学宽</w:t>
            </w:r>
          </w:p>
        </w:tc>
        <w:tc>
          <w:tcPr>
            <w:tcW w:w="1311"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成员</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财务科科长</w:t>
            </w:r>
          </w:p>
        </w:tc>
        <w:tc>
          <w:tcPr>
            <w:tcW w:w="45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rPr>
                <w:rFonts w:hint="eastAsia" w:ascii="宋体" w:hAnsi="宋体" w:cs="宋体"/>
                <w:color w:val="000000"/>
                <w:szCs w:val="21"/>
                <w:lang w:val="zh-CN"/>
              </w:rPr>
            </w:pPr>
            <w:r>
              <w:rPr>
                <w:rFonts w:hint="eastAsia" w:ascii="宋体" w:hAnsi="宋体" w:cs="宋体"/>
                <w:color w:val="000000"/>
                <w:szCs w:val="21"/>
                <w:lang w:val="zh-CN"/>
              </w:rPr>
              <w:t>负责清洁生产资金管理，建立清洁生产资金台帐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429" w:hRule="atLeast"/>
        </w:trPr>
        <w:tc>
          <w:tcPr>
            <w:tcW w:w="1463"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桂腾生</w:t>
            </w:r>
          </w:p>
        </w:tc>
        <w:tc>
          <w:tcPr>
            <w:tcW w:w="1311" w:type="dxa"/>
            <w:tcBorders>
              <w:top w:val="single" w:color="auto" w:sz="4" w:space="0"/>
              <w:left w:val="single" w:color="auto" w:sz="4" w:space="0"/>
              <w:bottom w:val="single" w:color="auto" w:sz="4" w:space="0"/>
              <w:right w:val="single" w:color="auto" w:sz="4" w:space="0"/>
            </w:tcBorders>
            <w:noWrap w:val="0"/>
            <w:vAlign w:val="top"/>
          </w:tcPr>
          <w:p>
            <w:pPr>
              <w:jc w:val="center"/>
              <w:rPr>
                <w:color w:val="000000"/>
              </w:rPr>
            </w:pPr>
            <w:r>
              <w:rPr>
                <w:rFonts w:hint="eastAsia" w:ascii="宋体" w:hAnsi="宋体"/>
                <w:color w:val="000000"/>
                <w:kern w:val="0"/>
                <w:szCs w:val="21"/>
              </w:rPr>
              <w:t>成员</w:t>
            </w:r>
          </w:p>
        </w:tc>
        <w:tc>
          <w:tcPr>
            <w:tcW w:w="1886" w:type="dxa"/>
            <w:tcBorders>
              <w:top w:val="single" w:color="auto" w:sz="4" w:space="0"/>
              <w:left w:val="single" w:color="auto" w:sz="4" w:space="0"/>
              <w:bottom w:val="single" w:color="auto" w:sz="4" w:space="0"/>
              <w:right w:val="single" w:color="auto" w:sz="4" w:space="0"/>
            </w:tcBorders>
            <w:noWrap w:val="0"/>
            <w:vAlign w:val="center"/>
          </w:tcPr>
          <w:p>
            <w:pPr>
              <w:spacing w:line="360" w:lineRule="exact"/>
              <w:jc w:val="center"/>
              <w:rPr>
                <w:rFonts w:hint="eastAsia" w:ascii="宋体" w:hAnsi="宋体" w:cs="仿宋_GB2312"/>
                <w:color w:val="000000"/>
                <w:kern w:val="0"/>
                <w:szCs w:val="21"/>
                <w:lang w:val="zh-CN"/>
              </w:rPr>
            </w:pPr>
            <w:r>
              <w:rPr>
                <w:rFonts w:hint="eastAsia" w:ascii="宋体" w:hAnsi="宋体" w:cs="仿宋_GB2312"/>
                <w:color w:val="000000"/>
                <w:kern w:val="0"/>
                <w:szCs w:val="21"/>
                <w:lang w:val="zh-CN"/>
              </w:rPr>
              <w:t>办公室主任</w:t>
            </w:r>
          </w:p>
        </w:tc>
        <w:tc>
          <w:tcPr>
            <w:tcW w:w="4500" w:type="dxa"/>
            <w:tcBorders>
              <w:top w:val="single" w:color="auto" w:sz="4" w:space="0"/>
              <w:left w:val="single" w:color="auto" w:sz="4" w:space="0"/>
              <w:bottom w:val="single" w:color="auto" w:sz="4" w:space="0"/>
              <w:right w:val="single" w:color="auto" w:sz="4" w:space="0"/>
            </w:tcBorders>
            <w:noWrap w:val="0"/>
            <w:vAlign w:val="top"/>
          </w:tcPr>
          <w:p>
            <w:pPr>
              <w:autoSpaceDE w:val="0"/>
              <w:autoSpaceDN w:val="0"/>
              <w:adjustRightInd w:val="0"/>
              <w:spacing w:line="400" w:lineRule="exact"/>
              <w:rPr>
                <w:rFonts w:hint="eastAsia" w:ascii="宋体" w:hAnsi="宋体" w:cs="宋体"/>
                <w:color w:val="000000"/>
                <w:szCs w:val="21"/>
                <w:lang w:val="zh-CN"/>
              </w:rPr>
            </w:pPr>
            <w:r>
              <w:rPr>
                <w:rFonts w:hint="eastAsia" w:ascii="宋体" w:hAnsi="宋体" w:cs="宋体"/>
                <w:color w:val="000000"/>
                <w:szCs w:val="21"/>
                <w:lang w:val="zh-CN"/>
              </w:rPr>
              <w:t>负责本部门清洁生产宣传培训工作</w:t>
            </w:r>
          </w:p>
        </w:tc>
      </w:tr>
      <w:bookmarkEnd w:id="611"/>
      <w:bookmarkEnd w:id="612"/>
      <w:bookmarkEnd w:id="613"/>
      <w:bookmarkEnd w:id="614"/>
      <w:bookmarkEnd w:id="615"/>
    </w:tbl>
    <w:p>
      <w:pPr>
        <w:pStyle w:val="5"/>
        <w:spacing w:before="240" w:after="120" w:line="360" w:lineRule="auto"/>
        <w:rPr>
          <w:rFonts w:hint="eastAsia" w:ascii="宋体" w:hAnsi="宋体"/>
          <w:color w:val="000000"/>
          <w:sz w:val="28"/>
          <w:szCs w:val="28"/>
        </w:rPr>
      </w:pPr>
      <w:bookmarkStart w:id="616" w:name="_Toc23000943"/>
      <w:r>
        <w:rPr>
          <w:rFonts w:hint="eastAsia" w:ascii="宋体" w:hAnsi="宋体"/>
          <w:color w:val="000000"/>
          <w:sz w:val="28"/>
          <w:szCs w:val="28"/>
        </w:rPr>
        <w:t>7.1.2 明确清洁生产办公室的主要任务</w:t>
      </w:r>
      <w:bookmarkEnd w:id="616"/>
    </w:p>
    <w:p>
      <w:pPr>
        <w:widowControl/>
        <w:autoSpaceDE w:val="0"/>
        <w:autoSpaceDN w:val="0"/>
        <w:adjustRightInd w:val="0"/>
        <w:spacing w:line="360" w:lineRule="auto"/>
        <w:ind w:firstLine="480" w:firstLineChars="200"/>
        <w:jc w:val="left"/>
        <w:rPr>
          <w:rFonts w:hint="eastAsia" w:ascii="宋体" w:hAnsi="宋体" w:cs="宋体"/>
          <w:color w:val="000000"/>
          <w:sz w:val="24"/>
          <w:lang w:val="zh-CN"/>
        </w:rPr>
      </w:pPr>
      <w:r>
        <w:rPr>
          <w:rFonts w:hint="eastAsia" w:ascii="宋体" w:hAnsi="宋体" w:cs="宋体"/>
          <w:color w:val="000000"/>
          <w:sz w:val="24"/>
          <w:lang w:val="zh-CN"/>
        </w:rPr>
        <w:t>（1）总结本次清洁生产审核工作的经验，对存在的问题提出整改意见，进一步明确清洁生产审核的指导思想。</w:t>
      </w:r>
    </w:p>
    <w:p>
      <w:pPr>
        <w:widowControl/>
        <w:tabs>
          <w:tab w:val="left" w:pos="0"/>
        </w:tabs>
        <w:autoSpaceDE w:val="0"/>
        <w:autoSpaceDN w:val="0"/>
        <w:adjustRightInd w:val="0"/>
        <w:spacing w:line="360" w:lineRule="auto"/>
        <w:ind w:firstLine="480" w:firstLineChars="200"/>
        <w:jc w:val="left"/>
        <w:rPr>
          <w:rFonts w:hint="eastAsia" w:ascii="宋体" w:hAnsi="宋体" w:cs="宋体"/>
          <w:color w:val="000000"/>
          <w:sz w:val="24"/>
          <w:lang w:val="zh-CN"/>
        </w:rPr>
      </w:pPr>
      <w:r>
        <w:rPr>
          <w:rFonts w:hint="eastAsia" w:ascii="宋体" w:hAnsi="宋体" w:cs="宋体"/>
          <w:color w:val="000000"/>
          <w:sz w:val="24"/>
          <w:lang w:val="zh-CN"/>
        </w:rPr>
        <w:t>（2）将清洁生产审核工作纳入日常工作计划，结合公司的生产情况不断提高生产工艺水平，从而做到降污、减污和杜绝污染源的发生，不断节能降耗，减少生产成本，实现经济效益和环境效益双丰收。</w:t>
      </w:r>
    </w:p>
    <w:p>
      <w:pPr>
        <w:pStyle w:val="17"/>
        <w:widowControl/>
        <w:tabs>
          <w:tab w:val="left" w:pos="0"/>
        </w:tabs>
        <w:spacing w:line="360" w:lineRule="auto"/>
        <w:ind w:firstLine="480" w:firstLineChars="200"/>
        <w:jc w:val="left"/>
        <w:rPr>
          <w:rFonts w:hint="eastAsia" w:hAnsi="宋体"/>
          <w:color w:val="000000"/>
          <w:sz w:val="24"/>
        </w:rPr>
      </w:pPr>
      <w:r>
        <w:rPr>
          <w:rFonts w:hint="eastAsia" w:hAnsi="宋体"/>
          <w:color w:val="000000"/>
          <w:sz w:val="24"/>
        </w:rPr>
        <w:t>（3）领导和监督清洁生产日常工作的开展，做好公司和本部门的相关工作。在工作中不断积累经验，在本次清洁生产审核工作的基础上，做好下一轮清洁生产审核工作的准备，为下一轮清洁生产审核提供准确的数据。</w:t>
      </w:r>
    </w:p>
    <w:p>
      <w:pPr>
        <w:pStyle w:val="17"/>
        <w:widowControl/>
        <w:tabs>
          <w:tab w:val="left" w:pos="0"/>
        </w:tabs>
        <w:spacing w:line="360" w:lineRule="auto"/>
        <w:ind w:firstLine="480" w:firstLineChars="200"/>
        <w:jc w:val="left"/>
        <w:rPr>
          <w:rFonts w:hint="eastAsia" w:hAnsi="宋体"/>
          <w:color w:val="000000"/>
          <w:sz w:val="24"/>
        </w:rPr>
      </w:pPr>
      <w:r>
        <w:rPr>
          <w:rFonts w:hint="eastAsia" w:hAnsi="宋体"/>
          <w:color w:val="000000"/>
          <w:sz w:val="24"/>
        </w:rPr>
        <w:t>（4）在清洁生产领导小组的统一领导下，既有分工，又有配合，共同促进的提高清洁生产工作上新的台阶。</w:t>
      </w:r>
    </w:p>
    <w:p>
      <w:pPr>
        <w:pStyle w:val="4"/>
        <w:spacing w:before="240" w:after="240" w:line="360" w:lineRule="auto"/>
        <w:rPr>
          <w:rFonts w:hint="eastAsia" w:ascii="宋体" w:hAnsi="宋体" w:eastAsia="宋体"/>
          <w:color w:val="000000"/>
          <w:szCs w:val="28"/>
        </w:rPr>
      </w:pPr>
      <w:bookmarkStart w:id="617" w:name="_Toc280366495"/>
      <w:bookmarkStart w:id="618" w:name="_Toc280366613"/>
      <w:bookmarkStart w:id="619" w:name="_Toc282271816"/>
      <w:bookmarkStart w:id="620" w:name="_Toc287917995"/>
      <w:bookmarkStart w:id="621" w:name="_Toc296604679"/>
      <w:bookmarkStart w:id="622" w:name="_Toc427653815"/>
      <w:bookmarkStart w:id="623" w:name="_Toc433986960"/>
      <w:bookmarkStart w:id="624" w:name="_Toc23000944"/>
      <w:r>
        <w:rPr>
          <w:rFonts w:hint="eastAsia" w:ascii="宋体" w:hAnsi="宋体" w:eastAsia="宋体"/>
          <w:color w:val="000000"/>
          <w:szCs w:val="28"/>
        </w:rPr>
        <w:t>7.2  清洁生产的管理制度</w:t>
      </w:r>
      <w:bookmarkEnd w:id="617"/>
      <w:bookmarkEnd w:id="618"/>
      <w:bookmarkEnd w:id="619"/>
      <w:bookmarkEnd w:id="620"/>
      <w:bookmarkEnd w:id="621"/>
      <w:bookmarkEnd w:id="622"/>
      <w:bookmarkEnd w:id="623"/>
      <w:bookmarkEnd w:id="624"/>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持续推进企业的清洁生产，有赖于巩固和完善企业的清洁生产制度。清洁生产管理体制包括：把审核成果纳入企业的日常管理范畴，建立激励机制，保证稳定的资金支持，巩固健全一系列操作规程、规章制度等。</w:t>
      </w:r>
    </w:p>
    <w:p>
      <w:pPr>
        <w:pStyle w:val="5"/>
        <w:rPr>
          <w:rFonts w:hint="eastAsia"/>
          <w:color w:val="000000"/>
        </w:rPr>
      </w:pPr>
      <w:bookmarkStart w:id="625" w:name="_Toc287917996"/>
      <w:bookmarkStart w:id="626" w:name="_Toc296604680"/>
      <w:bookmarkStart w:id="627" w:name="_Toc427653816"/>
      <w:bookmarkStart w:id="628" w:name="_Toc433986961"/>
      <w:bookmarkStart w:id="629" w:name="_Toc23000945"/>
      <w:r>
        <w:rPr>
          <w:rFonts w:hint="eastAsia"/>
          <w:color w:val="000000"/>
        </w:rPr>
        <w:t>7.2.1把审核成果纳入企业的日常管理</w:t>
      </w:r>
      <w:bookmarkEnd w:id="625"/>
      <w:bookmarkEnd w:id="626"/>
      <w:bookmarkEnd w:id="627"/>
      <w:bookmarkEnd w:id="628"/>
      <w:bookmarkEnd w:id="629"/>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把清洁生产审核的成果纳入企业的日常管理范畴，是巩固清洁生产成果，防止走过场的重要手段。特别是一些无/低费方案，使它们形成制度尤为重要。企业要求做好以下几点：</w:t>
      </w:r>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（1）把清洁生产审核提出的加强管理的措施文件化，形成制度；</w:t>
      </w:r>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（2）把清洁生产审核提出的岗位操作改进措施，写入岗位的操作规程，并要求严格执行；</w:t>
      </w:r>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（3）把清洁生产审核提出的工艺过程控制的改进措施，写入企业的技术规范。</w:t>
      </w:r>
    </w:p>
    <w:p>
      <w:pPr>
        <w:pStyle w:val="5"/>
        <w:rPr>
          <w:rFonts w:hint="eastAsia"/>
          <w:color w:val="000000"/>
        </w:rPr>
      </w:pPr>
      <w:bookmarkStart w:id="630" w:name="_Toc287917997"/>
      <w:bookmarkStart w:id="631" w:name="_Toc296604681"/>
      <w:bookmarkStart w:id="632" w:name="_Toc427653817"/>
      <w:bookmarkStart w:id="633" w:name="_Toc433986962"/>
      <w:bookmarkStart w:id="634" w:name="_Toc23000946"/>
      <w:r>
        <w:rPr>
          <w:rFonts w:hint="eastAsia"/>
          <w:color w:val="000000"/>
        </w:rPr>
        <w:t>7.2.2 建立和完善清洁生产激励机制</w:t>
      </w:r>
      <w:bookmarkEnd w:id="630"/>
      <w:bookmarkEnd w:id="631"/>
      <w:bookmarkEnd w:id="632"/>
      <w:bookmarkEnd w:id="633"/>
      <w:bookmarkEnd w:id="634"/>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在奖金发放、提升、降级、上岗、辞退、表彰、批评等方面，充分与清洁生产的绩效挂钩；建立清洁生产激励机制，以调动全体员工参与清洁生产的积极性。要对研究开发、推广应用清洁生产技术、提出合理的清洁生产建议的人员，视其贡献大小给予一定的奖励。</w:t>
      </w:r>
    </w:p>
    <w:p>
      <w:pPr>
        <w:pStyle w:val="5"/>
        <w:rPr>
          <w:rFonts w:hint="eastAsia"/>
          <w:color w:val="000000"/>
        </w:rPr>
      </w:pPr>
      <w:bookmarkStart w:id="635" w:name="_Toc287917998"/>
      <w:bookmarkStart w:id="636" w:name="_Toc296604682"/>
      <w:bookmarkStart w:id="637" w:name="_Toc427653818"/>
      <w:bookmarkStart w:id="638" w:name="_Toc433986963"/>
      <w:bookmarkStart w:id="639" w:name="_Toc23000947"/>
      <w:r>
        <w:rPr>
          <w:rFonts w:hint="eastAsia"/>
          <w:color w:val="000000"/>
        </w:rPr>
        <w:t>7.2.3 保证稳定的清洁生产资金来源</w:t>
      </w:r>
      <w:bookmarkEnd w:id="635"/>
      <w:bookmarkEnd w:id="636"/>
      <w:bookmarkEnd w:id="637"/>
      <w:bookmarkEnd w:id="638"/>
      <w:bookmarkEnd w:id="639"/>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为了持续地推动企业的清洁生产，企业将从实施清洁生产所产生的经济效益中，提取部分资金，设立专项费用专户，用于清洁生产，以滚动式地推动清洁生产。</w:t>
      </w:r>
    </w:p>
    <w:p>
      <w:pPr>
        <w:pStyle w:val="5"/>
        <w:rPr>
          <w:rFonts w:hint="eastAsia"/>
          <w:color w:val="000000"/>
        </w:rPr>
      </w:pPr>
      <w:bookmarkStart w:id="640" w:name="_Toc287917999"/>
      <w:bookmarkStart w:id="641" w:name="_Toc296604683"/>
      <w:bookmarkStart w:id="642" w:name="_Toc427653819"/>
      <w:bookmarkStart w:id="643" w:name="_Toc433986964"/>
      <w:bookmarkStart w:id="644" w:name="_Toc23000948"/>
      <w:r>
        <w:rPr>
          <w:rFonts w:hint="eastAsia"/>
          <w:color w:val="000000"/>
        </w:rPr>
        <w:t>7.2.4 建立和完善操作规程和规章制度</w:t>
      </w:r>
      <w:bookmarkEnd w:id="640"/>
      <w:bookmarkEnd w:id="641"/>
      <w:bookmarkEnd w:id="642"/>
      <w:bookmarkEnd w:id="643"/>
      <w:bookmarkEnd w:id="644"/>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清洁生产涉及企业经济活动的方方面面，为把握清洁生产的机会，实现节能降耗、减污增效的目的，企业要不断完善各项操作规程和管理规章制度，教育员工严格按规章制度办事。</w:t>
      </w:r>
    </w:p>
    <w:p>
      <w:pPr>
        <w:pStyle w:val="5"/>
        <w:rPr>
          <w:rFonts w:hint="eastAsia"/>
          <w:color w:val="000000"/>
        </w:rPr>
      </w:pPr>
      <w:bookmarkStart w:id="645" w:name="_Toc287918000"/>
      <w:bookmarkStart w:id="646" w:name="_Toc296604684"/>
      <w:bookmarkStart w:id="647" w:name="_Toc427653820"/>
      <w:bookmarkStart w:id="648" w:name="_Toc433986965"/>
      <w:bookmarkStart w:id="649" w:name="_Toc474018779"/>
      <w:bookmarkStart w:id="650" w:name="_Toc23000949"/>
      <w:r>
        <w:rPr>
          <w:rFonts w:hint="eastAsia"/>
          <w:color w:val="000000"/>
        </w:rPr>
        <w:t>7.2.5 把清洁生产审核工作纳入企业的全面管理体系</w:t>
      </w:r>
      <w:bookmarkEnd w:id="645"/>
      <w:bookmarkEnd w:id="646"/>
      <w:bookmarkEnd w:id="647"/>
      <w:bookmarkEnd w:id="648"/>
      <w:bookmarkEnd w:id="649"/>
      <w:bookmarkEnd w:id="650"/>
    </w:p>
    <w:p>
      <w:pPr>
        <w:tabs>
          <w:tab w:val="left" w:pos="0"/>
        </w:tabs>
        <w:adjustRightInd w:val="0"/>
        <w:spacing w:line="360" w:lineRule="auto"/>
        <w:ind w:firstLine="480" w:firstLineChars="200"/>
        <w:jc w:val="left"/>
        <w:rPr>
          <w:rFonts w:hint="eastAsia" w:ascii="宋体" w:hAnsi="宋体"/>
          <w:color w:val="000000"/>
          <w:sz w:val="24"/>
        </w:rPr>
      </w:pPr>
      <w:r>
        <w:rPr>
          <w:rFonts w:hint="eastAsia" w:ascii="宋体" w:hAnsi="宋体"/>
          <w:color w:val="000000"/>
          <w:sz w:val="24"/>
        </w:rPr>
        <w:t>清洁生产是企业全面管理体系的一个独特的、重要的、有机的组成部分。把清洁生产审核工作融入企业的整个管理体系中，特别是将清洁生产审核体系与质量管理体系、环境保护管理体系紧紧融合在一起，将大大促进企业清洁生产审核工作水平的提高，也将不断提高企业的现代化管理水平。</w:t>
      </w:r>
    </w:p>
    <w:p>
      <w:pPr>
        <w:tabs>
          <w:tab w:val="left" w:pos="0"/>
        </w:tabs>
        <w:spacing w:line="360" w:lineRule="auto"/>
        <w:ind w:firstLine="480" w:firstLineChars="200"/>
        <w:jc w:val="left"/>
        <w:rPr>
          <w:rFonts w:hint="eastAsia" w:ascii="宋体" w:hAnsi="宋体"/>
          <w:color w:val="000000"/>
          <w:sz w:val="24"/>
        </w:rPr>
      </w:pPr>
      <w:r>
        <w:rPr>
          <w:rFonts w:hint="eastAsia" w:ascii="宋体" w:hAnsi="宋体"/>
          <w:color w:val="000000"/>
          <w:sz w:val="24"/>
        </w:rPr>
        <w:t>在这次清洁生产审核的过程中，结合公司的实际情况，审核小组初步制定了一些相关的清洁生产管理制度，主要有《清洁生产管理制度》。主要内容是清洁生产机构的组织、管理以及工作开展的方式、方法。</w:t>
      </w:r>
    </w:p>
    <w:p>
      <w:pPr>
        <w:tabs>
          <w:tab w:val="left" w:pos="0"/>
        </w:tabs>
        <w:spacing w:line="360" w:lineRule="auto"/>
        <w:ind w:firstLine="480" w:firstLineChars="200"/>
        <w:jc w:val="left"/>
        <w:rPr>
          <w:rFonts w:ascii="宋体" w:hAnsi="宋体"/>
          <w:color w:val="000000"/>
          <w:sz w:val="24"/>
        </w:rPr>
      </w:pPr>
      <w:r>
        <w:rPr>
          <w:rFonts w:hint="eastAsia" w:ascii="宋体" w:hAnsi="宋体"/>
          <w:color w:val="000000"/>
          <w:sz w:val="24"/>
        </w:rPr>
        <w:t>根据本次清洁生产审核，一些投入较大的项目、对公司影响较大的项目建立文件化管理，详见表7-2。</w:t>
      </w:r>
    </w:p>
    <w:p>
      <w:pPr>
        <w:pStyle w:val="17"/>
        <w:tabs>
          <w:tab w:val="left" w:pos="0"/>
        </w:tabs>
        <w:spacing w:line="360" w:lineRule="auto"/>
        <w:jc w:val="center"/>
        <w:rPr>
          <w:rFonts w:hint="eastAsia" w:hAnsi="宋体"/>
          <w:b/>
          <w:color w:val="000000"/>
          <w:sz w:val="24"/>
        </w:rPr>
      </w:pPr>
      <w:r>
        <w:rPr>
          <w:rFonts w:hint="eastAsia" w:hAnsi="宋体"/>
          <w:b/>
          <w:color w:val="000000"/>
          <w:sz w:val="24"/>
        </w:rPr>
        <w:t xml:space="preserve">表 7-2 </w:t>
      </w:r>
      <w:r>
        <w:rPr>
          <w:rFonts w:hint="eastAsia" w:hAnsi="宋体"/>
          <w:color w:val="000000"/>
          <w:sz w:val="24"/>
        </w:rPr>
        <w:t xml:space="preserve">   </w:t>
      </w:r>
      <w:r>
        <w:rPr>
          <w:rFonts w:hint="eastAsia" w:hAnsi="宋体"/>
          <w:b/>
          <w:color w:val="000000"/>
          <w:sz w:val="24"/>
        </w:rPr>
        <w:t>清洁生产方案文件化一览表</w:t>
      </w:r>
    </w:p>
    <w:tbl>
      <w:tblPr>
        <w:tblStyle w:val="35"/>
        <w:tblW w:w="920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56"/>
        <w:gridCol w:w="3638"/>
        <w:gridCol w:w="46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59" w:hRule="atLeast"/>
          <w:tblHeader/>
        </w:trPr>
        <w:tc>
          <w:tcPr>
            <w:tcW w:w="956"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4" w:hanging="4" w:hangingChars="2"/>
              <w:jc w:val="center"/>
              <w:rPr>
                <w:rFonts w:hint="eastAsia" w:ascii="宋体" w:hAnsi="宋体"/>
                <w:bCs/>
                <w:color w:val="000000"/>
                <w:szCs w:val="21"/>
              </w:rPr>
            </w:pPr>
            <w:r>
              <w:rPr>
                <w:rFonts w:hint="eastAsia" w:ascii="宋体" w:hAnsi="宋体"/>
                <w:bCs/>
                <w:color w:val="000000"/>
                <w:szCs w:val="21"/>
              </w:rPr>
              <w:t>方案编号</w:t>
            </w:r>
          </w:p>
        </w:tc>
        <w:tc>
          <w:tcPr>
            <w:tcW w:w="3638"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4" w:hanging="4" w:hangingChars="2"/>
              <w:jc w:val="center"/>
              <w:rPr>
                <w:rFonts w:hint="eastAsia" w:ascii="宋体" w:hAnsi="宋体"/>
                <w:bCs/>
                <w:color w:val="000000"/>
                <w:szCs w:val="21"/>
              </w:rPr>
            </w:pPr>
            <w:r>
              <w:rPr>
                <w:rFonts w:hint="eastAsia" w:ascii="宋体" w:hAnsi="宋体"/>
                <w:bCs/>
                <w:color w:val="000000"/>
                <w:szCs w:val="21"/>
              </w:rPr>
              <w:t>方案名称</w:t>
            </w:r>
          </w:p>
        </w:tc>
        <w:tc>
          <w:tcPr>
            <w:tcW w:w="4614" w:type="dxa"/>
            <w:tcBorders>
              <w:top w:val="single" w:color="auto" w:sz="4" w:space="0"/>
              <w:left w:val="single" w:color="auto" w:sz="4" w:space="0"/>
              <w:bottom w:val="single" w:color="auto" w:sz="4" w:space="0"/>
              <w:right w:val="single" w:color="auto" w:sz="4" w:space="0"/>
            </w:tcBorders>
            <w:noWrap w:val="0"/>
            <w:vAlign w:val="center"/>
          </w:tcPr>
          <w:p>
            <w:pPr>
              <w:tabs>
                <w:tab w:val="left" w:pos="0"/>
              </w:tabs>
              <w:spacing w:line="360" w:lineRule="auto"/>
              <w:ind w:left="304" w:hanging="304" w:hangingChars="145"/>
              <w:jc w:val="center"/>
              <w:rPr>
                <w:rFonts w:hint="eastAsia" w:ascii="宋体" w:hAnsi="宋体"/>
                <w:bCs/>
                <w:color w:val="000000"/>
                <w:szCs w:val="21"/>
              </w:rPr>
            </w:pPr>
            <w:r>
              <w:rPr>
                <w:rFonts w:hint="eastAsia" w:ascii="宋体" w:hAnsi="宋体"/>
                <w:bCs/>
                <w:color w:val="000000"/>
                <w:szCs w:val="21"/>
              </w:rPr>
              <w:t>配套文件的增加或修订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59" w:hRule="atLeast"/>
        </w:trPr>
        <w:tc>
          <w:tcPr>
            <w:tcW w:w="956" w:type="dxa"/>
            <w:tcBorders>
              <w:top w:val="single" w:color="auto" w:sz="4" w:space="0"/>
              <w:left w:val="single" w:color="auto" w:sz="4" w:space="0"/>
              <w:bottom w:val="single" w:color="auto" w:sz="4" w:space="0"/>
              <w:right w:val="single" w:color="auto" w:sz="4" w:space="0"/>
            </w:tcBorders>
            <w:noWrap w:val="0"/>
            <w:vAlign w:val="top"/>
          </w:tcPr>
          <w:p>
            <w:pPr>
              <w:widowControl/>
              <w:spacing w:line="360" w:lineRule="auto"/>
              <w:jc w:val="center"/>
              <w:rPr>
                <w:rFonts w:hint="eastAsia" w:ascii="宋体" w:hAnsi="宋体"/>
                <w:color w:val="000000"/>
                <w:kern w:val="0"/>
                <w:szCs w:val="21"/>
              </w:rPr>
            </w:pPr>
            <w:r>
              <w:rPr>
                <w:rFonts w:hint="eastAsia" w:ascii="宋体" w:hAnsi="宋体"/>
                <w:color w:val="000000"/>
                <w:kern w:val="0"/>
                <w:szCs w:val="21"/>
              </w:rPr>
              <w:t>F26</w:t>
            </w:r>
          </w:p>
        </w:tc>
        <w:tc>
          <w:tcPr>
            <w:tcW w:w="363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建立清洁生产管理和生产操作规程相结合管理制度</w:t>
            </w:r>
          </w:p>
        </w:tc>
        <w:tc>
          <w:tcPr>
            <w:tcW w:w="461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olor w:val="000000"/>
              </w:rPr>
            </w:pPr>
            <w:r>
              <w:rPr>
                <w:rFonts w:hint="eastAsia" w:ascii="宋体" w:hAnsi="宋体"/>
                <w:color w:val="000000"/>
              </w:rPr>
              <w:t>修订《清洁生产管理制度》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wBefore w:w="0" w:type="dxa"/>
          <w:wAfter w:w="0" w:type="dxa"/>
          <w:trHeight w:val="259" w:hRule="atLeast"/>
        </w:trPr>
        <w:tc>
          <w:tcPr>
            <w:tcW w:w="956"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F27</w:t>
            </w:r>
          </w:p>
        </w:tc>
        <w:tc>
          <w:tcPr>
            <w:tcW w:w="3638"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hint="eastAsia" w:ascii="宋体" w:hAnsi="宋体"/>
                <w:color w:val="000000"/>
                <w:szCs w:val="21"/>
              </w:rPr>
            </w:pPr>
            <w:r>
              <w:rPr>
                <w:rFonts w:hint="eastAsia" w:ascii="宋体" w:hAnsi="宋体"/>
                <w:color w:val="000000"/>
                <w:szCs w:val="21"/>
              </w:rPr>
              <w:t>完善选矿厂雨污分流系统</w:t>
            </w:r>
          </w:p>
        </w:tc>
        <w:tc>
          <w:tcPr>
            <w:tcW w:w="4614" w:type="dxa"/>
            <w:tcBorders>
              <w:top w:val="single" w:color="auto" w:sz="4" w:space="0"/>
              <w:left w:val="single" w:color="auto" w:sz="4" w:space="0"/>
              <w:bottom w:val="single" w:color="auto" w:sz="4" w:space="0"/>
              <w:right w:val="single" w:color="auto" w:sz="4" w:space="0"/>
            </w:tcBorders>
            <w:noWrap w:val="0"/>
            <w:vAlign w:val="top"/>
          </w:tcPr>
          <w:p>
            <w:pPr>
              <w:spacing w:line="360" w:lineRule="auto"/>
              <w:jc w:val="center"/>
              <w:rPr>
                <w:rFonts w:ascii="宋体" w:hAnsi="宋体"/>
                <w:color w:val="000000"/>
              </w:rPr>
            </w:pPr>
            <w:r>
              <w:rPr>
                <w:rFonts w:hint="eastAsia" w:ascii="宋体" w:hAnsi="宋体" w:cs="宋体"/>
                <w:bCs/>
                <w:color w:val="000000"/>
                <w:kern w:val="0"/>
                <w:szCs w:val="21"/>
              </w:rPr>
              <w:t>建立《污水处理操作规程》、《厂区雨污分流管理流程》、修订《环保设备维护管理》</w:t>
            </w:r>
          </w:p>
        </w:tc>
      </w:tr>
    </w:tbl>
    <w:p>
      <w:pPr>
        <w:pStyle w:val="4"/>
        <w:spacing w:before="240" w:after="0" w:line="360" w:lineRule="auto"/>
        <w:rPr>
          <w:rFonts w:hint="eastAsia" w:ascii="宋体" w:hAnsi="宋体" w:eastAsia="宋体"/>
          <w:color w:val="000000"/>
        </w:rPr>
      </w:pPr>
      <w:bookmarkStart w:id="651" w:name="_Toc25473"/>
      <w:bookmarkStart w:id="652" w:name="_Toc6925"/>
      <w:bookmarkStart w:id="653" w:name="_Toc8435"/>
      <w:bookmarkStart w:id="654" w:name="_Toc159"/>
      <w:bookmarkStart w:id="655" w:name="_Toc4554"/>
      <w:bookmarkStart w:id="656" w:name="_Toc280366496"/>
      <w:bookmarkStart w:id="657" w:name="_Toc280366614"/>
      <w:bookmarkStart w:id="658" w:name="_Toc282271817"/>
      <w:bookmarkStart w:id="659" w:name="_Toc287918001"/>
      <w:bookmarkStart w:id="660" w:name="_Toc296604685"/>
      <w:bookmarkStart w:id="661" w:name="_Toc427653821"/>
      <w:bookmarkStart w:id="662" w:name="_Toc433986966"/>
      <w:bookmarkStart w:id="663" w:name="_Toc23000950"/>
      <w:r>
        <w:rPr>
          <w:rFonts w:hint="eastAsia" w:ascii="宋体" w:hAnsi="宋体" w:eastAsia="宋体"/>
          <w:color w:val="000000"/>
        </w:rPr>
        <w:t>7.3  持续清洁生产计划</w:t>
      </w:r>
      <w:bookmarkEnd w:id="651"/>
      <w:bookmarkEnd w:id="652"/>
      <w:bookmarkEnd w:id="653"/>
      <w:bookmarkEnd w:id="654"/>
      <w:bookmarkEnd w:id="655"/>
      <w:bookmarkEnd w:id="656"/>
      <w:bookmarkEnd w:id="657"/>
      <w:bookmarkEnd w:id="658"/>
      <w:bookmarkEnd w:id="659"/>
      <w:bookmarkEnd w:id="660"/>
      <w:bookmarkEnd w:id="661"/>
      <w:bookmarkEnd w:id="662"/>
      <w:bookmarkEnd w:id="663"/>
    </w:p>
    <w:p>
      <w:pPr>
        <w:pStyle w:val="5"/>
        <w:rPr>
          <w:rFonts w:hint="eastAsia"/>
          <w:color w:val="000000"/>
        </w:rPr>
      </w:pPr>
      <w:bookmarkStart w:id="664" w:name="_Toc287653904"/>
      <w:bookmarkStart w:id="665" w:name="_Toc287918002"/>
      <w:bookmarkStart w:id="666" w:name="_Toc296604686"/>
      <w:bookmarkStart w:id="667" w:name="_Toc427653822"/>
      <w:bookmarkStart w:id="668" w:name="_Toc433986967"/>
      <w:bookmarkStart w:id="669" w:name="_Toc23000951"/>
      <w:r>
        <w:rPr>
          <w:rFonts w:hint="eastAsia"/>
          <w:color w:val="000000"/>
        </w:rPr>
        <w:t>7.3.1 制定持续清洁生产计划</w:t>
      </w:r>
      <w:bookmarkEnd w:id="664"/>
      <w:bookmarkEnd w:id="665"/>
      <w:bookmarkEnd w:id="666"/>
      <w:bookmarkEnd w:id="667"/>
      <w:bookmarkEnd w:id="668"/>
      <w:bookmarkEnd w:id="669"/>
    </w:p>
    <w:p>
      <w:pPr>
        <w:pStyle w:val="17"/>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为了有效地将清洁生产在企业中有组织、有计划地继续推行下去，清洁生产审核工作小组制定出持续清洁生产计划，见下表7-3</w:t>
      </w:r>
    </w:p>
    <w:p>
      <w:pPr>
        <w:pStyle w:val="17"/>
        <w:tabs>
          <w:tab w:val="left" w:pos="0"/>
        </w:tabs>
        <w:spacing w:line="360" w:lineRule="auto"/>
        <w:jc w:val="center"/>
        <w:rPr>
          <w:rFonts w:hint="eastAsia" w:hAnsi="宋体"/>
          <w:b/>
          <w:color w:val="000000"/>
          <w:sz w:val="24"/>
        </w:rPr>
      </w:pPr>
      <w:bookmarkStart w:id="670" w:name="_Toc287653905"/>
      <w:bookmarkStart w:id="671" w:name="_Toc287918003"/>
      <w:bookmarkStart w:id="672" w:name="_Toc280366497"/>
      <w:bookmarkStart w:id="673" w:name="_Toc2928"/>
      <w:bookmarkStart w:id="674" w:name="_Toc287109183"/>
      <w:bookmarkStart w:id="675" w:name="_Toc30581"/>
      <w:bookmarkStart w:id="676" w:name="_Toc26011"/>
      <w:bookmarkStart w:id="677" w:name="_Toc282271818"/>
      <w:bookmarkStart w:id="678" w:name="_Toc30342"/>
      <w:bookmarkStart w:id="679" w:name="_Toc286840135"/>
      <w:bookmarkStart w:id="680" w:name="_Toc280366615"/>
      <w:bookmarkStart w:id="681" w:name="_Toc26100"/>
      <w:r>
        <w:rPr>
          <w:rFonts w:hint="eastAsia" w:hAnsi="宋体"/>
          <w:b/>
          <w:color w:val="000000"/>
          <w:sz w:val="24"/>
        </w:rPr>
        <w:t xml:space="preserve">表7-3 </w:t>
      </w:r>
      <w:r>
        <w:rPr>
          <w:rFonts w:hint="eastAsia" w:hAnsi="宋体"/>
          <w:color w:val="000000"/>
          <w:sz w:val="24"/>
        </w:rPr>
        <w:t xml:space="preserve">  </w:t>
      </w:r>
      <w:r>
        <w:rPr>
          <w:rFonts w:hint="eastAsia" w:hAnsi="宋体"/>
          <w:b/>
          <w:color w:val="000000"/>
          <w:sz w:val="24"/>
        </w:rPr>
        <w:t>持续清洁生产计划</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19"/>
        <w:gridCol w:w="4018"/>
        <w:gridCol w:w="1224"/>
        <w:gridCol w:w="1529"/>
        <w:gridCol w:w="11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174" w:hRule="atLeast"/>
          <w:tblHeader/>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bookmarkStart w:id="682" w:name="_Toc296604687"/>
            <w:bookmarkStart w:id="683" w:name="_Toc427653823"/>
            <w:bookmarkStart w:id="684" w:name="_Toc433986968"/>
            <w:r>
              <w:rPr>
                <w:rFonts w:hint="eastAsia" w:hAnsi="宋体"/>
                <w:bCs/>
                <w:color w:val="000000"/>
                <w:szCs w:val="21"/>
              </w:rPr>
              <w:t>项目</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主  要  内  容</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开始时间</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预计结束时间</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负责部门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260" w:hRule="atLeast"/>
          <w:jc w:val="center"/>
        </w:trPr>
        <w:tc>
          <w:tcPr>
            <w:tcW w:w="1419" w:type="dxa"/>
            <w:vMerge w:val="restart"/>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下一轮审核无低费和中高费方案的实施计划</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1、将已实施的无低费方案制度化。</w:t>
            </w:r>
          </w:p>
          <w:p>
            <w:pPr>
              <w:pStyle w:val="17"/>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2、继续实施中／高费方案的实施。</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2020.6.10</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2020.12.30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各方案实施责任部门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260" w:hRule="atLeast"/>
          <w:jc w:val="center"/>
        </w:trPr>
        <w:tc>
          <w:tcPr>
            <w:tcW w:w="14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320" w:lineRule="exact"/>
              <w:jc w:val="center"/>
              <w:rPr>
                <w:rFonts w:hint="eastAsia" w:ascii="宋体" w:hAnsi="宋体"/>
                <w:bCs/>
                <w:color w:val="000000"/>
                <w:szCs w:val="21"/>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3、分期分批对已实施方案成果进行公示宣传，继续开展全员清洁生产的宣传与培训。</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2020.6.1</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2020.12.30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办公室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431" w:hRule="atLeast"/>
          <w:jc w:val="center"/>
        </w:trPr>
        <w:tc>
          <w:tcPr>
            <w:tcW w:w="1419" w:type="dxa"/>
            <w:vMerge w:val="restart"/>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员工的</w:t>
            </w:r>
          </w:p>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清洁生产审核培训计划</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 w:val="left" w:pos="210"/>
              </w:tabs>
              <w:spacing w:line="320" w:lineRule="exact"/>
              <w:jc w:val="left"/>
              <w:rPr>
                <w:rFonts w:hint="eastAsia" w:hAnsi="宋体"/>
                <w:bCs/>
                <w:color w:val="000000"/>
                <w:szCs w:val="21"/>
              </w:rPr>
            </w:pPr>
            <w:r>
              <w:rPr>
                <w:rFonts w:hint="eastAsia" w:hAnsi="宋体"/>
                <w:bCs/>
                <w:color w:val="000000"/>
                <w:szCs w:val="21"/>
              </w:rPr>
              <w:t>1、清洁生产知识培训，通过内部报纸、简报、班前班后会、开办清洁生产知识培训、印制清洁生产手册等形式进行宣传和发动。每月2次。</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2021.3.10</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2021.5.30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清洁生产领导小组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345" w:hRule="atLeast"/>
          <w:jc w:val="center"/>
        </w:trPr>
        <w:tc>
          <w:tcPr>
            <w:tcW w:w="141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tabs>
                <w:tab w:val="left" w:pos="0"/>
              </w:tabs>
              <w:spacing w:line="320" w:lineRule="exact"/>
              <w:jc w:val="center"/>
              <w:rPr>
                <w:rFonts w:hint="eastAsia" w:ascii="宋体" w:hAnsi="宋体"/>
                <w:bCs/>
                <w:color w:val="000000"/>
                <w:szCs w:val="21"/>
              </w:rPr>
            </w:pP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left"/>
              <w:rPr>
                <w:rFonts w:hint="eastAsia" w:hAnsi="宋体"/>
                <w:bCs/>
                <w:color w:val="000000"/>
                <w:szCs w:val="21"/>
              </w:rPr>
            </w:pPr>
            <w:r>
              <w:rPr>
                <w:rFonts w:hint="eastAsia" w:hAnsi="宋体"/>
                <w:bCs/>
                <w:color w:val="000000"/>
                <w:szCs w:val="21"/>
              </w:rPr>
              <w:t>2、清洁生产技术培训，定期组织职工学习行业推荐的清洁生产技术，培养职工科技创新能力。每季度1次</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2021.6.15</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2021.8.30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清洁生产领导小组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cantSplit/>
          <w:trHeight w:val="777" w:hRule="atLeast"/>
          <w:jc w:val="center"/>
        </w:trPr>
        <w:tc>
          <w:tcPr>
            <w:tcW w:w="141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下一轮</w:t>
            </w:r>
          </w:p>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清洁生产审核工作计划</w:t>
            </w:r>
          </w:p>
        </w:tc>
        <w:tc>
          <w:tcPr>
            <w:tcW w:w="4018"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left"/>
              <w:rPr>
                <w:rFonts w:hint="eastAsia" w:hAnsi="宋体"/>
                <w:bCs/>
                <w:color w:val="000000"/>
                <w:szCs w:val="21"/>
              </w:rPr>
            </w:pPr>
            <w:r>
              <w:rPr>
                <w:rFonts w:hint="eastAsia" w:hAnsi="宋体"/>
                <w:bCs/>
                <w:color w:val="000000"/>
                <w:szCs w:val="21"/>
              </w:rPr>
              <w:t>1、初步确定下一轮的审核重点，编制下一轮的《清洁生产审核工作计划》</w:t>
            </w:r>
          </w:p>
          <w:p>
            <w:pPr>
              <w:pStyle w:val="17"/>
              <w:widowControl/>
              <w:tabs>
                <w:tab w:val="left" w:pos="0"/>
              </w:tabs>
              <w:spacing w:line="320" w:lineRule="exact"/>
              <w:jc w:val="left"/>
              <w:rPr>
                <w:rFonts w:hint="eastAsia" w:hAnsi="宋体"/>
                <w:bCs/>
                <w:color w:val="000000"/>
                <w:szCs w:val="21"/>
              </w:rPr>
            </w:pPr>
            <w:r>
              <w:rPr>
                <w:rFonts w:hint="eastAsia" w:hAnsi="宋体"/>
                <w:bCs/>
                <w:color w:val="000000"/>
                <w:szCs w:val="21"/>
              </w:rPr>
              <w:t>2、继续征集并实施清洁生产审核的无/低费、中/高费方案。</w:t>
            </w:r>
          </w:p>
          <w:p>
            <w:pPr>
              <w:pStyle w:val="17"/>
              <w:widowControl/>
              <w:tabs>
                <w:tab w:val="left" w:pos="0"/>
              </w:tabs>
              <w:spacing w:line="320" w:lineRule="exact"/>
              <w:jc w:val="left"/>
              <w:rPr>
                <w:rFonts w:hint="eastAsia" w:hAnsi="宋体"/>
                <w:bCs/>
                <w:color w:val="000000"/>
                <w:szCs w:val="21"/>
              </w:rPr>
            </w:pPr>
            <w:r>
              <w:rPr>
                <w:rFonts w:hint="eastAsia" w:hAnsi="宋体"/>
                <w:bCs/>
                <w:color w:val="000000"/>
                <w:szCs w:val="21"/>
              </w:rPr>
              <w:t>3、建立“清洁生产”工作方针目标，清洁生产岗位责任制，清洁生产奖罚制度，保证清洁生产工作持续有效开展。</w:t>
            </w:r>
          </w:p>
        </w:tc>
        <w:tc>
          <w:tcPr>
            <w:tcW w:w="1224"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2022.6.30</w:t>
            </w:r>
          </w:p>
        </w:tc>
        <w:tc>
          <w:tcPr>
            <w:tcW w:w="1529"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2022.12.30</w:t>
            </w:r>
          </w:p>
        </w:tc>
        <w:tc>
          <w:tcPr>
            <w:tcW w:w="1171" w:type="dxa"/>
            <w:tcBorders>
              <w:top w:val="single" w:color="auto" w:sz="4" w:space="0"/>
              <w:left w:val="single" w:color="auto" w:sz="4" w:space="0"/>
              <w:bottom w:val="single" w:color="auto" w:sz="4" w:space="0"/>
              <w:right w:val="single" w:color="auto" w:sz="4" w:space="0"/>
            </w:tcBorders>
            <w:noWrap w:val="0"/>
            <w:vAlign w:val="center"/>
          </w:tcPr>
          <w:p>
            <w:pPr>
              <w:pStyle w:val="17"/>
              <w:widowControl/>
              <w:tabs>
                <w:tab w:val="left" w:pos="0"/>
              </w:tabs>
              <w:spacing w:line="320" w:lineRule="exact"/>
              <w:jc w:val="center"/>
              <w:rPr>
                <w:rFonts w:hint="eastAsia" w:hAnsi="宋体"/>
                <w:bCs/>
                <w:color w:val="000000"/>
                <w:szCs w:val="21"/>
              </w:rPr>
            </w:pPr>
            <w:r>
              <w:rPr>
                <w:rFonts w:hint="eastAsia" w:hAnsi="宋体"/>
                <w:bCs/>
                <w:color w:val="000000"/>
                <w:szCs w:val="21"/>
              </w:rPr>
              <w:t>清洁生产领导小组</w:t>
            </w:r>
          </w:p>
        </w:tc>
      </w:tr>
    </w:tbl>
    <w:p>
      <w:pPr>
        <w:pStyle w:val="5"/>
        <w:spacing w:before="360" w:after="240" w:line="360" w:lineRule="auto"/>
        <w:rPr>
          <w:rFonts w:hint="eastAsia" w:ascii="宋体" w:hAnsi="宋体"/>
          <w:color w:val="000000"/>
          <w:sz w:val="28"/>
          <w:szCs w:val="28"/>
        </w:rPr>
      </w:pPr>
      <w:bookmarkStart w:id="685" w:name="_Toc23000952"/>
      <w:r>
        <w:rPr>
          <w:rFonts w:hint="eastAsia" w:ascii="宋体" w:hAnsi="宋体"/>
          <w:color w:val="000000"/>
          <w:sz w:val="28"/>
          <w:szCs w:val="28"/>
        </w:rPr>
        <w:t>7.3.2 清洁生产方案的实施计划</w:t>
      </w:r>
      <w:bookmarkEnd w:id="670"/>
      <w:bookmarkEnd w:id="671"/>
      <w:bookmarkEnd w:id="682"/>
      <w:bookmarkEnd w:id="683"/>
      <w:bookmarkEnd w:id="684"/>
      <w:bookmarkEnd w:id="685"/>
    </w:p>
    <w:p>
      <w:pPr>
        <w:spacing w:line="360" w:lineRule="auto"/>
        <w:ind w:firstLine="480" w:firstLineChars="200"/>
        <w:rPr>
          <w:rFonts w:hint="eastAsia" w:ascii="宋体" w:hAnsi="宋体"/>
          <w:color w:val="000000"/>
          <w:sz w:val="24"/>
        </w:rPr>
      </w:pPr>
      <w:r>
        <w:rPr>
          <w:rFonts w:hint="eastAsia" w:ascii="宋体" w:hAnsi="宋体"/>
          <w:color w:val="000000"/>
          <w:sz w:val="24"/>
        </w:rPr>
        <w:t>本轮清洁生产审核共提出无/低费方案27个，中/高费方案2个，这些方案目前已实施完毕，并已取得较为明显的经济效益和环境效益，特别是高费方案的实施效益非常明显。这些方案虽已实施完毕，但还要对方案进行跟踪检查，对不完善和存在缺陷的部位进行整改，以发挥更大的效益。同时，针对本次清洁生产审核出现的一些问题还未得到解决的，对一些尚未实施的项目，在本次清洁生产审核后加以实施，实施方案见表7-4。</w:t>
      </w: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240" w:lineRule="exact"/>
        <w:ind w:firstLine="480" w:firstLineChars="200"/>
        <w:rPr>
          <w:rFonts w:hint="eastAsia" w:ascii="宋体" w:hAnsi="宋体"/>
          <w:color w:val="000000"/>
          <w:sz w:val="24"/>
        </w:rPr>
      </w:pPr>
    </w:p>
    <w:p>
      <w:pPr>
        <w:spacing w:line="360" w:lineRule="auto"/>
        <w:ind w:firstLine="482" w:firstLineChars="200"/>
        <w:jc w:val="center"/>
        <w:rPr>
          <w:rFonts w:hint="eastAsia" w:ascii="宋体" w:hAnsi="宋体"/>
          <w:b/>
          <w:color w:val="000000"/>
          <w:sz w:val="24"/>
        </w:rPr>
      </w:pPr>
      <w:bookmarkStart w:id="686" w:name="_Toc287918004"/>
      <w:bookmarkStart w:id="687" w:name="_Toc433986969"/>
      <w:bookmarkStart w:id="688" w:name="_Toc287653906"/>
      <w:bookmarkStart w:id="689" w:name="_Toc427653824"/>
      <w:bookmarkStart w:id="690" w:name="_Toc296604688"/>
      <w:bookmarkStart w:id="691" w:name="_Toc23000953"/>
      <w:r>
        <w:rPr>
          <w:rFonts w:hint="eastAsia" w:ascii="宋体" w:hAnsi="宋体"/>
          <w:b/>
          <w:color w:val="000000"/>
          <w:sz w:val="24"/>
        </w:rPr>
        <w:t>表7—4      持续清洁生产方案一览表</w:t>
      </w:r>
    </w:p>
    <w:tbl>
      <w:tblPr>
        <w:tblStyle w:val="35"/>
        <w:tblW w:w="972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00"/>
        <w:gridCol w:w="3060"/>
        <w:gridCol w:w="1440"/>
        <w:gridCol w:w="1080"/>
        <w:gridCol w:w="1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9" w:hRule="atLeast"/>
          <w:tblHeader/>
        </w:trPr>
        <w:tc>
          <w:tcPr>
            <w:tcW w:w="720" w:type="dxa"/>
            <w:noWrap w:val="0"/>
            <w:vAlign w:val="center"/>
          </w:tcPr>
          <w:p>
            <w:pPr>
              <w:jc w:val="center"/>
              <w:rPr>
                <w:rFonts w:hint="eastAsia" w:ascii="宋体" w:hAnsi="宋体"/>
                <w:color w:val="000000"/>
                <w:szCs w:val="21"/>
              </w:rPr>
            </w:pPr>
            <w:r>
              <w:rPr>
                <w:rFonts w:hint="eastAsia" w:ascii="宋体" w:hAnsi="宋体"/>
                <w:color w:val="000000"/>
                <w:szCs w:val="21"/>
              </w:rPr>
              <w:t>编号</w:t>
            </w:r>
          </w:p>
        </w:tc>
        <w:tc>
          <w:tcPr>
            <w:tcW w:w="1800" w:type="dxa"/>
            <w:noWrap w:val="0"/>
            <w:vAlign w:val="center"/>
          </w:tcPr>
          <w:p>
            <w:pPr>
              <w:jc w:val="center"/>
              <w:rPr>
                <w:rFonts w:hint="eastAsia" w:ascii="宋体" w:hAnsi="宋体"/>
                <w:color w:val="000000"/>
                <w:szCs w:val="21"/>
              </w:rPr>
            </w:pPr>
            <w:r>
              <w:rPr>
                <w:rFonts w:hint="eastAsia" w:ascii="宋体" w:hAnsi="宋体"/>
                <w:color w:val="000000"/>
                <w:szCs w:val="21"/>
              </w:rPr>
              <w:t>实施项目</w:t>
            </w:r>
          </w:p>
        </w:tc>
        <w:tc>
          <w:tcPr>
            <w:tcW w:w="3060" w:type="dxa"/>
            <w:noWrap w:val="0"/>
            <w:vAlign w:val="center"/>
          </w:tcPr>
          <w:p>
            <w:pPr>
              <w:jc w:val="center"/>
              <w:rPr>
                <w:rFonts w:hint="eastAsia" w:ascii="宋体" w:hAnsi="宋体"/>
                <w:color w:val="000000"/>
                <w:szCs w:val="21"/>
              </w:rPr>
            </w:pPr>
            <w:r>
              <w:rPr>
                <w:rFonts w:hint="eastAsia" w:ascii="宋体" w:hAnsi="宋体"/>
                <w:color w:val="000000"/>
                <w:szCs w:val="21"/>
              </w:rPr>
              <w:t>实施内容</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计划实施</w:t>
            </w:r>
          </w:p>
          <w:p>
            <w:pPr>
              <w:jc w:val="center"/>
              <w:rPr>
                <w:rFonts w:hint="eastAsia" w:ascii="宋体" w:hAnsi="宋体"/>
                <w:color w:val="000000"/>
                <w:szCs w:val="21"/>
              </w:rPr>
            </w:pPr>
            <w:r>
              <w:rPr>
                <w:rFonts w:hint="eastAsia" w:ascii="宋体" w:hAnsi="宋体"/>
                <w:color w:val="000000"/>
                <w:szCs w:val="21"/>
              </w:rPr>
              <w:t>时间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投入资金</w:t>
            </w:r>
          </w:p>
          <w:p>
            <w:pPr>
              <w:jc w:val="center"/>
              <w:rPr>
                <w:rFonts w:hint="eastAsia" w:ascii="宋体" w:hAnsi="宋体"/>
                <w:color w:val="000000"/>
                <w:szCs w:val="21"/>
              </w:rPr>
            </w:pPr>
            <w:r>
              <w:rPr>
                <w:rFonts w:hint="eastAsia" w:ascii="宋体" w:hAnsi="宋体"/>
                <w:color w:val="000000"/>
                <w:szCs w:val="21"/>
              </w:rPr>
              <w:t>（万元）</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经济效益和环</w:t>
            </w:r>
          </w:p>
          <w:p>
            <w:pPr>
              <w:jc w:val="center"/>
              <w:rPr>
                <w:rFonts w:hint="eastAsia" w:ascii="宋体" w:hAnsi="宋体"/>
                <w:color w:val="000000"/>
                <w:szCs w:val="21"/>
              </w:rPr>
            </w:pPr>
            <w:r>
              <w:rPr>
                <w:rFonts w:hint="eastAsia" w:ascii="宋体" w:hAnsi="宋体"/>
                <w:color w:val="000000"/>
                <w:szCs w:val="21"/>
              </w:rPr>
              <w:t>境效益（年）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9" w:hRule="atLeast"/>
        </w:trPr>
        <w:tc>
          <w:tcPr>
            <w:tcW w:w="720" w:type="dxa"/>
            <w:noWrap w:val="0"/>
            <w:vAlign w:val="center"/>
          </w:tcPr>
          <w:p>
            <w:pPr>
              <w:jc w:val="center"/>
              <w:rPr>
                <w:rFonts w:hint="eastAsia" w:ascii="宋体" w:hAnsi="宋体"/>
                <w:color w:val="000000"/>
                <w:szCs w:val="21"/>
              </w:rPr>
            </w:pPr>
            <w:r>
              <w:rPr>
                <w:rFonts w:hint="eastAsia" w:ascii="宋体" w:hAnsi="宋体"/>
                <w:color w:val="000000"/>
                <w:szCs w:val="21"/>
              </w:rPr>
              <w:t>1</w:t>
            </w:r>
          </w:p>
        </w:tc>
        <w:tc>
          <w:tcPr>
            <w:tcW w:w="1800" w:type="dxa"/>
            <w:noWrap w:val="0"/>
            <w:vAlign w:val="center"/>
          </w:tcPr>
          <w:p>
            <w:pPr>
              <w:jc w:val="center"/>
              <w:rPr>
                <w:rFonts w:hint="eastAsia" w:ascii="宋体" w:hAnsi="宋体"/>
                <w:color w:val="000000"/>
                <w:szCs w:val="21"/>
              </w:rPr>
            </w:pPr>
            <w:r>
              <w:rPr>
                <w:rFonts w:hint="eastAsia" w:ascii="宋体" w:hAnsi="宋体"/>
                <w:color w:val="000000"/>
                <w:szCs w:val="21"/>
              </w:rPr>
              <w:t>矿区植被绿化</w:t>
            </w:r>
          </w:p>
        </w:tc>
        <w:tc>
          <w:tcPr>
            <w:tcW w:w="3060" w:type="dxa"/>
            <w:noWrap w:val="0"/>
            <w:vAlign w:val="center"/>
          </w:tcPr>
          <w:p>
            <w:pPr>
              <w:jc w:val="center"/>
              <w:rPr>
                <w:rFonts w:hint="eastAsia" w:ascii="宋体" w:hAnsi="宋体"/>
                <w:color w:val="000000"/>
                <w:szCs w:val="21"/>
              </w:rPr>
            </w:pPr>
            <w:r>
              <w:rPr>
                <w:rFonts w:hint="eastAsia" w:ascii="宋体" w:hAnsi="宋体"/>
                <w:color w:val="000000"/>
                <w:szCs w:val="21"/>
              </w:rPr>
              <w:t>在矿区水土保持区、易引发水土流失区及其它易发生杨尘道路运输旁、坍塌区栽种树木、草，保护矿区环境。</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2020年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0.3</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隔音降噪，防止水土流失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41" w:hRule="atLeast"/>
        </w:trPr>
        <w:tc>
          <w:tcPr>
            <w:tcW w:w="720" w:type="dxa"/>
            <w:noWrap w:val="0"/>
            <w:vAlign w:val="center"/>
          </w:tcPr>
          <w:p>
            <w:pPr>
              <w:jc w:val="center"/>
              <w:rPr>
                <w:rFonts w:hint="eastAsia" w:ascii="宋体" w:hAnsi="宋体"/>
                <w:color w:val="000000"/>
                <w:szCs w:val="21"/>
              </w:rPr>
            </w:pPr>
            <w:r>
              <w:rPr>
                <w:rFonts w:hint="eastAsia" w:ascii="宋体" w:hAnsi="宋体"/>
                <w:color w:val="000000"/>
                <w:szCs w:val="21"/>
              </w:rPr>
              <w:t>2</w:t>
            </w:r>
          </w:p>
        </w:tc>
        <w:tc>
          <w:tcPr>
            <w:tcW w:w="1800" w:type="dxa"/>
            <w:noWrap w:val="0"/>
            <w:vAlign w:val="center"/>
          </w:tcPr>
          <w:p>
            <w:pPr>
              <w:rPr>
                <w:rFonts w:hint="eastAsia" w:ascii="宋体" w:hAnsi="宋体"/>
                <w:color w:val="000000"/>
                <w:szCs w:val="21"/>
              </w:rPr>
            </w:pPr>
            <w:r>
              <w:rPr>
                <w:rFonts w:hint="eastAsia" w:ascii="宋体" w:hAnsi="宋体"/>
                <w:color w:val="000000"/>
                <w:szCs w:val="21"/>
              </w:rPr>
              <w:t>原矿堆场硬化</w:t>
            </w:r>
          </w:p>
        </w:tc>
        <w:tc>
          <w:tcPr>
            <w:tcW w:w="3060" w:type="dxa"/>
            <w:noWrap w:val="0"/>
            <w:vAlign w:val="center"/>
          </w:tcPr>
          <w:p>
            <w:pPr>
              <w:rPr>
                <w:rFonts w:hint="eastAsia" w:ascii="宋体" w:hAnsi="宋体"/>
                <w:color w:val="000000"/>
                <w:szCs w:val="21"/>
              </w:rPr>
            </w:pPr>
            <w:r>
              <w:rPr>
                <w:rFonts w:hint="eastAsia" w:ascii="宋体" w:hAnsi="宋体"/>
                <w:color w:val="000000"/>
                <w:szCs w:val="21"/>
              </w:rPr>
              <w:t>原矿从井下提升至井口堆场需进行平整硬化，保障金属不流失及重金属对环境造成污染。</w:t>
            </w:r>
          </w:p>
        </w:tc>
        <w:tc>
          <w:tcPr>
            <w:tcW w:w="1440" w:type="dxa"/>
            <w:noWrap w:val="0"/>
            <w:vAlign w:val="center"/>
          </w:tcPr>
          <w:p>
            <w:pPr>
              <w:jc w:val="center"/>
              <w:rPr>
                <w:rFonts w:hint="eastAsia" w:ascii="宋体" w:hAnsi="宋体"/>
                <w:color w:val="000000"/>
                <w:szCs w:val="21"/>
              </w:rPr>
            </w:pPr>
            <w:r>
              <w:rPr>
                <w:rFonts w:hint="eastAsia" w:ascii="宋体" w:hAnsi="宋体"/>
                <w:color w:val="000000"/>
                <w:szCs w:val="21"/>
              </w:rPr>
              <w:t>2019年底至2020年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防止水土流失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139" w:hRule="atLeast"/>
        </w:trPr>
        <w:tc>
          <w:tcPr>
            <w:tcW w:w="720" w:type="dxa"/>
            <w:noWrap w:val="0"/>
            <w:vAlign w:val="center"/>
          </w:tcPr>
          <w:p>
            <w:pPr>
              <w:jc w:val="center"/>
              <w:rPr>
                <w:rFonts w:hint="eastAsia" w:ascii="宋体" w:hAnsi="宋体"/>
                <w:color w:val="000000"/>
                <w:szCs w:val="21"/>
              </w:rPr>
            </w:pPr>
            <w:r>
              <w:rPr>
                <w:rFonts w:hint="eastAsia" w:ascii="宋体" w:hAnsi="宋体"/>
                <w:color w:val="000000"/>
                <w:szCs w:val="21"/>
              </w:rPr>
              <w:t>3</w:t>
            </w:r>
          </w:p>
        </w:tc>
        <w:tc>
          <w:tcPr>
            <w:tcW w:w="1800" w:type="dxa"/>
            <w:noWrap w:val="0"/>
            <w:vAlign w:val="center"/>
          </w:tcPr>
          <w:p>
            <w:pPr>
              <w:jc w:val="center"/>
              <w:rPr>
                <w:rFonts w:hint="eastAsia" w:ascii="宋体" w:hAnsi="宋体"/>
                <w:color w:val="000000"/>
                <w:szCs w:val="21"/>
              </w:rPr>
            </w:pPr>
            <w:r>
              <w:rPr>
                <w:rFonts w:hint="eastAsia" w:ascii="宋体" w:hAnsi="宋体"/>
                <w:color w:val="000000"/>
                <w:szCs w:val="21"/>
              </w:rPr>
              <w:t>尾矿库基础设施维护</w:t>
            </w:r>
          </w:p>
        </w:tc>
        <w:tc>
          <w:tcPr>
            <w:tcW w:w="3060" w:type="dxa"/>
            <w:noWrap w:val="0"/>
            <w:vAlign w:val="center"/>
          </w:tcPr>
          <w:p>
            <w:pPr>
              <w:jc w:val="center"/>
              <w:rPr>
                <w:rFonts w:hint="eastAsia" w:ascii="宋体" w:hAnsi="宋体"/>
                <w:color w:val="000000"/>
                <w:szCs w:val="21"/>
              </w:rPr>
            </w:pPr>
            <w:r>
              <w:rPr>
                <w:rFonts w:hint="eastAsia" w:ascii="宋体" w:hAnsi="宋体"/>
                <w:color w:val="000000"/>
                <w:szCs w:val="21"/>
              </w:rPr>
              <w:t>尾矿库周边山体、排洪、截洪沟及相关环保设备设施维修并据地质变化情况增设。</w:t>
            </w:r>
          </w:p>
        </w:tc>
        <w:tc>
          <w:tcPr>
            <w:tcW w:w="1440" w:type="dxa"/>
            <w:noWrap w:val="0"/>
            <w:vAlign w:val="center"/>
          </w:tcPr>
          <w:p>
            <w:pPr>
              <w:tabs>
                <w:tab w:val="left" w:pos="499"/>
              </w:tabs>
              <w:jc w:val="left"/>
              <w:rPr>
                <w:rFonts w:hint="eastAsia" w:ascii="宋体" w:hAnsi="宋体"/>
                <w:color w:val="000000"/>
                <w:szCs w:val="21"/>
              </w:rPr>
            </w:pPr>
            <w:r>
              <w:rPr>
                <w:rFonts w:hint="eastAsia" w:ascii="宋体" w:hAnsi="宋体"/>
                <w:color w:val="000000"/>
                <w:szCs w:val="21"/>
              </w:rPr>
              <w:t>2020年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10</w:t>
            </w:r>
          </w:p>
        </w:tc>
        <w:tc>
          <w:tcPr>
            <w:tcW w:w="1620" w:type="dxa"/>
            <w:noWrap w:val="0"/>
            <w:vAlign w:val="center"/>
          </w:tcPr>
          <w:p>
            <w:pPr>
              <w:tabs>
                <w:tab w:val="left" w:pos="304"/>
              </w:tabs>
              <w:jc w:val="left"/>
              <w:rPr>
                <w:rFonts w:hint="eastAsia" w:ascii="宋体" w:hAnsi="宋体"/>
                <w:color w:val="000000"/>
                <w:szCs w:val="21"/>
              </w:rPr>
            </w:pPr>
            <w:r>
              <w:rPr>
                <w:rFonts w:hint="eastAsia" w:ascii="宋体" w:hAnsi="宋体"/>
                <w:color w:val="000000"/>
                <w:szCs w:val="21"/>
              </w:rPr>
              <w:t>减少山洪对尾矿库的影响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9" w:hRule="atLeast"/>
        </w:trPr>
        <w:tc>
          <w:tcPr>
            <w:tcW w:w="720" w:type="dxa"/>
            <w:noWrap w:val="0"/>
            <w:vAlign w:val="center"/>
          </w:tcPr>
          <w:p>
            <w:pPr>
              <w:jc w:val="center"/>
              <w:rPr>
                <w:rFonts w:hint="eastAsia" w:ascii="宋体" w:hAnsi="宋体"/>
                <w:color w:val="000000"/>
                <w:szCs w:val="21"/>
              </w:rPr>
            </w:pPr>
            <w:r>
              <w:rPr>
                <w:rFonts w:hint="eastAsia" w:ascii="宋体" w:hAnsi="宋体"/>
                <w:color w:val="000000"/>
                <w:szCs w:val="21"/>
              </w:rPr>
              <w:t>4</w:t>
            </w:r>
          </w:p>
        </w:tc>
        <w:tc>
          <w:tcPr>
            <w:tcW w:w="1800" w:type="dxa"/>
            <w:noWrap w:val="0"/>
            <w:vAlign w:val="center"/>
          </w:tcPr>
          <w:p>
            <w:pPr>
              <w:jc w:val="center"/>
              <w:rPr>
                <w:rFonts w:hint="eastAsia" w:ascii="宋体" w:hAnsi="宋体"/>
                <w:color w:val="000000"/>
                <w:szCs w:val="21"/>
              </w:rPr>
            </w:pPr>
            <w:r>
              <w:rPr>
                <w:rFonts w:hint="eastAsia" w:ascii="宋体" w:hAnsi="宋体"/>
                <w:color w:val="000000"/>
                <w:szCs w:val="21"/>
              </w:rPr>
              <w:t>选矿工艺技术革新</w:t>
            </w:r>
          </w:p>
        </w:tc>
        <w:tc>
          <w:tcPr>
            <w:tcW w:w="3060" w:type="dxa"/>
            <w:noWrap w:val="0"/>
            <w:vAlign w:val="center"/>
          </w:tcPr>
          <w:p>
            <w:pPr>
              <w:jc w:val="center"/>
              <w:rPr>
                <w:rFonts w:hint="eastAsia" w:ascii="宋体" w:hAnsi="宋体"/>
                <w:color w:val="000000"/>
                <w:szCs w:val="21"/>
              </w:rPr>
            </w:pPr>
            <w:r>
              <w:rPr>
                <w:rFonts w:hint="eastAsia" w:ascii="宋体" w:hAnsi="宋体"/>
                <w:color w:val="000000"/>
                <w:szCs w:val="21"/>
              </w:rPr>
              <w:t>根据选矿工艺流程，开展选矿技术革新，提高铅锌精矿回收率，降低尾水、尾渣环境污染率。</w:t>
            </w:r>
          </w:p>
        </w:tc>
        <w:tc>
          <w:tcPr>
            <w:tcW w:w="1440" w:type="dxa"/>
            <w:noWrap w:val="0"/>
            <w:vAlign w:val="center"/>
          </w:tcPr>
          <w:p>
            <w:pPr>
              <w:tabs>
                <w:tab w:val="left" w:pos="593"/>
              </w:tabs>
              <w:jc w:val="left"/>
              <w:rPr>
                <w:rFonts w:hint="eastAsia" w:ascii="宋体" w:hAnsi="宋体"/>
                <w:color w:val="000000"/>
                <w:szCs w:val="21"/>
              </w:rPr>
            </w:pPr>
            <w:r>
              <w:rPr>
                <w:rFonts w:hint="eastAsia" w:ascii="宋体" w:hAnsi="宋体"/>
                <w:color w:val="000000"/>
                <w:szCs w:val="21"/>
              </w:rPr>
              <w:t>2020年</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30</w:t>
            </w:r>
          </w:p>
        </w:tc>
        <w:tc>
          <w:tcPr>
            <w:tcW w:w="1620" w:type="dxa"/>
            <w:noWrap w:val="0"/>
            <w:vAlign w:val="center"/>
          </w:tcPr>
          <w:p>
            <w:pPr>
              <w:jc w:val="center"/>
              <w:rPr>
                <w:rFonts w:hint="eastAsia" w:ascii="宋体" w:hAnsi="宋体"/>
                <w:color w:val="000000"/>
                <w:szCs w:val="21"/>
              </w:rPr>
            </w:pPr>
            <w:r>
              <w:rPr>
                <w:rFonts w:hint="eastAsia" w:ascii="宋体" w:hAnsi="宋体"/>
                <w:color w:val="000000"/>
                <w:szCs w:val="21"/>
              </w:rPr>
              <w:t>提升选矿回收率，减少污染产生量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trHeight w:val="509" w:hRule="atLeast"/>
        </w:trPr>
        <w:tc>
          <w:tcPr>
            <w:tcW w:w="720" w:type="dxa"/>
            <w:noWrap w:val="0"/>
            <w:vAlign w:val="center"/>
          </w:tcPr>
          <w:p>
            <w:pPr>
              <w:jc w:val="center"/>
              <w:rPr>
                <w:rFonts w:hint="eastAsia" w:ascii="宋体" w:hAnsi="宋体"/>
                <w:color w:val="000000"/>
                <w:szCs w:val="21"/>
              </w:rPr>
            </w:pPr>
            <w:r>
              <w:rPr>
                <w:rFonts w:hint="eastAsia" w:ascii="宋体" w:hAnsi="宋体"/>
                <w:color w:val="000000"/>
                <w:szCs w:val="21"/>
              </w:rPr>
              <w:t>5</w:t>
            </w:r>
          </w:p>
        </w:tc>
        <w:tc>
          <w:tcPr>
            <w:tcW w:w="1800" w:type="dxa"/>
            <w:noWrap w:val="0"/>
            <w:vAlign w:val="center"/>
          </w:tcPr>
          <w:p>
            <w:pPr>
              <w:rPr>
                <w:rFonts w:hint="eastAsia" w:ascii="宋体" w:hAnsi="宋体"/>
                <w:color w:val="000000"/>
                <w:szCs w:val="21"/>
              </w:rPr>
            </w:pPr>
            <w:r>
              <w:rPr>
                <w:rFonts w:hint="eastAsia" w:ascii="宋体" w:hAnsi="宋体"/>
                <w:color w:val="000000"/>
                <w:szCs w:val="21"/>
              </w:rPr>
              <w:t>选矿系统供电变压器改造。</w:t>
            </w:r>
          </w:p>
        </w:tc>
        <w:tc>
          <w:tcPr>
            <w:tcW w:w="3060" w:type="dxa"/>
            <w:noWrap w:val="0"/>
            <w:vAlign w:val="center"/>
          </w:tcPr>
          <w:p>
            <w:pPr>
              <w:jc w:val="center"/>
              <w:rPr>
                <w:rFonts w:hint="eastAsia" w:ascii="宋体" w:hAnsi="宋体"/>
                <w:color w:val="000000"/>
                <w:szCs w:val="21"/>
              </w:rPr>
            </w:pPr>
            <w:r>
              <w:rPr>
                <w:rFonts w:hint="eastAsia" w:ascii="宋体" w:hAnsi="宋体"/>
                <w:color w:val="000000"/>
                <w:szCs w:val="21"/>
              </w:rPr>
              <w:t>选矿系统供电变压器为老式，已列入淘汰产品，维修维护困难，更换为800KVA节能变压器，降低电损电耗。</w:t>
            </w:r>
          </w:p>
        </w:tc>
        <w:tc>
          <w:tcPr>
            <w:tcW w:w="1440" w:type="dxa"/>
            <w:noWrap w:val="0"/>
            <w:vAlign w:val="center"/>
          </w:tcPr>
          <w:p>
            <w:pPr>
              <w:ind w:firstLine="406"/>
              <w:jc w:val="left"/>
              <w:rPr>
                <w:rFonts w:hint="eastAsia" w:ascii="宋体" w:hAnsi="宋体"/>
                <w:color w:val="000000"/>
                <w:szCs w:val="21"/>
              </w:rPr>
            </w:pPr>
            <w:r>
              <w:rPr>
                <w:rFonts w:hint="eastAsia" w:ascii="宋体" w:hAnsi="宋体"/>
                <w:color w:val="000000"/>
                <w:szCs w:val="21"/>
              </w:rPr>
              <w:t>2020</w:t>
            </w:r>
          </w:p>
        </w:tc>
        <w:tc>
          <w:tcPr>
            <w:tcW w:w="1080" w:type="dxa"/>
            <w:noWrap w:val="0"/>
            <w:vAlign w:val="center"/>
          </w:tcPr>
          <w:p>
            <w:pPr>
              <w:jc w:val="center"/>
              <w:rPr>
                <w:rFonts w:hint="eastAsia" w:ascii="宋体" w:hAnsi="宋体"/>
                <w:color w:val="000000"/>
                <w:szCs w:val="21"/>
              </w:rPr>
            </w:pPr>
            <w:r>
              <w:rPr>
                <w:rFonts w:hint="eastAsia" w:ascii="宋体" w:hAnsi="宋体"/>
                <w:color w:val="000000"/>
                <w:szCs w:val="21"/>
              </w:rPr>
              <w:t>10</w:t>
            </w:r>
          </w:p>
        </w:tc>
        <w:tc>
          <w:tcPr>
            <w:tcW w:w="1620" w:type="dxa"/>
            <w:noWrap w:val="0"/>
            <w:vAlign w:val="center"/>
          </w:tcPr>
          <w:p>
            <w:pPr>
              <w:jc w:val="center"/>
              <w:rPr>
                <w:rFonts w:hint="eastAsia" w:ascii="宋体" w:hAnsi="宋体"/>
                <w:color w:val="000000"/>
                <w:szCs w:val="21"/>
                <w:highlight w:val="yellow"/>
              </w:rPr>
            </w:pPr>
            <w:r>
              <w:rPr>
                <w:rFonts w:hint="eastAsia" w:ascii="宋体" w:hAnsi="宋体"/>
                <w:color w:val="000000"/>
                <w:szCs w:val="21"/>
              </w:rPr>
              <w:t>节约电能，降低能源消耗</w:t>
            </w:r>
          </w:p>
        </w:tc>
      </w:tr>
    </w:tbl>
    <w:p>
      <w:pPr>
        <w:pStyle w:val="5"/>
        <w:rPr>
          <w:rFonts w:hint="eastAsia"/>
          <w:color w:val="000000"/>
        </w:rPr>
      </w:pPr>
      <w:r>
        <w:rPr>
          <w:rFonts w:hint="eastAsia"/>
          <w:color w:val="000000"/>
        </w:rPr>
        <w:t>7.3.3 总结经验，不断完善清洁生产审核技术</w:t>
      </w:r>
      <w:bookmarkEnd w:id="686"/>
      <w:bookmarkEnd w:id="687"/>
      <w:bookmarkEnd w:id="688"/>
      <w:bookmarkEnd w:id="689"/>
      <w:bookmarkEnd w:id="690"/>
      <w:bookmarkEnd w:id="691"/>
    </w:p>
    <w:p>
      <w:pPr>
        <w:spacing w:line="360" w:lineRule="auto"/>
        <w:ind w:firstLine="480" w:firstLineChars="200"/>
        <w:rPr>
          <w:rFonts w:hint="eastAsia" w:ascii="宋体" w:hAnsi="宋体"/>
          <w:color w:val="000000"/>
          <w:sz w:val="24"/>
        </w:rPr>
      </w:pPr>
      <w:r>
        <w:rPr>
          <w:rFonts w:hint="eastAsia" w:ascii="宋体" w:hAnsi="宋体"/>
          <w:color w:val="000000"/>
          <w:sz w:val="24"/>
        </w:rPr>
        <w:t>本轮清洁生产审核，对公司带来了重大的影响，首先是清洁生产的思路，通过培训和学习清洁生产审核知识，全厂的员工和管理人员对清洁生产审核工作有了一个基本的认识，也初步掌握了开展清洁生产的工作步骤，从实施的无/低费方案和中/高费方案看，有明显的经济效益和环境效益，因而也在员工内部引起反响，使员工在今后的持续清洁生产过程中，对各自工作岗位的工序、各产污环节及时提出修正和更改意见，以提高公司的管理水平，更好地达到节能降耗目的。经过初步总结，主要经验如下：</w:t>
      </w:r>
    </w:p>
    <w:p>
      <w:pPr>
        <w:spacing w:line="360" w:lineRule="auto"/>
        <w:ind w:firstLine="480" w:firstLineChars="200"/>
        <w:rPr>
          <w:rFonts w:hint="eastAsia" w:ascii="宋体" w:hAnsi="宋体"/>
          <w:color w:val="000000"/>
          <w:sz w:val="24"/>
        </w:rPr>
      </w:pPr>
      <w:r>
        <w:rPr>
          <w:rFonts w:hint="eastAsia" w:ascii="宋体" w:hAnsi="宋体"/>
          <w:color w:val="000000"/>
          <w:sz w:val="24"/>
        </w:rPr>
        <w:t>（1）公司主要领导的参与支持是清洁生产审核的组织保障和方案实施资金的保障。</w:t>
      </w:r>
    </w:p>
    <w:p>
      <w:pPr>
        <w:spacing w:line="360" w:lineRule="auto"/>
        <w:ind w:firstLine="480" w:firstLineChars="200"/>
        <w:rPr>
          <w:rFonts w:hint="eastAsia" w:ascii="宋体" w:hAnsi="宋体"/>
          <w:color w:val="000000"/>
          <w:sz w:val="24"/>
        </w:rPr>
      </w:pPr>
      <w:r>
        <w:rPr>
          <w:rFonts w:hint="eastAsia" w:ascii="宋体" w:hAnsi="宋体"/>
          <w:color w:val="000000"/>
          <w:sz w:val="24"/>
        </w:rPr>
        <w:t>（2）公司工艺技术人员和环保技术人员紧密配合，对公司的生产工艺和环保状况进行诊断，发现和解决存在的问题，为提出清洁生产方案提供科学依据。</w:t>
      </w:r>
    </w:p>
    <w:p>
      <w:pPr>
        <w:spacing w:line="360" w:lineRule="auto"/>
        <w:ind w:firstLine="480" w:firstLineChars="200"/>
        <w:rPr>
          <w:rFonts w:hint="eastAsia" w:ascii="宋体" w:hAnsi="宋体"/>
          <w:color w:val="000000"/>
          <w:sz w:val="24"/>
        </w:rPr>
      </w:pPr>
      <w:r>
        <w:rPr>
          <w:rFonts w:hint="eastAsia" w:ascii="宋体" w:hAnsi="宋体"/>
          <w:color w:val="000000"/>
          <w:sz w:val="24"/>
        </w:rPr>
        <w:t>（3）员工的参与度，调动员工参与的积极性，在第一线及时发现问题，从而及时纠正，避免资源浪费和产污排污的进一步扩大。</w:t>
      </w:r>
    </w:p>
    <w:p>
      <w:pPr>
        <w:spacing w:line="360" w:lineRule="auto"/>
        <w:ind w:firstLine="480" w:firstLineChars="200"/>
        <w:rPr>
          <w:rFonts w:hint="eastAsia" w:ascii="宋体" w:hAnsi="宋体"/>
          <w:color w:val="000000"/>
          <w:sz w:val="24"/>
        </w:rPr>
      </w:pPr>
      <w:r>
        <w:rPr>
          <w:rFonts w:hint="eastAsia" w:ascii="宋体" w:hAnsi="宋体"/>
          <w:color w:val="000000"/>
          <w:sz w:val="24"/>
        </w:rPr>
        <w:t>（4）严格按照清洁生产审核的步骤和程序进行审核，工作循序渐进，有条不紊的开展。</w:t>
      </w:r>
    </w:p>
    <w:p>
      <w:pPr>
        <w:pStyle w:val="5"/>
        <w:rPr>
          <w:rFonts w:hint="eastAsia"/>
          <w:color w:val="000000"/>
        </w:rPr>
      </w:pPr>
      <w:bookmarkStart w:id="692" w:name="_Toc296604689"/>
      <w:bookmarkStart w:id="693" w:name="_Toc433986970"/>
      <w:bookmarkStart w:id="694" w:name="_Toc427653825"/>
      <w:bookmarkStart w:id="695" w:name="_Toc23000954"/>
      <w:bookmarkStart w:id="696" w:name="_Toc287918005"/>
      <w:bookmarkStart w:id="697" w:name="_Toc287653907"/>
      <w:r>
        <w:rPr>
          <w:rFonts w:hint="eastAsia"/>
          <w:color w:val="000000"/>
        </w:rPr>
        <w:t>7.3.4 制定企业员工清洁生产培训计划</w:t>
      </w:r>
      <w:bookmarkEnd w:id="692"/>
      <w:bookmarkEnd w:id="693"/>
      <w:bookmarkEnd w:id="694"/>
      <w:bookmarkEnd w:id="695"/>
      <w:bookmarkEnd w:id="696"/>
      <w:bookmarkEnd w:id="697"/>
    </w:p>
    <w:p>
      <w:pPr>
        <w:spacing w:line="360" w:lineRule="auto"/>
        <w:ind w:firstLine="480" w:firstLineChars="200"/>
        <w:rPr>
          <w:rFonts w:hint="eastAsia" w:ascii="宋体" w:hAnsi="宋体"/>
          <w:color w:val="000000"/>
          <w:sz w:val="24"/>
        </w:rPr>
      </w:pPr>
      <w:r>
        <w:rPr>
          <w:rFonts w:hint="eastAsia" w:ascii="宋体" w:hAnsi="宋体"/>
          <w:color w:val="000000"/>
          <w:sz w:val="24"/>
        </w:rPr>
        <w:t>员工清洁生产培训计划，详见表7－5.</w:t>
      </w:r>
    </w:p>
    <w:p>
      <w:pPr>
        <w:widowControl/>
        <w:spacing w:line="360" w:lineRule="auto"/>
        <w:ind w:firstLine="482"/>
        <w:jc w:val="center"/>
        <w:rPr>
          <w:rFonts w:ascii="宋体" w:hAnsi="宋体"/>
          <w:b/>
          <w:color w:val="000000"/>
          <w:kern w:val="0"/>
          <w:sz w:val="24"/>
        </w:rPr>
      </w:pPr>
      <w:bookmarkStart w:id="698" w:name="_Toc287918006"/>
      <w:bookmarkStart w:id="699" w:name="_Toc287653908"/>
      <w:bookmarkStart w:id="700" w:name="_Toc296604690"/>
      <w:bookmarkStart w:id="701" w:name="_Toc433986971"/>
      <w:bookmarkStart w:id="702" w:name="_Toc427653826"/>
      <w:r>
        <w:rPr>
          <w:rFonts w:hint="eastAsia" w:ascii="宋体" w:hAnsi="宋体"/>
          <w:b/>
          <w:color w:val="000000"/>
          <w:kern w:val="0"/>
          <w:sz w:val="24"/>
        </w:rPr>
        <w:t>表7-5持续清洁生产培训计划</w:t>
      </w:r>
    </w:p>
    <w:tbl>
      <w:tblPr>
        <w:tblStyle w:val="35"/>
        <w:tblW w:w="0" w:type="auto"/>
        <w:jc w:val="center"/>
        <w:tblLayout w:type="fixed"/>
        <w:tblCellMar>
          <w:top w:w="0" w:type="dxa"/>
          <w:left w:w="108" w:type="dxa"/>
          <w:bottom w:w="0" w:type="dxa"/>
          <w:right w:w="108" w:type="dxa"/>
        </w:tblCellMar>
      </w:tblPr>
      <w:tblGrid>
        <w:gridCol w:w="1850"/>
        <w:gridCol w:w="1506"/>
        <w:gridCol w:w="4354"/>
        <w:gridCol w:w="1443"/>
      </w:tblGrid>
      <w:tr>
        <w:tblPrEx>
          <w:tblCellMar>
            <w:top w:w="0" w:type="dxa"/>
            <w:left w:w="108" w:type="dxa"/>
            <w:bottom w:w="0" w:type="dxa"/>
            <w:right w:w="108" w:type="dxa"/>
          </w:tblCellMar>
        </w:tblPrEx>
        <w:trPr>
          <w:wBefore w:w="0" w:type="dxa"/>
          <w:wAfter w:w="0" w:type="dxa"/>
          <w:trHeight w:val="541" w:hRule="atLeast"/>
          <w:tblHeader/>
          <w:jc w:val="center"/>
        </w:trPr>
        <w:tc>
          <w:tcPr>
            <w:tcW w:w="1850"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计划</w:t>
            </w:r>
          </w:p>
          <w:p>
            <w:pPr>
              <w:widowControl/>
              <w:jc w:val="center"/>
              <w:rPr>
                <w:rFonts w:hint="eastAsia" w:ascii="宋体" w:hAnsi="宋体"/>
                <w:color w:val="000000"/>
                <w:kern w:val="0"/>
                <w:szCs w:val="21"/>
              </w:rPr>
            </w:pPr>
            <w:r>
              <w:rPr>
                <w:rFonts w:hint="eastAsia" w:ascii="宋体" w:hAnsi="宋体"/>
                <w:color w:val="000000"/>
                <w:kern w:val="0"/>
                <w:szCs w:val="21"/>
              </w:rPr>
              <w:t>时间</w:t>
            </w:r>
          </w:p>
        </w:tc>
        <w:tc>
          <w:tcPr>
            <w:tcW w:w="1506" w:type="dxa"/>
            <w:tcBorders>
              <w:top w:val="single" w:color="000000" w:sz="4" w:space="0"/>
              <w:left w:val="nil"/>
              <w:bottom w:val="single" w:color="000000" w:sz="4" w:space="0"/>
              <w:right w:val="single" w:color="000000" w:sz="4" w:space="0"/>
            </w:tcBorders>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培训对象</w:t>
            </w:r>
          </w:p>
        </w:tc>
        <w:tc>
          <w:tcPr>
            <w:tcW w:w="4354" w:type="dxa"/>
            <w:tcBorders>
              <w:top w:val="single" w:color="000000" w:sz="4" w:space="0"/>
              <w:left w:val="nil"/>
              <w:bottom w:val="single" w:color="000000" w:sz="4" w:space="0"/>
              <w:right w:val="single" w:color="000000" w:sz="4" w:space="0"/>
            </w:tcBorders>
            <w:noWrap w:val="0"/>
            <w:vAlign w:val="center"/>
          </w:tcPr>
          <w:p>
            <w:pPr>
              <w:widowControl/>
              <w:jc w:val="center"/>
              <w:rPr>
                <w:rFonts w:hint="eastAsia" w:ascii="宋体" w:hAnsi="宋体"/>
                <w:color w:val="000000"/>
                <w:kern w:val="0"/>
                <w:szCs w:val="21"/>
              </w:rPr>
            </w:pPr>
            <w:r>
              <w:rPr>
                <w:rFonts w:hint="eastAsia" w:ascii="宋体" w:hAnsi="宋体"/>
                <w:color w:val="000000"/>
                <w:kern w:val="0"/>
                <w:szCs w:val="21"/>
              </w:rPr>
              <w:t>培训内容</w:t>
            </w:r>
          </w:p>
        </w:tc>
        <w:tc>
          <w:tcPr>
            <w:tcW w:w="1443" w:type="dxa"/>
            <w:tcBorders>
              <w:top w:val="single" w:color="000000" w:sz="4" w:space="0"/>
              <w:left w:val="nil"/>
              <w:bottom w:val="single" w:color="000000" w:sz="4" w:space="0"/>
              <w:right w:val="single" w:color="000000" w:sz="4" w:space="0"/>
            </w:tcBorders>
            <w:noWrap w:val="0"/>
            <w:vAlign w:val="center"/>
          </w:tcPr>
          <w:p>
            <w:pPr>
              <w:widowControl/>
              <w:rPr>
                <w:rFonts w:hint="eastAsia" w:ascii="宋体" w:hAnsi="宋体"/>
                <w:color w:val="000000"/>
                <w:kern w:val="0"/>
                <w:szCs w:val="21"/>
              </w:rPr>
            </w:pPr>
            <w:r>
              <w:rPr>
                <w:rFonts w:hint="eastAsia" w:ascii="宋体" w:hAnsi="宋体"/>
                <w:color w:val="000000"/>
                <w:kern w:val="0"/>
                <w:szCs w:val="21"/>
              </w:rPr>
              <w:t>培训负责人</w:t>
            </w:r>
          </w:p>
        </w:tc>
      </w:tr>
      <w:tr>
        <w:tblPrEx>
          <w:tblCellMar>
            <w:top w:w="0" w:type="dxa"/>
            <w:left w:w="108" w:type="dxa"/>
            <w:bottom w:w="0" w:type="dxa"/>
            <w:right w:w="108" w:type="dxa"/>
          </w:tblCellMar>
        </w:tblPrEx>
        <w:trPr>
          <w:wBefore w:w="0" w:type="dxa"/>
          <w:wAfter w:w="0" w:type="dxa"/>
          <w:trHeight w:val="541"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2020年5月中旬</w:t>
            </w:r>
          </w:p>
        </w:tc>
        <w:tc>
          <w:tcPr>
            <w:tcW w:w="1506" w:type="dxa"/>
            <w:tcBorders>
              <w:top w:val="single" w:color="000000" w:sz="4" w:space="0"/>
              <w:left w:val="nil"/>
              <w:bottom w:val="single" w:color="000000" w:sz="4" w:space="0"/>
              <w:right w:val="single" w:color="000000" w:sz="4" w:space="0"/>
            </w:tcBorders>
            <w:noWrap w:val="0"/>
            <w:vAlign w:val="top"/>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中高层管理人员</w:t>
            </w:r>
          </w:p>
        </w:tc>
        <w:tc>
          <w:tcPr>
            <w:tcW w:w="4354" w:type="dxa"/>
            <w:tcBorders>
              <w:top w:val="single" w:color="000000" w:sz="4" w:space="0"/>
              <w:left w:val="nil"/>
              <w:bottom w:val="single" w:color="000000" w:sz="4" w:space="0"/>
              <w:right w:val="single" w:color="000000" w:sz="4" w:space="0"/>
            </w:tcBorders>
            <w:noWrap w:val="0"/>
            <w:vAlign w:val="top"/>
          </w:tcPr>
          <w:p>
            <w:pPr>
              <w:widowControl/>
              <w:spacing w:line="360" w:lineRule="exact"/>
              <w:ind w:left="84" w:hanging="84" w:hangingChars="40"/>
              <w:rPr>
                <w:rFonts w:hint="eastAsia" w:ascii="宋体" w:hAnsi="宋体"/>
                <w:color w:val="000000"/>
                <w:kern w:val="0"/>
                <w:szCs w:val="21"/>
              </w:rPr>
            </w:pPr>
            <w:r>
              <w:rPr>
                <w:rFonts w:hint="eastAsia" w:ascii="宋体" w:hAnsi="宋体"/>
                <w:color w:val="000000"/>
                <w:kern w:val="0"/>
                <w:szCs w:val="21"/>
              </w:rPr>
              <w:t>1、清洁生政策法规</w:t>
            </w:r>
          </w:p>
          <w:p>
            <w:pPr>
              <w:widowControl/>
              <w:spacing w:line="360" w:lineRule="exact"/>
              <w:ind w:left="84" w:hanging="84" w:hangingChars="40"/>
              <w:rPr>
                <w:rFonts w:hint="eastAsia" w:ascii="宋体" w:hAnsi="宋体"/>
                <w:color w:val="000000"/>
                <w:kern w:val="0"/>
                <w:szCs w:val="21"/>
              </w:rPr>
            </w:pPr>
            <w:r>
              <w:rPr>
                <w:rFonts w:hint="eastAsia" w:ascii="宋体" w:hAnsi="宋体"/>
                <w:color w:val="000000"/>
                <w:kern w:val="0"/>
                <w:szCs w:val="21"/>
              </w:rPr>
              <w:t>2、清洁生产审核程序</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公司领导</w:t>
            </w:r>
          </w:p>
        </w:tc>
      </w:tr>
      <w:tr>
        <w:tblPrEx>
          <w:tblCellMar>
            <w:top w:w="0" w:type="dxa"/>
            <w:left w:w="108" w:type="dxa"/>
            <w:bottom w:w="0" w:type="dxa"/>
            <w:right w:w="108" w:type="dxa"/>
          </w:tblCellMar>
        </w:tblPrEx>
        <w:trPr>
          <w:wBefore w:w="0" w:type="dxa"/>
          <w:wAfter w:w="0" w:type="dxa"/>
          <w:trHeight w:val="1073"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2020年3月上旬</w:t>
            </w:r>
          </w:p>
        </w:tc>
        <w:tc>
          <w:tcPr>
            <w:tcW w:w="1506" w:type="dxa"/>
            <w:tcBorders>
              <w:top w:val="single" w:color="000000" w:sz="4" w:space="0"/>
              <w:left w:val="nil"/>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生产部管理人员、各工段主任及工段管理人员</w:t>
            </w:r>
          </w:p>
        </w:tc>
        <w:tc>
          <w:tcPr>
            <w:tcW w:w="4354" w:type="dxa"/>
            <w:tcBorders>
              <w:top w:val="single" w:color="000000" w:sz="4" w:space="0"/>
              <w:left w:val="nil"/>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1、学习本轮清洁生产审核过程，通报本轮清洁生产审核结果</w:t>
            </w:r>
          </w:p>
          <w:p>
            <w:pPr>
              <w:widowControl/>
              <w:spacing w:line="360" w:lineRule="exact"/>
              <w:rPr>
                <w:rFonts w:hint="eastAsia" w:ascii="宋体" w:hAnsi="宋体"/>
                <w:color w:val="000000"/>
                <w:kern w:val="0"/>
                <w:szCs w:val="21"/>
              </w:rPr>
            </w:pPr>
            <w:r>
              <w:rPr>
                <w:rFonts w:hint="eastAsia" w:ascii="宋体" w:hAnsi="宋体"/>
                <w:color w:val="000000"/>
                <w:kern w:val="0"/>
                <w:szCs w:val="21"/>
              </w:rPr>
              <w:t>2、清洁生产政策法规</w:t>
            </w:r>
          </w:p>
          <w:p>
            <w:pPr>
              <w:widowControl/>
              <w:spacing w:line="360" w:lineRule="exact"/>
              <w:rPr>
                <w:rFonts w:hint="eastAsia" w:ascii="宋体" w:hAnsi="宋体"/>
                <w:color w:val="000000"/>
                <w:kern w:val="0"/>
                <w:szCs w:val="21"/>
              </w:rPr>
            </w:pPr>
            <w:r>
              <w:rPr>
                <w:rFonts w:hint="eastAsia" w:ascii="宋体" w:hAnsi="宋体"/>
                <w:color w:val="000000"/>
                <w:kern w:val="0"/>
                <w:szCs w:val="21"/>
              </w:rPr>
              <w:t>3、清洁生产审核操作实务</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公司领导</w:t>
            </w:r>
          </w:p>
        </w:tc>
      </w:tr>
      <w:tr>
        <w:tblPrEx>
          <w:tblCellMar>
            <w:top w:w="0" w:type="dxa"/>
            <w:left w:w="108" w:type="dxa"/>
            <w:bottom w:w="0" w:type="dxa"/>
            <w:right w:w="108" w:type="dxa"/>
          </w:tblCellMar>
        </w:tblPrEx>
        <w:trPr>
          <w:wBefore w:w="0" w:type="dxa"/>
          <w:wAfter w:w="0" w:type="dxa"/>
          <w:trHeight w:val="807"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2021年6月上旬</w:t>
            </w:r>
          </w:p>
        </w:tc>
        <w:tc>
          <w:tcPr>
            <w:tcW w:w="1506" w:type="dxa"/>
            <w:tcBorders>
              <w:top w:val="single" w:color="000000" w:sz="4" w:space="0"/>
              <w:left w:val="nil"/>
              <w:bottom w:val="single" w:color="000000" w:sz="4" w:space="0"/>
              <w:right w:val="single" w:color="000000" w:sz="4" w:space="0"/>
            </w:tcBorders>
            <w:noWrap w:val="0"/>
            <w:vAlign w:val="center"/>
          </w:tcPr>
          <w:p>
            <w:pPr>
              <w:widowControl/>
              <w:spacing w:line="360" w:lineRule="exact"/>
              <w:jc w:val="center"/>
              <w:rPr>
                <w:rFonts w:hint="eastAsia" w:ascii="宋体" w:hAnsi="宋体"/>
                <w:color w:val="000000"/>
                <w:kern w:val="0"/>
                <w:szCs w:val="21"/>
              </w:rPr>
            </w:pPr>
            <w:r>
              <w:rPr>
                <w:rFonts w:hint="eastAsia" w:ascii="宋体" w:hAnsi="宋体"/>
                <w:color w:val="000000"/>
                <w:kern w:val="0"/>
                <w:szCs w:val="21"/>
              </w:rPr>
              <w:t>工段员工</w:t>
            </w:r>
          </w:p>
        </w:tc>
        <w:tc>
          <w:tcPr>
            <w:tcW w:w="4354" w:type="dxa"/>
            <w:tcBorders>
              <w:top w:val="single" w:color="000000" w:sz="4" w:space="0"/>
              <w:left w:val="nil"/>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1、学习清洁生产审核相关知识</w:t>
            </w:r>
          </w:p>
          <w:p>
            <w:pPr>
              <w:widowControl/>
              <w:spacing w:line="360" w:lineRule="exact"/>
              <w:rPr>
                <w:rFonts w:hint="eastAsia" w:ascii="宋体" w:hAnsi="宋体"/>
                <w:color w:val="000000"/>
                <w:kern w:val="0"/>
                <w:szCs w:val="21"/>
              </w:rPr>
            </w:pPr>
            <w:r>
              <w:rPr>
                <w:rFonts w:hint="eastAsia" w:ascii="宋体" w:hAnsi="宋体"/>
                <w:color w:val="000000"/>
                <w:kern w:val="0"/>
                <w:szCs w:val="21"/>
              </w:rPr>
              <w:t>2、工艺及技术培训</w:t>
            </w:r>
          </w:p>
          <w:p>
            <w:pPr>
              <w:widowControl/>
              <w:spacing w:line="360" w:lineRule="exact"/>
              <w:rPr>
                <w:rFonts w:hint="eastAsia" w:ascii="宋体" w:hAnsi="宋体"/>
                <w:color w:val="000000"/>
                <w:kern w:val="0"/>
                <w:szCs w:val="21"/>
              </w:rPr>
            </w:pPr>
            <w:r>
              <w:rPr>
                <w:rFonts w:hint="eastAsia" w:ascii="宋体" w:hAnsi="宋体"/>
                <w:color w:val="000000"/>
                <w:kern w:val="0"/>
                <w:szCs w:val="21"/>
              </w:rPr>
              <w:t>3、清洁生产培训资料的集中学习</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各工段主任</w:t>
            </w:r>
          </w:p>
        </w:tc>
      </w:tr>
      <w:tr>
        <w:tblPrEx>
          <w:tblCellMar>
            <w:top w:w="0" w:type="dxa"/>
            <w:left w:w="108" w:type="dxa"/>
            <w:bottom w:w="0" w:type="dxa"/>
            <w:right w:w="108" w:type="dxa"/>
          </w:tblCellMar>
        </w:tblPrEx>
        <w:trPr>
          <w:wBefore w:w="0" w:type="dxa"/>
          <w:wAfter w:w="0" w:type="dxa"/>
          <w:trHeight w:val="663" w:hRule="atLeast"/>
          <w:jc w:val="center"/>
        </w:trPr>
        <w:tc>
          <w:tcPr>
            <w:tcW w:w="1850" w:type="dxa"/>
            <w:tcBorders>
              <w:top w:val="single" w:color="000000" w:sz="4" w:space="0"/>
              <w:left w:val="single" w:color="000000" w:sz="4" w:space="0"/>
              <w:bottom w:val="single" w:color="000000" w:sz="4" w:space="0"/>
              <w:right w:val="single" w:color="000000" w:sz="4" w:space="0"/>
            </w:tcBorders>
            <w:noWrap w:val="0"/>
            <w:vAlign w:val="top"/>
          </w:tcPr>
          <w:p>
            <w:pPr>
              <w:widowControl/>
              <w:spacing w:line="360" w:lineRule="exact"/>
              <w:rPr>
                <w:rFonts w:hint="eastAsia" w:ascii="宋体" w:hAnsi="宋体"/>
                <w:color w:val="000000"/>
                <w:kern w:val="0"/>
                <w:szCs w:val="21"/>
              </w:rPr>
            </w:pPr>
            <w:r>
              <w:rPr>
                <w:rFonts w:hint="eastAsia" w:ascii="宋体" w:hAnsi="宋体"/>
                <w:color w:val="000000"/>
                <w:kern w:val="0"/>
                <w:szCs w:val="21"/>
              </w:rPr>
              <w:t>2021年8月至12月每两月一次</w:t>
            </w:r>
          </w:p>
        </w:tc>
        <w:tc>
          <w:tcPr>
            <w:tcW w:w="1506"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各员工</w:t>
            </w:r>
          </w:p>
        </w:tc>
        <w:tc>
          <w:tcPr>
            <w:tcW w:w="4354" w:type="dxa"/>
            <w:tcBorders>
              <w:top w:val="single" w:color="000000" w:sz="4" w:space="0"/>
              <w:left w:val="nil"/>
              <w:bottom w:val="single" w:color="000000" w:sz="4" w:space="0"/>
              <w:right w:val="single" w:color="000000" w:sz="4" w:space="0"/>
            </w:tcBorders>
            <w:noWrap w:val="0"/>
            <w:vAlign w:val="center"/>
          </w:tcPr>
          <w:p>
            <w:pPr>
              <w:widowControl/>
              <w:spacing w:line="360" w:lineRule="exact"/>
              <w:ind w:firstLine="105" w:firstLineChars="50"/>
              <w:rPr>
                <w:rFonts w:hint="eastAsia" w:ascii="宋体" w:hAnsi="宋体"/>
                <w:color w:val="000000"/>
                <w:kern w:val="0"/>
                <w:szCs w:val="21"/>
              </w:rPr>
            </w:pPr>
            <w:r>
              <w:rPr>
                <w:rFonts w:hint="eastAsia" w:ascii="宋体" w:hAnsi="宋体"/>
                <w:color w:val="000000"/>
                <w:kern w:val="0"/>
                <w:szCs w:val="21"/>
              </w:rPr>
              <w:t>清洁生产挖潜会议及阶段性总结</w:t>
            </w:r>
          </w:p>
        </w:tc>
        <w:tc>
          <w:tcPr>
            <w:tcW w:w="1443" w:type="dxa"/>
            <w:tcBorders>
              <w:top w:val="single" w:color="000000" w:sz="4" w:space="0"/>
              <w:left w:val="nil"/>
              <w:bottom w:val="single" w:color="000000" w:sz="4" w:space="0"/>
              <w:right w:val="single" w:color="000000" w:sz="4" w:space="0"/>
            </w:tcBorders>
            <w:noWrap w:val="0"/>
            <w:vAlign w:val="center"/>
          </w:tcPr>
          <w:p>
            <w:pPr>
              <w:widowControl/>
              <w:spacing w:line="360" w:lineRule="exact"/>
              <w:rPr>
                <w:rFonts w:hint="eastAsia" w:ascii="宋体" w:hAnsi="宋体"/>
                <w:color w:val="000000"/>
                <w:kern w:val="0"/>
                <w:szCs w:val="21"/>
              </w:rPr>
            </w:pPr>
            <w:r>
              <w:rPr>
                <w:rFonts w:hint="eastAsia" w:ascii="宋体" w:hAnsi="宋体"/>
                <w:color w:val="000000"/>
                <w:kern w:val="0"/>
                <w:szCs w:val="21"/>
              </w:rPr>
              <w:t>各工段主任</w:t>
            </w:r>
          </w:p>
        </w:tc>
      </w:tr>
    </w:tbl>
    <w:p>
      <w:pPr>
        <w:pStyle w:val="5"/>
        <w:rPr>
          <w:rFonts w:hint="eastAsia"/>
          <w:color w:val="000000"/>
        </w:rPr>
      </w:pPr>
      <w:bookmarkStart w:id="703" w:name="_Toc23000955"/>
      <w:r>
        <w:rPr>
          <w:rFonts w:hint="eastAsia"/>
          <w:color w:val="000000"/>
        </w:rPr>
        <w:t>7.3.5 下一轮清洁生产审核重点及目标</w:t>
      </w:r>
      <w:bookmarkEnd w:id="698"/>
      <w:bookmarkEnd w:id="699"/>
      <w:bookmarkEnd w:id="700"/>
      <w:bookmarkEnd w:id="701"/>
      <w:bookmarkEnd w:id="702"/>
      <w:bookmarkEnd w:id="703"/>
    </w:p>
    <w:bookmarkEnd w:id="672"/>
    <w:bookmarkEnd w:id="673"/>
    <w:bookmarkEnd w:id="674"/>
    <w:bookmarkEnd w:id="675"/>
    <w:bookmarkEnd w:id="676"/>
    <w:bookmarkEnd w:id="677"/>
    <w:bookmarkEnd w:id="678"/>
    <w:bookmarkEnd w:id="679"/>
    <w:bookmarkEnd w:id="680"/>
    <w:bookmarkEnd w:id="681"/>
    <w:p>
      <w:pPr>
        <w:pStyle w:val="8"/>
        <w:tabs>
          <w:tab w:val="left" w:pos="0"/>
        </w:tabs>
        <w:spacing w:line="360" w:lineRule="auto"/>
        <w:ind w:firstLine="482"/>
        <w:jc w:val="left"/>
        <w:rPr>
          <w:rFonts w:hint="eastAsia" w:ascii="宋体" w:hAnsi="宋体"/>
          <w:color w:val="000000"/>
          <w:sz w:val="24"/>
        </w:rPr>
      </w:pPr>
      <w:r>
        <w:rPr>
          <w:rFonts w:hint="eastAsia" w:ascii="宋体" w:hAnsi="宋体"/>
          <w:color w:val="000000"/>
          <w:sz w:val="24"/>
        </w:rPr>
        <w:t>下一轮清洁生产审核重点是原料破碎车间、和选矿车间，主要目标是进一步优化和改进生产工艺，提升金属元素回收率。同时，优化用电系统，降低电耗，加强对机械设备的管理和维护，提高设备运行效率。</w: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pStyle w:val="3"/>
        <w:spacing w:before="0" w:after="0"/>
        <w:jc w:val="center"/>
        <w:rPr>
          <w:rFonts w:hint="eastAsia" w:ascii="宋体" w:hAnsi="宋体"/>
          <w:color w:val="000000"/>
        </w:rPr>
      </w:pPr>
      <w:bookmarkStart w:id="704" w:name="_Toc295832090"/>
      <w:bookmarkStart w:id="705" w:name="_Toc296091998"/>
      <w:bookmarkStart w:id="706" w:name="_Toc296604691"/>
      <w:bookmarkStart w:id="707" w:name="_Toc367782282"/>
      <w:bookmarkStart w:id="708" w:name="_Toc422252566"/>
      <w:bookmarkStart w:id="709" w:name="_Toc23000956"/>
      <w:r>
        <w:rPr>
          <w:rFonts w:hint="eastAsia" w:ascii="宋体" w:hAnsi="宋体"/>
          <w:color w:val="000000"/>
        </w:rPr>
        <w:t>结  论</w:t>
      </w:r>
      <w:bookmarkEnd w:id="704"/>
      <w:bookmarkEnd w:id="705"/>
      <w:bookmarkEnd w:id="706"/>
      <w:bookmarkEnd w:id="707"/>
      <w:bookmarkEnd w:id="708"/>
      <w:bookmarkEnd w:id="709"/>
    </w:p>
    <w:p>
      <w:pPr>
        <w:pStyle w:val="17"/>
        <w:widowControl/>
        <w:tabs>
          <w:tab w:val="left" w:pos="0"/>
        </w:tabs>
        <w:spacing w:line="360" w:lineRule="auto"/>
        <w:ind w:left="18" w:firstLine="463" w:firstLineChars="193"/>
        <w:jc w:val="left"/>
        <w:rPr>
          <w:rFonts w:hAnsi="宋体"/>
          <w:color w:val="000000"/>
          <w:sz w:val="24"/>
        </w:rPr>
      </w:pPr>
      <w:r>
        <w:rPr>
          <w:rFonts w:hint="eastAsia" w:hAnsi="宋体"/>
          <w:color w:val="000000"/>
          <w:sz w:val="24"/>
        </w:rPr>
        <w:t>本轮清洁生</w:t>
      </w:r>
      <w:r>
        <w:rPr>
          <w:rFonts w:hAnsi="宋体"/>
          <w:color w:val="000000"/>
          <w:sz w:val="24"/>
        </w:rPr>
        <w:t>产经过7个阶段35个步骤的审核后，公司清洁水平的不断提升，取得了可喜的成果。</w:t>
      </w:r>
    </w:p>
    <w:p>
      <w:pPr>
        <w:pStyle w:val="5"/>
        <w:spacing w:before="120" w:beforeLines="50" w:after="120" w:afterLines="50" w:line="360" w:lineRule="auto"/>
        <w:jc w:val="left"/>
        <w:rPr>
          <w:rFonts w:hint="eastAsia" w:ascii="宋体" w:hAnsi="宋体"/>
          <w:bCs w:val="0"/>
          <w:color w:val="000000"/>
          <w:sz w:val="28"/>
          <w:szCs w:val="28"/>
        </w:rPr>
      </w:pPr>
      <w:bookmarkStart w:id="710" w:name="_Toc295832091"/>
      <w:bookmarkStart w:id="711" w:name="_Toc296091999"/>
      <w:bookmarkStart w:id="712" w:name="_Toc296604692"/>
      <w:bookmarkStart w:id="713" w:name="_Toc367782283"/>
      <w:bookmarkStart w:id="714" w:name="_Toc422252567"/>
      <w:bookmarkStart w:id="715" w:name="_Toc23000957"/>
      <w:r>
        <w:rPr>
          <w:rFonts w:hint="eastAsia" w:ascii="宋体" w:hAnsi="宋体"/>
          <w:bCs w:val="0"/>
          <w:color w:val="000000"/>
          <w:sz w:val="28"/>
          <w:szCs w:val="28"/>
        </w:rPr>
        <w:t>1、企业清洁生产水平</w:t>
      </w:r>
      <w:bookmarkEnd w:id="710"/>
      <w:bookmarkEnd w:id="711"/>
      <w:bookmarkEnd w:id="712"/>
      <w:bookmarkEnd w:id="713"/>
      <w:bookmarkEnd w:id="714"/>
      <w:bookmarkEnd w:id="715"/>
    </w:p>
    <w:p>
      <w:pPr>
        <w:pStyle w:val="17"/>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清洁生产水平不断提升，在资源能源利用及污染物排放方面，取得的效果明显，生产过程的环境管理水平提高。</w:t>
      </w:r>
    </w:p>
    <w:p>
      <w:pPr>
        <w:pStyle w:val="5"/>
        <w:spacing w:before="120" w:beforeLines="50" w:after="120" w:afterLines="50" w:line="360" w:lineRule="auto"/>
        <w:rPr>
          <w:rFonts w:hint="eastAsia" w:ascii="宋体" w:hAnsi="宋体"/>
          <w:bCs w:val="0"/>
          <w:color w:val="000000"/>
          <w:sz w:val="28"/>
          <w:szCs w:val="28"/>
        </w:rPr>
      </w:pPr>
      <w:bookmarkStart w:id="716" w:name="_Toc295832092"/>
      <w:bookmarkStart w:id="717" w:name="_Toc296092000"/>
      <w:bookmarkStart w:id="718" w:name="_Toc296604693"/>
      <w:bookmarkStart w:id="719" w:name="_Toc367782284"/>
      <w:bookmarkStart w:id="720" w:name="_Toc422252568"/>
      <w:bookmarkStart w:id="721" w:name="_Toc23000958"/>
      <w:r>
        <w:rPr>
          <w:rFonts w:hint="eastAsia" w:ascii="宋体" w:hAnsi="宋体"/>
          <w:bCs w:val="0"/>
          <w:color w:val="000000"/>
          <w:sz w:val="28"/>
          <w:szCs w:val="28"/>
        </w:rPr>
        <w:t>2、企业产污、排污现状所处水平及其真实性、合理性评价</w:t>
      </w:r>
      <w:bookmarkEnd w:id="716"/>
      <w:bookmarkEnd w:id="717"/>
      <w:bookmarkEnd w:id="718"/>
      <w:bookmarkEnd w:id="719"/>
      <w:bookmarkEnd w:id="720"/>
      <w:bookmarkEnd w:id="721"/>
    </w:p>
    <w:p>
      <w:pPr>
        <w:pStyle w:val="17"/>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通过清洁生产审核和方案实施，经过环保部门检测，公司污染物达标排放。</w:t>
      </w:r>
    </w:p>
    <w:p>
      <w:pPr>
        <w:pStyle w:val="5"/>
        <w:spacing w:before="120" w:beforeLines="50" w:after="120" w:afterLines="50" w:line="360" w:lineRule="auto"/>
        <w:rPr>
          <w:rFonts w:hint="eastAsia" w:ascii="宋体" w:hAnsi="宋体"/>
          <w:bCs w:val="0"/>
          <w:color w:val="000000"/>
          <w:sz w:val="28"/>
          <w:szCs w:val="28"/>
        </w:rPr>
      </w:pPr>
      <w:bookmarkStart w:id="722" w:name="_Toc295832093"/>
      <w:bookmarkStart w:id="723" w:name="_Toc296092001"/>
      <w:bookmarkStart w:id="724" w:name="_Toc296604694"/>
      <w:bookmarkStart w:id="725" w:name="_Toc367782285"/>
      <w:bookmarkStart w:id="726" w:name="_Toc422252569"/>
      <w:bookmarkStart w:id="727" w:name="_Toc23000959"/>
      <w:r>
        <w:rPr>
          <w:rFonts w:hint="eastAsia" w:ascii="宋体" w:hAnsi="宋体"/>
          <w:bCs w:val="0"/>
          <w:color w:val="000000"/>
          <w:sz w:val="28"/>
          <w:szCs w:val="28"/>
        </w:rPr>
        <w:t>3、清洁生产审核目标的完成情况</w:t>
      </w:r>
      <w:bookmarkEnd w:id="722"/>
      <w:bookmarkEnd w:id="723"/>
      <w:bookmarkEnd w:id="724"/>
      <w:bookmarkEnd w:id="725"/>
      <w:bookmarkEnd w:id="726"/>
      <w:bookmarkEnd w:id="727"/>
    </w:p>
    <w:p>
      <w:pPr>
        <w:pStyle w:val="17"/>
        <w:widowControl/>
        <w:tabs>
          <w:tab w:val="left" w:pos="0"/>
        </w:tabs>
        <w:spacing w:line="360" w:lineRule="auto"/>
        <w:ind w:left="18" w:firstLine="463" w:firstLineChars="193"/>
        <w:jc w:val="left"/>
        <w:rPr>
          <w:rFonts w:hint="eastAsia" w:hAnsi="宋体"/>
          <w:color w:val="000000"/>
          <w:sz w:val="24"/>
          <w:szCs w:val="24"/>
        </w:rPr>
      </w:pPr>
      <w:r>
        <w:rPr>
          <w:rFonts w:hint="eastAsia" w:hAnsi="宋体"/>
          <w:color w:val="000000"/>
          <w:sz w:val="24"/>
          <w:szCs w:val="24"/>
        </w:rPr>
        <w:t>所设置的提高工业用水重复利用率预期的清洁生产目标。</w:t>
      </w:r>
    </w:p>
    <w:p>
      <w:pPr>
        <w:pStyle w:val="5"/>
        <w:spacing w:before="120" w:beforeLines="50" w:after="120" w:afterLines="50" w:line="360" w:lineRule="auto"/>
        <w:rPr>
          <w:rFonts w:hint="eastAsia" w:ascii="宋体" w:hAnsi="宋体"/>
          <w:bCs w:val="0"/>
          <w:color w:val="000000"/>
          <w:sz w:val="28"/>
          <w:szCs w:val="28"/>
        </w:rPr>
      </w:pPr>
      <w:bookmarkStart w:id="728" w:name="_Toc295832094"/>
      <w:bookmarkStart w:id="729" w:name="_Toc296092002"/>
      <w:bookmarkStart w:id="730" w:name="_Toc296604695"/>
      <w:bookmarkStart w:id="731" w:name="_Toc367782286"/>
      <w:bookmarkStart w:id="732" w:name="_Toc422252570"/>
      <w:bookmarkStart w:id="733" w:name="_Toc23000960"/>
      <w:r>
        <w:rPr>
          <w:rFonts w:hint="eastAsia" w:ascii="宋体" w:hAnsi="宋体"/>
          <w:bCs w:val="0"/>
          <w:color w:val="000000"/>
          <w:sz w:val="28"/>
          <w:szCs w:val="28"/>
        </w:rPr>
        <w:t>4、清洁生产方案成果总结</w:t>
      </w:r>
      <w:bookmarkEnd w:id="728"/>
      <w:bookmarkEnd w:id="729"/>
      <w:bookmarkEnd w:id="730"/>
      <w:bookmarkEnd w:id="731"/>
      <w:bookmarkEnd w:id="732"/>
      <w:bookmarkEnd w:id="733"/>
    </w:p>
    <w:p>
      <w:pPr>
        <w:spacing w:line="360" w:lineRule="auto"/>
        <w:ind w:firstLine="480" w:firstLineChars="200"/>
        <w:rPr>
          <w:rFonts w:hint="eastAsia" w:ascii="宋体" w:hAnsi="宋体" w:cs="宋体"/>
          <w:color w:val="000000"/>
          <w:sz w:val="24"/>
          <w:szCs w:val="24"/>
        </w:rPr>
      </w:pPr>
      <w:bookmarkStart w:id="734" w:name="_Toc295832096"/>
      <w:bookmarkStart w:id="735" w:name="_Toc296092003"/>
      <w:bookmarkStart w:id="736" w:name="_Toc422252571"/>
      <w:r>
        <w:rPr>
          <w:rFonts w:hint="eastAsia" w:ascii="宋体" w:hAnsi="宋体" w:cs="宋体"/>
          <w:color w:val="000000"/>
          <w:sz w:val="24"/>
          <w:szCs w:val="24"/>
        </w:rPr>
        <w:t>清洁生产审核共实施29个方案，其中无/低费方案27个，中/高费方2个。无/低费方案投入资金</w:t>
      </w:r>
      <w:r>
        <w:rPr>
          <w:rFonts w:hint="eastAsia" w:ascii="宋体" w:hAnsi="宋体"/>
          <w:color w:val="000000"/>
          <w:sz w:val="24"/>
          <w:szCs w:val="24"/>
        </w:rPr>
        <w:t>23．884</w:t>
      </w:r>
      <w:r>
        <w:rPr>
          <w:rFonts w:hint="eastAsia" w:ascii="宋体" w:hAnsi="宋体" w:cs="宋体"/>
          <w:color w:val="000000"/>
          <w:sz w:val="24"/>
          <w:szCs w:val="24"/>
        </w:rPr>
        <w:t>万元，实现经济效益</w:t>
      </w:r>
      <w:r>
        <w:rPr>
          <w:rFonts w:hint="eastAsia" w:ascii="宋体" w:hAnsi="宋体"/>
          <w:color w:val="000000"/>
          <w:sz w:val="24"/>
          <w:szCs w:val="24"/>
        </w:rPr>
        <w:t>8．69</w:t>
      </w:r>
      <w:r>
        <w:rPr>
          <w:rFonts w:hint="eastAsia" w:ascii="宋体" w:hAnsi="宋体" w:cs="宋体"/>
          <w:color w:val="000000"/>
          <w:sz w:val="24"/>
          <w:szCs w:val="24"/>
        </w:rPr>
        <w:t>万元/年；中/高费方案投入资金</w:t>
      </w:r>
      <w:r>
        <w:rPr>
          <w:rFonts w:hint="eastAsia" w:ascii="宋体" w:hAnsi="宋体"/>
          <w:color w:val="000000"/>
          <w:sz w:val="24"/>
          <w:szCs w:val="24"/>
        </w:rPr>
        <w:t>91.85</w:t>
      </w:r>
      <w:r>
        <w:rPr>
          <w:rFonts w:hint="eastAsia" w:ascii="宋体" w:hAnsi="宋体" w:cs="宋体"/>
          <w:color w:val="000000"/>
          <w:sz w:val="24"/>
          <w:szCs w:val="24"/>
        </w:rPr>
        <w:t>万元，实现经济效益</w:t>
      </w:r>
      <w:r>
        <w:rPr>
          <w:rFonts w:hint="eastAsia" w:ascii="宋体" w:hAnsi="宋体"/>
          <w:color w:val="000000"/>
          <w:sz w:val="24"/>
          <w:szCs w:val="24"/>
        </w:rPr>
        <w:t>23</w:t>
      </w:r>
      <w:r>
        <w:rPr>
          <w:rFonts w:hint="eastAsia" w:ascii="宋体" w:hAnsi="宋体" w:cs="宋体"/>
          <w:color w:val="000000"/>
          <w:sz w:val="24"/>
          <w:szCs w:val="24"/>
        </w:rPr>
        <w:t>万元/年，合计投资115.73万元,取得经济效益</w:t>
      </w:r>
      <w:r>
        <w:rPr>
          <w:rFonts w:hint="eastAsia" w:ascii="宋体" w:hAnsi="宋体"/>
          <w:color w:val="000000"/>
          <w:sz w:val="24"/>
          <w:szCs w:val="24"/>
        </w:rPr>
        <w:t>31.69</w:t>
      </w:r>
      <w:r>
        <w:rPr>
          <w:rFonts w:hint="eastAsia" w:ascii="宋体" w:hAnsi="宋体" w:cs="宋体"/>
          <w:color w:val="000000"/>
          <w:sz w:val="24"/>
          <w:szCs w:val="24"/>
        </w:rPr>
        <w:t>万元/年。同时节电2800千瓦时/年，</w:t>
      </w:r>
      <w:r>
        <w:rPr>
          <w:rFonts w:hint="eastAsia" w:ascii="宋体" w:hAnsi="宋体"/>
          <w:color w:val="000000"/>
          <w:sz w:val="24"/>
          <w:szCs w:val="24"/>
        </w:rPr>
        <w:t>节水13279立方米/年</w:t>
      </w:r>
      <w:r>
        <w:rPr>
          <w:rFonts w:hint="eastAsia" w:ascii="宋体" w:hAnsi="宋体" w:cs="宋体"/>
          <w:color w:val="000000"/>
          <w:sz w:val="24"/>
          <w:szCs w:val="24"/>
        </w:rPr>
        <w:t>。</w:t>
      </w:r>
    </w:p>
    <w:p>
      <w:pPr>
        <w:spacing w:line="360" w:lineRule="auto"/>
        <w:ind w:firstLine="480" w:firstLineChars="200"/>
        <w:rPr>
          <w:rFonts w:hint="eastAsia" w:ascii="宋体" w:hAnsi="宋体"/>
          <w:color w:val="000000"/>
          <w:sz w:val="24"/>
          <w:szCs w:val="24"/>
        </w:rPr>
      </w:pPr>
      <w:r>
        <w:rPr>
          <w:rFonts w:hint="eastAsia" w:ascii="宋体" w:hAnsi="宋体"/>
          <w:color w:val="000000"/>
          <w:sz w:val="24"/>
          <w:szCs w:val="24"/>
        </w:rPr>
        <w:t>清洁生产审核后，</w:t>
      </w:r>
      <w:r>
        <w:rPr>
          <w:rFonts w:hint="eastAsia" w:ascii="宋体" w:hAnsi="宋体"/>
          <w:color w:val="000000"/>
          <w:sz w:val="24"/>
        </w:rPr>
        <w:t>我们将公司各项指标与国家发展和改革委员会、环境保护部、工业和信息化部颁布的《铅锌采选行业清洁生产评价指标体系》进行对比，公司</w:t>
      </w:r>
      <w:r>
        <w:rPr>
          <w:rFonts w:hint="eastAsia" w:ascii="宋体" w:hAnsi="宋体"/>
          <w:color w:val="000000"/>
          <w:sz w:val="24"/>
          <w:szCs w:val="24"/>
        </w:rPr>
        <w:t>达到国家清洁生产三级水平。</w:t>
      </w:r>
    </w:p>
    <w:p>
      <w:pPr>
        <w:pStyle w:val="5"/>
        <w:spacing w:before="120" w:beforeLines="50" w:after="120" w:afterLines="50" w:line="360" w:lineRule="auto"/>
        <w:rPr>
          <w:rFonts w:hint="eastAsia" w:ascii="宋体" w:hAnsi="宋体"/>
          <w:bCs w:val="0"/>
          <w:color w:val="000000"/>
          <w:sz w:val="28"/>
          <w:szCs w:val="28"/>
        </w:rPr>
      </w:pPr>
      <w:bookmarkStart w:id="737" w:name="_Toc23000961"/>
      <w:r>
        <w:rPr>
          <w:rFonts w:hint="eastAsia" w:ascii="宋体" w:hAnsi="宋体"/>
          <w:bCs w:val="0"/>
          <w:color w:val="000000"/>
          <w:sz w:val="28"/>
          <w:szCs w:val="28"/>
        </w:rPr>
        <w:t>5、改进的意见及建议</w:t>
      </w:r>
      <w:bookmarkEnd w:id="734"/>
      <w:bookmarkEnd w:id="735"/>
      <w:bookmarkEnd w:id="736"/>
      <w:bookmarkEnd w:id="737"/>
    </w:p>
    <w:p>
      <w:pPr>
        <w:pStyle w:val="17"/>
        <w:widowControl/>
        <w:tabs>
          <w:tab w:val="left" w:pos="0"/>
        </w:tabs>
        <w:spacing w:line="360" w:lineRule="auto"/>
        <w:ind w:left="18" w:firstLine="463" w:firstLineChars="193"/>
        <w:jc w:val="left"/>
        <w:rPr>
          <w:rFonts w:hAnsi="宋体"/>
          <w:color w:val="000000"/>
          <w:sz w:val="24"/>
        </w:rPr>
      </w:pPr>
      <w:r>
        <w:rPr>
          <w:rFonts w:hint="eastAsia" w:hAnsi="宋体"/>
          <w:color w:val="000000"/>
          <w:sz w:val="24"/>
        </w:rPr>
        <w:t>（</w:t>
      </w:r>
      <w:r>
        <w:rPr>
          <w:rFonts w:hAnsi="宋体"/>
          <w:color w:val="000000"/>
          <w:sz w:val="24"/>
        </w:rPr>
        <w:t>1</w:t>
      </w:r>
      <w:r>
        <w:rPr>
          <w:rFonts w:hint="eastAsia" w:hAnsi="宋体"/>
          <w:color w:val="000000"/>
          <w:sz w:val="24"/>
        </w:rPr>
        <w:t>）制订详细的持续清洁生产计划，继续加大力度对对废气的治理，提高经济效益及环境效益。</w:t>
      </w:r>
    </w:p>
    <w:p>
      <w:pPr>
        <w:pStyle w:val="17"/>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w:t>
      </w:r>
      <w:r>
        <w:rPr>
          <w:rFonts w:hAnsi="宋体"/>
          <w:color w:val="000000"/>
          <w:sz w:val="24"/>
        </w:rPr>
        <w:t>2</w:t>
      </w:r>
      <w:r>
        <w:rPr>
          <w:rFonts w:hint="eastAsia" w:hAnsi="宋体"/>
          <w:color w:val="000000"/>
          <w:sz w:val="24"/>
        </w:rPr>
        <w:t>）完善监测手段，实施细化资源能源消耗重点的管理，降低能耗及减少污染物的排放。</w:t>
      </w:r>
    </w:p>
    <w:p>
      <w:pPr>
        <w:pStyle w:val="17"/>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w:t>
      </w:r>
      <w:r>
        <w:rPr>
          <w:rFonts w:hAnsi="宋体"/>
          <w:color w:val="000000"/>
          <w:sz w:val="24"/>
        </w:rPr>
        <w:t>3</w:t>
      </w:r>
      <w:r>
        <w:rPr>
          <w:rFonts w:hint="eastAsia" w:hAnsi="宋体"/>
          <w:color w:val="000000"/>
          <w:sz w:val="24"/>
        </w:rPr>
        <w:t>）</w:t>
      </w:r>
      <w:r>
        <w:rPr>
          <w:rFonts w:hAnsi="宋体"/>
          <w:color w:val="000000"/>
          <w:sz w:val="24"/>
        </w:rPr>
        <w:t>把清洁生产工作跟现有的各种</w:t>
      </w:r>
      <w:r>
        <w:rPr>
          <w:rFonts w:hint="eastAsia" w:hAnsi="宋体"/>
          <w:color w:val="000000"/>
          <w:sz w:val="24"/>
        </w:rPr>
        <w:fldChar w:fldCharType="begin"/>
      </w:r>
      <w:r>
        <w:rPr>
          <w:rFonts w:hint="eastAsia" w:hAnsi="宋体"/>
          <w:color w:val="000000"/>
          <w:sz w:val="24"/>
        </w:rPr>
        <w:instrText xml:space="preserve"> HYPERLINK "http://www.fw123.net/Soft/glz/Index.html" \t "_blank" </w:instrText>
      </w:r>
      <w:r>
        <w:rPr>
          <w:rFonts w:hint="eastAsia" w:hAnsi="宋体"/>
          <w:color w:val="000000"/>
          <w:sz w:val="24"/>
        </w:rPr>
        <w:fldChar w:fldCharType="separate"/>
      </w:r>
      <w:r>
        <w:rPr>
          <w:rFonts w:hAnsi="宋体"/>
          <w:color w:val="000000"/>
          <w:sz w:val="24"/>
        </w:rPr>
        <w:t>管理制度</w:t>
      </w:r>
      <w:r>
        <w:rPr>
          <w:rFonts w:hint="eastAsia" w:hAnsi="宋体"/>
          <w:color w:val="000000"/>
          <w:sz w:val="24"/>
        </w:rPr>
        <w:fldChar w:fldCharType="end"/>
      </w:r>
      <w:r>
        <w:rPr>
          <w:rFonts w:hAnsi="宋体"/>
          <w:color w:val="000000"/>
          <w:sz w:val="24"/>
        </w:rPr>
        <w:t>有机结合起来</w:t>
      </w:r>
      <w:r>
        <w:rPr>
          <w:rFonts w:hint="eastAsia" w:hAnsi="宋体"/>
          <w:color w:val="000000"/>
          <w:sz w:val="24"/>
        </w:rPr>
        <w:t>，把清洁生产有效的并入目前企业各项管理中。</w:t>
      </w:r>
    </w:p>
    <w:p>
      <w:pPr>
        <w:pStyle w:val="17"/>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（4）对清洁生产方案有效激励进行追踪调查，进一步调动员工参与清洁生产的积极性。</w:t>
      </w:r>
    </w:p>
    <w:p>
      <w:pPr>
        <w:pStyle w:val="17"/>
        <w:widowControl/>
        <w:tabs>
          <w:tab w:val="left" w:pos="0"/>
        </w:tabs>
        <w:spacing w:line="360" w:lineRule="auto"/>
        <w:ind w:left="18" w:firstLine="463" w:firstLineChars="193"/>
        <w:jc w:val="left"/>
        <w:rPr>
          <w:rFonts w:hint="eastAsia" w:hAnsi="宋体"/>
          <w:color w:val="000000"/>
          <w:sz w:val="24"/>
        </w:rPr>
      </w:pPr>
      <w:r>
        <w:rPr>
          <w:rFonts w:hint="eastAsia" w:hAnsi="宋体"/>
          <w:color w:val="000000"/>
          <w:sz w:val="24"/>
        </w:rPr>
        <w:t>通过本轮清洁生产审核，</w:t>
      </w:r>
      <w:r>
        <w:rPr>
          <w:rFonts w:hAnsi="宋体"/>
          <w:color w:val="000000"/>
          <w:sz w:val="24"/>
        </w:rPr>
        <w:t>企业在取得成效的同时也清醒地认识到随着科学技术的不断进步，新工艺、新设备不断涌现，企业面临着不断进行技术改造，以进一步减少污染物排放量，适应环境质量不断改善的要求。在今后的工作中，我们将继续加大资金和科技投入，通过引进先进技术、先进设备来改造和更新旧设备，提高设备效率，提高综合利用水平，进一步降低各项消耗水平，从源头上减少污染物产生。</w: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pStyle w:val="4"/>
        <w:spacing w:before="240" w:beforeLines="100" w:after="120" w:afterLines="50" w:line="360" w:lineRule="auto"/>
        <w:rPr>
          <w:rFonts w:hint="eastAsia" w:ascii="宋体" w:hAnsi="宋体" w:eastAsia="宋体"/>
          <w:color w:val="000000"/>
        </w:rPr>
      </w:pPr>
      <w:bookmarkStart w:id="738" w:name="_Toc23000962"/>
      <w:r>
        <w:rPr>
          <w:rFonts w:hint="eastAsia" w:ascii="宋体" w:hAnsi="宋体" w:eastAsia="宋体"/>
          <w:color w:val="000000"/>
        </w:rPr>
        <w:t>附件：</w:t>
      </w:r>
      <w:bookmarkEnd w:id="738"/>
    </w:p>
    <w:p>
      <w:pPr>
        <w:pStyle w:val="5"/>
        <w:spacing w:before="120" w:beforeLines="50" w:after="120" w:afterLines="50" w:line="360" w:lineRule="auto"/>
        <w:rPr>
          <w:rFonts w:hint="eastAsia" w:ascii="宋体" w:hAnsi="宋体"/>
          <w:bCs w:val="0"/>
          <w:color w:val="000000"/>
          <w:sz w:val="28"/>
          <w:szCs w:val="28"/>
        </w:rPr>
      </w:pPr>
      <w:bookmarkStart w:id="739" w:name="_Toc422252572"/>
      <w:bookmarkStart w:id="740" w:name="_Toc23000963"/>
      <w:r>
        <w:rPr>
          <w:rFonts w:hint="eastAsia" w:ascii="宋体" w:hAnsi="宋体"/>
          <w:bCs w:val="0"/>
          <w:color w:val="000000"/>
          <w:sz w:val="28"/>
          <w:szCs w:val="28"/>
        </w:rPr>
        <w:t>附件1：企业清洁生产审核综合效益表</w:t>
      </w:r>
      <w:bookmarkEnd w:id="739"/>
      <w:bookmarkEnd w:id="740"/>
    </w:p>
    <w:p>
      <w:pPr>
        <w:snapToGrid w:val="0"/>
        <w:spacing w:before="120" w:beforeLines="50" w:after="120" w:afterLines="50" w:line="360" w:lineRule="auto"/>
        <w:rPr>
          <w:rFonts w:ascii="宋体" w:hAnsi="宋体"/>
          <w:color w:val="000000"/>
          <w:szCs w:val="21"/>
          <w:vertAlign w:val="superscript"/>
        </w:rPr>
      </w:pPr>
      <w:r>
        <w:rPr>
          <w:rFonts w:hint="eastAsia" w:ascii="宋体" w:hAnsi="宋体"/>
          <w:color w:val="000000"/>
          <w:szCs w:val="21"/>
        </w:rPr>
        <w:t>企业名称</w:t>
      </w:r>
      <w:r>
        <w:rPr>
          <w:rFonts w:hint="eastAsia" w:ascii="宋体" w:hAnsi="宋体"/>
          <w:color w:val="000000"/>
          <w:szCs w:val="21"/>
          <w:u w:val="single"/>
        </w:rPr>
        <w:t xml:space="preserve">：云南罗平锌电股份有限公司富乐铅锌矿  </w:t>
      </w:r>
      <w:r>
        <w:rPr>
          <w:rFonts w:hint="eastAsia" w:ascii="宋体" w:hAnsi="宋体"/>
          <w:color w:val="000000"/>
          <w:szCs w:val="21"/>
        </w:rPr>
        <w:t>主要产品及产量</w:t>
      </w:r>
      <w:r>
        <w:rPr>
          <w:rFonts w:hint="eastAsia" w:ascii="宋体" w:hAnsi="宋体"/>
          <w:color w:val="000000"/>
          <w:szCs w:val="21"/>
          <w:u w:val="single"/>
        </w:rPr>
        <w:t xml:space="preserve">： </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790"/>
        <w:gridCol w:w="3402"/>
        <w:gridCol w:w="1119"/>
        <w:gridCol w:w="1458"/>
        <w:gridCol w:w="9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指标名称</w:t>
            </w:r>
          </w:p>
        </w:tc>
        <w:tc>
          <w:tcPr>
            <w:tcW w:w="7706" w:type="dxa"/>
            <w:gridSpan w:val="5"/>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具体信息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restart"/>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一、企业清洁生产方案及资金投入情况</w:t>
            </w:r>
          </w:p>
        </w:tc>
        <w:tc>
          <w:tcPr>
            <w:tcW w:w="790"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序号</w:t>
            </w:r>
          </w:p>
        </w:tc>
        <w:tc>
          <w:tcPr>
            <w:tcW w:w="3402"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项</w:t>
            </w:r>
            <w:r>
              <w:rPr>
                <w:rFonts w:ascii="宋体" w:hAnsi="宋体"/>
                <w:color w:val="000000"/>
                <w:szCs w:val="21"/>
              </w:rPr>
              <w:t xml:space="preserve">  </w:t>
            </w:r>
            <w:r>
              <w:rPr>
                <w:rFonts w:hint="eastAsia" w:ascii="宋体" w:hAnsi="宋体"/>
                <w:color w:val="000000"/>
                <w:szCs w:val="21"/>
              </w:rPr>
              <w:t>目</w:t>
            </w:r>
          </w:p>
        </w:tc>
        <w:tc>
          <w:tcPr>
            <w:tcW w:w="1119"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单位</w:t>
            </w:r>
          </w:p>
        </w:tc>
        <w:tc>
          <w:tcPr>
            <w:tcW w:w="1458"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数额</w:t>
            </w:r>
          </w:p>
        </w:tc>
        <w:tc>
          <w:tcPr>
            <w:tcW w:w="937" w:type="dxa"/>
            <w:noWrap w:val="0"/>
            <w:vAlign w:val="top"/>
          </w:tcPr>
          <w:p>
            <w:pPr>
              <w:adjustRightInd w:val="0"/>
              <w:snapToGrid w:val="0"/>
              <w:spacing w:line="360" w:lineRule="auto"/>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640"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restart"/>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1</w:t>
            </w:r>
          </w:p>
        </w:tc>
        <w:tc>
          <w:tcPr>
            <w:tcW w:w="3402" w:type="dxa"/>
            <w:vMerge w:val="restart"/>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清洁生产审核提出的清洁生产方案总数</w:t>
            </w:r>
          </w:p>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其中：无</w:t>
            </w:r>
            <w:r>
              <w:rPr>
                <w:rFonts w:ascii="宋体" w:hAnsi="宋体"/>
                <w:bCs/>
                <w:color w:val="000000"/>
                <w:szCs w:val="21"/>
              </w:rPr>
              <w:t>/</w:t>
            </w:r>
            <w:r>
              <w:rPr>
                <w:rFonts w:hint="eastAsia" w:ascii="宋体" w:hAnsi="宋体"/>
                <w:bCs/>
                <w:color w:val="000000"/>
                <w:szCs w:val="21"/>
              </w:rPr>
              <w:t>低费方案数</w:t>
            </w:r>
          </w:p>
          <w:p>
            <w:pPr>
              <w:adjustRightInd w:val="0"/>
              <w:snapToGrid w:val="0"/>
              <w:spacing w:line="360" w:lineRule="auto"/>
              <w:ind w:firstLine="630" w:firstLineChars="300"/>
              <w:jc w:val="center"/>
              <w:rPr>
                <w:rFonts w:ascii="宋体" w:hAnsi="宋体"/>
                <w:color w:val="000000"/>
                <w:szCs w:val="21"/>
              </w:rPr>
            </w:pPr>
            <w:r>
              <w:rPr>
                <w:rFonts w:hint="eastAsia" w:ascii="宋体" w:hAnsi="宋体"/>
                <w:bCs/>
                <w:color w:val="000000"/>
                <w:szCs w:val="21"/>
              </w:rPr>
              <w:t>中</w:t>
            </w:r>
            <w:r>
              <w:rPr>
                <w:rFonts w:ascii="宋体" w:hAnsi="宋体"/>
                <w:bCs/>
                <w:color w:val="000000"/>
                <w:szCs w:val="21"/>
              </w:rPr>
              <w:t>/</w:t>
            </w:r>
            <w:r>
              <w:rPr>
                <w:rFonts w:hint="eastAsia" w:ascii="宋体" w:hAnsi="宋体"/>
                <w:bCs/>
                <w:color w:val="000000"/>
                <w:szCs w:val="21"/>
              </w:rPr>
              <w:t>高费方案数</w:t>
            </w:r>
          </w:p>
        </w:tc>
        <w:tc>
          <w:tcPr>
            <w:tcW w:w="1119" w:type="dxa"/>
            <w:vMerge w:val="restart"/>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个</w:t>
            </w: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29</w:t>
            </w:r>
          </w:p>
        </w:tc>
        <w:tc>
          <w:tcPr>
            <w:tcW w:w="937" w:type="dxa"/>
            <w:vMerge w:val="restart"/>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93"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27</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292"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restart"/>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2</w:t>
            </w:r>
          </w:p>
        </w:tc>
        <w:tc>
          <w:tcPr>
            <w:tcW w:w="3402" w:type="dxa"/>
            <w:vMerge w:val="restart"/>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已经实施的清洁生产方案总数</w:t>
            </w:r>
          </w:p>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其中：无</w:t>
            </w:r>
            <w:r>
              <w:rPr>
                <w:rFonts w:ascii="宋体" w:hAnsi="宋体"/>
                <w:bCs/>
                <w:color w:val="000000"/>
                <w:szCs w:val="21"/>
              </w:rPr>
              <w:t>/</w:t>
            </w:r>
            <w:r>
              <w:rPr>
                <w:rFonts w:hint="eastAsia" w:ascii="宋体" w:hAnsi="宋体"/>
                <w:bCs/>
                <w:color w:val="000000"/>
                <w:szCs w:val="21"/>
              </w:rPr>
              <w:t>低费方案数</w:t>
            </w:r>
          </w:p>
          <w:p>
            <w:pPr>
              <w:adjustRightInd w:val="0"/>
              <w:snapToGrid w:val="0"/>
              <w:spacing w:line="360" w:lineRule="auto"/>
              <w:ind w:firstLine="630" w:firstLineChars="300"/>
              <w:jc w:val="center"/>
              <w:rPr>
                <w:rFonts w:ascii="宋体" w:hAnsi="宋体"/>
                <w:color w:val="000000"/>
                <w:szCs w:val="21"/>
              </w:rPr>
            </w:pPr>
            <w:r>
              <w:rPr>
                <w:rFonts w:hint="eastAsia" w:ascii="宋体" w:hAnsi="宋体"/>
                <w:bCs/>
                <w:color w:val="000000"/>
                <w:szCs w:val="21"/>
              </w:rPr>
              <w:t>中</w:t>
            </w:r>
            <w:r>
              <w:rPr>
                <w:rFonts w:ascii="宋体" w:hAnsi="宋体"/>
                <w:bCs/>
                <w:color w:val="000000"/>
                <w:szCs w:val="21"/>
              </w:rPr>
              <w:t>/</w:t>
            </w:r>
            <w:r>
              <w:rPr>
                <w:rFonts w:hint="eastAsia" w:ascii="宋体" w:hAnsi="宋体"/>
                <w:bCs/>
                <w:color w:val="000000"/>
                <w:szCs w:val="21"/>
              </w:rPr>
              <w:t>高费方案数</w:t>
            </w:r>
          </w:p>
        </w:tc>
        <w:tc>
          <w:tcPr>
            <w:tcW w:w="1119" w:type="dxa"/>
            <w:vMerge w:val="restart"/>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个</w:t>
            </w: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29</w:t>
            </w:r>
          </w:p>
        </w:tc>
        <w:tc>
          <w:tcPr>
            <w:tcW w:w="937" w:type="dxa"/>
            <w:vMerge w:val="restart"/>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27</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vMerge w:val="continue"/>
            <w:noWrap w:val="0"/>
            <w:vAlign w:val="center"/>
          </w:tcPr>
          <w:p>
            <w:pPr>
              <w:adjustRightInd w:val="0"/>
              <w:snapToGrid w:val="0"/>
              <w:spacing w:line="360" w:lineRule="auto"/>
              <w:jc w:val="center"/>
              <w:rPr>
                <w:rFonts w:ascii="宋体" w:hAnsi="宋体"/>
                <w:color w:val="000000"/>
                <w:szCs w:val="21"/>
              </w:rPr>
            </w:pPr>
          </w:p>
        </w:tc>
        <w:tc>
          <w:tcPr>
            <w:tcW w:w="3402" w:type="dxa"/>
            <w:vMerge w:val="continue"/>
            <w:noWrap w:val="0"/>
            <w:vAlign w:val="center"/>
          </w:tcPr>
          <w:p>
            <w:pPr>
              <w:adjustRightInd w:val="0"/>
              <w:snapToGrid w:val="0"/>
              <w:spacing w:line="360" w:lineRule="auto"/>
              <w:rPr>
                <w:rFonts w:ascii="宋体" w:hAnsi="宋体"/>
                <w:color w:val="000000"/>
                <w:szCs w:val="21"/>
              </w:rPr>
            </w:pPr>
          </w:p>
        </w:tc>
        <w:tc>
          <w:tcPr>
            <w:tcW w:w="1119" w:type="dxa"/>
            <w:vMerge w:val="continue"/>
            <w:noWrap w:val="0"/>
            <w:vAlign w:val="center"/>
          </w:tcPr>
          <w:p>
            <w:pPr>
              <w:adjustRightInd w:val="0"/>
              <w:snapToGrid w:val="0"/>
              <w:spacing w:line="360" w:lineRule="auto"/>
              <w:jc w:val="center"/>
              <w:rPr>
                <w:rFonts w:ascii="宋体" w:hAnsi="宋体"/>
                <w:color w:val="000000"/>
                <w:szCs w:val="21"/>
              </w:rPr>
            </w:pP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w:t>
            </w:r>
          </w:p>
        </w:tc>
        <w:tc>
          <w:tcPr>
            <w:tcW w:w="937" w:type="dxa"/>
            <w:vMerge w:val="continue"/>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trHeight w:val="828" w:hRule="atLeast"/>
          <w:jc w:val="center"/>
        </w:trPr>
        <w:tc>
          <w:tcPr>
            <w:tcW w:w="1510" w:type="dxa"/>
            <w:vMerge w:val="continue"/>
            <w:noWrap w:val="0"/>
            <w:vAlign w:val="center"/>
          </w:tcPr>
          <w:p>
            <w:pPr>
              <w:adjustRightInd w:val="0"/>
              <w:snapToGrid w:val="0"/>
              <w:spacing w:line="360" w:lineRule="auto"/>
              <w:rPr>
                <w:rFonts w:ascii="宋体" w:hAnsi="宋体"/>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3</w:t>
            </w:r>
          </w:p>
        </w:tc>
        <w:tc>
          <w:tcPr>
            <w:tcW w:w="3402" w:type="dxa"/>
            <w:noWrap w:val="0"/>
            <w:vAlign w:val="center"/>
          </w:tcPr>
          <w:p>
            <w:pPr>
              <w:adjustRightInd w:val="0"/>
              <w:snapToGrid w:val="0"/>
              <w:spacing w:line="360" w:lineRule="auto"/>
              <w:rPr>
                <w:rFonts w:ascii="宋体" w:hAnsi="宋体"/>
                <w:color w:val="000000"/>
                <w:szCs w:val="21"/>
              </w:rPr>
            </w:pPr>
            <w:r>
              <w:rPr>
                <w:rFonts w:hint="eastAsia" w:ascii="宋体" w:hAnsi="宋体"/>
                <w:color w:val="000000"/>
                <w:szCs w:val="21"/>
              </w:rPr>
              <w:t>实施清洁生产方案资金总投入额</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万元</w:t>
            </w:r>
          </w:p>
        </w:tc>
        <w:tc>
          <w:tcPr>
            <w:tcW w:w="1458" w:type="dxa"/>
            <w:noWrap w:val="0"/>
            <w:vAlign w:val="center"/>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115.73</w:t>
            </w:r>
          </w:p>
        </w:tc>
        <w:tc>
          <w:tcPr>
            <w:tcW w:w="937" w:type="dxa"/>
            <w:noWrap w:val="0"/>
            <w:vAlign w:val="center"/>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restart"/>
            <w:noWrap w:val="0"/>
            <w:vAlign w:val="center"/>
          </w:tcPr>
          <w:p>
            <w:pPr>
              <w:adjustRightInd w:val="0"/>
              <w:snapToGrid w:val="0"/>
              <w:spacing w:line="360" w:lineRule="auto"/>
              <w:rPr>
                <w:rFonts w:ascii="宋体" w:hAnsi="宋体"/>
                <w:bCs/>
                <w:color w:val="000000"/>
                <w:szCs w:val="21"/>
              </w:rPr>
            </w:pPr>
            <w:r>
              <w:rPr>
                <w:rFonts w:hint="eastAsia" w:ascii="宋体" w:hAnsi="宋体"/>
                <w:bCs/>
                <w:color w:val="000000"/>
                <w:szCs w:val="21"/>
              </w:rPr>
              <w:t>二、实施清洁生产形成的能源与资源节约</w:t>
            </w:r>
          </w:p>
        </w:tc>
        <w:tc>
          <w:tcPr>
            <w:tcW w:w="790"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序号</w:t>
            </w:r>
          </w:p>
        </w:tc>
        <w:tc>
          <w:tcPr>
            <w:tcW w:w="3402"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项目</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单位</w:t>
            </w:r>
          </w:p>
        </w:tc>
        <w:tc>
          <w:tcPr>
            <w:tcW w:w="1458"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数额</w:t>
            </w:r>
          </w:p>
        </w:tc>
        <w:tc>
          <w:tcPr>
            <w:tcW w:w="937"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1</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节水</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万吨</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1．33</w:t>
            </w: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2</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节电</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万度</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0．28</w:t>
            </w: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3</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节煤</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吨</w:t>
            </w:r>
          </w:p>
        </w:tc>
        <w:tc>
          <w:tcPr>
            <w:tcW w:w="1458" w:type="dxa"/>
            <w:noWrap w:val="0"/>
            <w:vAlign w:val="top"/>
          </w:tcPr>
          <w:p>
            <w:pPr>
              <w:adjustRightInd w:val="0"/>
              <w:snapToGrid w:val="0"/>
              <w:spacing w:line="360" w:lineRule="auto"/>
              <w:jc w:val="center"/>
              <w:rPr>
                <w:rFonts w:hint="eastAsia" w:ascii="宋体" w:hAnsi="宋体"/>
                <w:color w:val="000000"/>
                <w:szCs w:val="21"/>
              </w:rPr>
            </w:pP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4</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节蒸汽</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bCs/>
                <w:color w:val="000000"/>
                <w:szCs w:val="21"/>
              </w:rPr>
              <w:t>吨</w:t>
            </w:r>
          </w:p>
        </w:tc>
        <w:tc>
          <w:tcPr>
            <w:tcW w:w="1458" w:type="dxa"/>
            <w:noWrap w:val="0"/>
            <w:vAlign w:val="top"/>
          </w:tcPr>
          <w:p>
            <w:pPr>
              <w:adjustRightInd w:val="0"/>
              <w:snapToGrid w:val="0"/>
              <w:spacing w:line="360" w:lineRule="auto"/>
              <w:jc w:val="center"/>
              <w:rPr>
                <w:rFonts w:hint="eastAsia" w:ascii="宋体" w:hAnsi="宋体"/>
                <w:color w:val="000000"/>
                <w:szCs w:val="21"/>
              </w:rPr>
            </w:pP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5</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bCs/>
                <w:color w:val="000000"/>
                <w:szCs w:val="21"/>
              </w:rPr>
              <w:t>节原料</w:t>
            </w:r>
          </w:p>
        </w:tc>
        <w:tc>
          <w:tcPr>
            <w:tcW w:w="1119" w:type="dxa"/>
            <w:noWrap w:val="0"/>
            <w:vAlign w:val="center"/>
          </w:tcPr>
          <w:p>
            <w:pPr>
              <w:adjustRightInd w:val="0"/>
              <w:snapToGrid w:val="0"/>
              <w:spacing w:line="360" w:lineRule="auto"/>
              <w:jc w:val="center"/>
              <w:rPr>
                <w:rFonts w:ascii="宋体" w:hAnsi="宋体"/>
                <w:color w:val="000000"/>
                <w:spacing w:val="-20"/>
                <w:szCs w:val="21"/>
              </w:rPr>
            </w:pPr>
            <w:r>
              <w:rPr>
                <w:rFonts w:hint="eastAsia" w:ascii="宋体" w:hAnsi="宋体"/>
                <w:bCs/>
                <w:color w:val="000000"/>
                <w:spacing w:val="-20"/>
                <w:szCs w:val="21"/>
              </w:rPr>
              <w:t>吨</w:t>
            </w:r>
          </w:p>
        </w:tc>
        <w:tc>
          <w:tcPr>
            <w:tcW w:w="1458" w:type="dxa"/>
            <w:noWrap w:val="0"/>
            <w:vAlign w:val="top"/>
          </w:tcPr>
          <w:p>
            <w:pPr>
              <w:adjustRightInd w:val="0"/>
              <w:snapToGrid w:val="0"/>
              <w:spacing w:line="360" w:lineRule="auto"/>
              <w:jc w:val="center"/>
              <w:rPr>
                <w:rFonts w:hint="eastAsia" w:ascii="宋体" w:hAnsi="宋体"/>
                <w:color w:val="000000"/>
                <w:szCs w:val="21"/>
              </w:rPr>
            </w:pP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6</w:t>
            </w:r>
          </w:p>
        </w:tc>
        <w:tc>
          <w:tcPr>
            <w:tcW w:w="3402" w:type="dxa"/>
            <w:noWrap w:val="0"/>
            <w:vAlign w:val="center"/>
          </w:tcPr>
          <w:p>
            <w:pPr>
              <w:adjustRightInd w:val="0"/>
              <w:snapToGrid w:val="0"/>
              <w:spacing w:line="360" w:lineRule="auto"/>
              <w:jc w:val="center"/>
              <w:rPr>
                <w:rFonts w:hint="eastAsia" w:ascii="宋体" w:hAnsi="宋体"/>
                <w:bCs/>
                <w:color w:val="000000"/>
                <w:szCs w:val="21"/>
              </w:rPr>
            </w:pPr>
            <w:r>
              <w:rPr>
                <w:rFonts w:hint="eastAsia" w:ascii="宋体" w:hAnsi="宋体"/>
                <w:bCs/>
                <w:color w:val="000000"/>
                <w:szCs w:val="21"/>
              </w:rPr>
              <w:t>节柴油</w:t>
            </w:r>
          </w:p>
        </w:tc>
        <w:tc>
          <w:tcPr>
            <w:tcW w:w="1119" w:type="dxa"/>
            <w:noWrap w:val="0"/>
            <w:vAlign w:val="center"/>
          </w:tcPr>
          <w:p>
            <w:pPr>
              <w:adjustRightInd w:val="0"/>
              <w:snapToGrid w:val="0"/>
              <w:spacing w:line="360" w:lineRule="auto"/>
              <w:jc w:val="center"/>
              <w:rPr>
                <w:rFonts w:ascii="宋体" w:hAnsi="宋体"/>
                <w:color w:val="000000"/>
                <w:szCs w:val="21"/>
              </w:rPr>
            </w:pPr>
          </w:p>
        </w:tc>
        <w:tc>
          <w:tcPr>
            <w:tcW w:w="1458" w:type="dxa"/>
            <w:noWrap w:val="0"/>
            <w:vAlign w:val="top"/>
          </w:tcPr>
          <w:p>
            <w:pPr>
              <w:adjustRightInd w:val="0"/>
              <w:snapToGrid w:val="0"/>
              <w:spacing w:line="360" w:lineRule="auto"/>
              <w:jc w:val="center"/>
              <w:rPr>
                <w:rFonts w:hint="eastAsia" w:ascii="宋体" w:hAnsi="宋体"/>
                <w:color w:val="000000"/>
                <w:szCs w:val="21"/>
              </w:rPr>
            </w:pP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restart"/>
            <w:noWrap w:val="0"/>
            <w:vAlign w:val="center"/>
          </w:tcPr>
          <w:p>
            <w:pPr>
              <w:adjustRightInd w:val="0"/>
              <w:snapToGrid w:val="0"/>
              <w:spacing w:line="360" w:lineRule="auto"/>
              <w:rPr>
                <w:rFonts w:ascii="宋体" w:hAnsi="宋体"/>
                <w:bCs/>
                <w:color w:val="000000"/>
                <w:szCs w:val="21"/>
              </w:rPr>
            </w:pPr>
            <w:r>
              <w:rPr>
                <w:rFonts w:hint="eastAsia" w:ascii="宋体" w:hAnsi="宋体"/>
                <w:bCs/>
                <w:color w:val="000000"/>
                <w:szCs w:val="21"/>
              </w:rPr>
              <w:t>三、实施清洁生产形成的经济效益</w:t>
            </w:r>
          </w:p>
        </w:tc>
        <w:tc>
          <w:tcPr>
            <w:tcW w:w="790"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序号</w:t>
            </w:r>
          </w:p>
        </w:tc>
        <w:tc>
          <w:tcPr>
            <w:tcW w:w="3402"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项目</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单位</w:t>
            </w:r>
          </w:p>
        </w:tc>
        <w:tc>
          <w:tcPr>
            <w:tcW w:w="1458"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 xml:space="preserve"> 数额</w:t>
            </w:r>
          </w:p>
        </w:tc>
        <w:tc>
          <w:tcPr>
            <w:tcW w:w="937"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1</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color w:val="000000"/>
                <w:szCs w:val="21"/>
              </w:rPr>
              <w:t>节能降耗的经济效益</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万元</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22．5</w:t>
            </w:r>
          </w:p>
        </w:tc>
        <w:tc>
          <w:tcPr>
            <w:tcW w:w="937" w:type="dxa"/>
            <w:noWrap w:val="0"/>
            <w:vAlign w:val="top"/>
          </w:tcPr>
          <w:p>
            <w:pPr>
              <w:adjustRightInd w:val="0"/>
              <w:snapToGrid w:val="0"/>
              <w:spacing w:line="360" w:lineRule="auto"/>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After w:w="0" w:type="dxa"/>
          <w:jc w:val="center"/>
        </w:trPr>
        <w:tc>
          <w:tcPr>
            <w:tcW w:w="1510" w:type="dxa"/>
            <w:vMerge w:val="continue"/>
            <w:noWrap w:val="0"/>
            <w:vAlign w:val="center"/>
          </w:tcPr>
          <w:p>
            <w:pPr>
              <w:adjustRightInd w:val="0"/>
              <w:snapToGrid w:val="0"/>
              <w:spacing w:line="360" w:lineRule="auto"/>
              <w:rPr>
                <w:rFonts w:ascii="宋体" w:hAnsi="宋体"/>
                <w:bCs/>
                <w:color w:val="000000"/>
                <w:szCs w:val="21"/>
              </w:rPr>
            </w:pPr>
          </w:p>
        </w:tc>
        <w:tc>
          <w:tcPr>
            <w:tcW w:w="790" w:type="dxa"/>
            <w:noWrap w:val="0"/>
            <w:vAlign w:val="center"/>
          </w:tcPr>
          <w:p>
            <w:pPr>
              <w:adjustRightInd w:val="0"/>
              <w:snapToGrid w:val="0"/>
              <w:spacing w:line="360" w:lineRule="auto"/>
              <w:jc w:val="center"/>
              <w:rPr>
                <w:rFonts w:ascii="宋体" w:hAnsi="宋体"/>
                <w:color w:val="000000"/>
                <w:szCs w:val="21"/>
              </w:rPr>
            </w:pPr>
            <w:r>
              <w:rPr>
                <w:rFonts w:ascii="宋体" w:hAnsi="宋体"/>
                <w:color w:val="000000"/>
                <w:szCs w:val="21"/>
              </w:rPr>
              <w:t>2</w:t>
            </w:r>
          </w:p>
        </w:tc>
        <w:tc>
          <w:tcPr>
            <w:tcW w:w="3402" w:type="dxa"/>
            <w:noWrap w:val="0"/>
            <w:vAlign w:val="center"/>
          </w:tcPr>
          <w:p>
            <w:pPr>
              <w:adjustRightInd w:val="0"/>
              <w:snapToGrid w:val="0"/>
              <w:spacing w:line="360" w:lineRule="auto"/>
              <w:jc w:val="center"/>
              <w:rPr>
                <w:rFonts w:ascii="宋体" w:hAnsi="宋体"/>
                <w:bCs/>
                <w:color w:val="000000"/>
                <w:szCs w:val="21"/>
              </w:rPr>
            </w:pPr>
            <w:r>
              <w:rPr>
                <w:rFonts w:hint="eastAsia" w:ascii="宋体" w:hAnsi="宋体"/>
                <w:color w:val="000000"/>
                <w:szCs w:val="21"/>
              </w:rPr>
              <w:t>削减污染物排放的经济效益</w:t>
            </w:r>
          </w:p>
        </w:tc>
        <w:tc>
          <w:tcPr>
            <w:tcW w:w="1119" w:type="dxa"/>
            <w:noWrap w:val="0"/>
            <w:vAlign w:val="center"/>
          </w:tcPr>
          <w:p>
            <w:pPr>
              <w:adjustRightInd w:val="0"/>
              <w:snapToGrid w:val="0"/>
              <w:spacing w:line="360" w:lineRule="auto"/>
              <w:jc w:val="center"/>
              <w:rPr>
                <w:rFonts w:ascii="宋体" w:hAnsi="宋体"/>
                <w:color w:val="000000"/>
                <w:szCs w:val="21"/>
              </w:rPr>
            </w:pPr>
            <w:r>
              <w:rPr>
                <w:rFonts w:hint="eastAsia" w:ascii="宋体" w:hAnsi="宋体"/>
                <w:color w:val="000000"/>
                <w:szCs w:val="21"/>
              </w:rPr>
              <w:t>万元</w:t>
            </w:r>
          </w:p>
        </w:tc>
        <w:tc>
          <w:tcPr>
            <w:tcW w:w="1458" w:type="dxa"/>
            <w:noWrap w:val="0"/>
            <w:vAlign w:val="top"/>
          </w:tcPr>
          <w:p>
            <w:pPr>
              <w:adjustRightInd w:val="0"/>
              <w:snapToGrid w:val="0"/>
              <w:spacing w:line="360" w:lineRule="auto"/>
              <w:jc w:val="center"/>
              <w:rPr>
                <w:rFonts w:hint="eastAsia" w:ascii="宋体" w:hAnsi="宋体"/>
                <w:color w:val="000000"/>
                <w:szCs w:val="21"/>
              </w:rPr>
            </w:pPr>
            <w:r>
              <w:rPr>
                <w:rFonts w:hint="eastAsia" w:ascii="宋体" w:hAnsi="宋体"/>
                <w:color w:val="000000"/>
                <w:szCs w:val="21"/>
              </w:rPr>
              <w:t>11．19</w:t>
            </w:r>
          </w:p>
        </w:tc>
        <w:tc>
          <w:tcPr>
            <w:tcW w:w="937" w:type="dxa"/>
            <w:noWrap w:val="0"/>
            <w:vAlign w:val="top"/>
          </w:tcPr>
          <w:p>
            <w:pPr>
              <w:adjustRightInd w:val="0"/>
              <w:snapToGrid w:val="0"/>
              <w:spacing w:line="360" w:lineRule="auto"/>
              <w:jc w:val="center"/>
              <w:rPr>
                <w:rFonts w:ascii="宋体" w:hAnsi="宋体"/>
                <w:color w:val="000000"/>
                <w:szCs w:val="21"/>
              </w:rPr>
            </w:pPr>
          </w:p>
        </w:tc>
      </w:tr>
    </w:tbl>
    <w:p>
      <w:pPr>
        <w:snapToGrid w:val="0"/>
        <w:rPr>
          <w:rFonts w:ascii="宋体" w:hAnsi="宋体"/>
          <w:color w:val="000000"/>
          <w:sz w:val="24"/>
        </w:rPr>
      </w:pPr>
      <w:r>
        <w:rPr>
          <w:rFonts w:hint="eastAsia" w:ascii="宋体" w:hAnsi="宋体"/>
          <w:color w:val="000000"/>
          <w:sz w:val="24"/>
        </w:rPr>
        <w:t>注：</w:t>
      </w:r>
      <w:r>
        <w:rPr>
          <w:rFonts w:ascii="宋体" w:hAnsi="宋体"/>
          <w:color w:val="000000"/>
          <w:sz w:val="24"/>
        </w:rPr>
        <w:t xml:space="preserve">[1] </w:t>
      </w:r>
      <w:r>
        <w:rPr>
          <w:rFonts w:hint="eastAsia" w:ascii="宋体" w:hAnsi="宋体"/>
          <w:color w:val="000000"/>
          <w:sz w:val="24"/>
        </w:rPr>
        <w:t>节能降耗的经济效益以上年</w:t>
      </w:r>
      <w:r>
        <w:rPr>
          <w:rFonts w:ascii="宋体" w:hAnsi="宋体"/>
          <w:color w:val="000000"/>
          <w:sz w:val="24"/>
        </w:rPr>
        <w:t>12</w:t>
      </w:r>
      <w:r>
        <w:rPr>
          <w:rFonts w:hint="eastAsia" w:ascii="宋体" w:hAnsi="宋体"/>
          <w:color w:val="000000"/>
          <w:sz w:val="24"/>
        </w:rPr>
        <w:t>月底的当地市场价计算。</w:t>
      </w:r>
    </w:p>
    <w:p>
      <w:pPr>
        <w:snapToGrid w:val="0"/>
        <w:ind w:firstLine="480" w:firstLineChars="200"/>
        <w:rPr>
          <w:rFonts w:hint="eastAsia" w:ascii="宋体" w:hAnsi="宋体"/>
          <w:color w:val="000000"/>
          <w:sz w:val="24"/>
        </w:rPr>
      </w:pPr>
      <w:r>
        <w:rPr>
          <w:rFonts w:ascii="宋体" w:hAnsi="宋体"/>
          <w:color w:val="000000"/>
          <w:sz w:val="24"/>
        </w:rPr>
        <w:t xml:space="preserve">[2] </w:t>
      </w:r>
      <w:r>
        <w:rPr>
          <w:rFonts w:hint="eastAsia" w:ascii="宋体" w:hAnsi="宋体"/>
          <w:color w:val="000000"/>
          <w:sz w:val="24"/>
        </w:rPr>
        <w:t>削减污染物排放的经济效益是指因开展清洁生产审核、实施清洁生产方案而减少的排污费、末端治理设施、材料及其运行费等。</w:t>
      </w:r>
    </w:p>
    <w:p>
      <w:pPr>
        <w:snapToGrid w:val="0"/>
        <w:ind w:firstLine="480" w:firstLineChars="200"/>
        <w:rPr>
          <w:rFonts w:hint="eastAsia" w:ascii="宋体" w:hAnsi="宋体"/>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2" w:firstLineChars="200"/>
        <w:rPr>
          <w:rFonts w:hint="eastAsia" w:ascii="宋体" w:hAnsi="宋体"/>
          <w:b/>
          <w:color w:val="000000"/>
          <w:sz w:val="24"/>
        </w:rPr>
      </w:pPr>
    </w:p>
    <w:p>
      <w:pPr>
        <w:snapToGrid w:val="0"/>
        <w:ind w:firstLine="480" w:firstLineChars="200"/>
        <w:rPr>
          <w:rFonts w:hint="eastAsia" w:ascii="宋体" w:hAnsi="宋体"/>
          <w:color w:val="000000"/>
          <w:sz w:val="24"/>
        </w:rPr>
      </w:pPr>
    </w:p>
    <w:p>
      <w:pPr>
        <w:pStyle w:val="5"/>
        <w:spacing w:before="120" w:beforeLines="50" w:after="120" w:afterLines="50" w:line="360" w:lineRule="auto"/>
        <w:rPr>
          <w:rFonts w:hint="eastAsia" w:ascii="宋体" w:hAnsi="宋体"/>
          <w:bCs w:val="0"/>
          <w:color w:val="000000"/>
          <w:sz w:val="28"/>
          <w:szCs w:val="28"/>
        </w:rPr>
      </w:pPr>
      <w:bookmarkStart w:id="741" w:name="_Toc23000964"/>
      <w:bookmarkStart w:id="742" w:name="_Toc422252573"/>
      <w:r>
        <w:rPr>
          <w:rFonts w:hint="eastAsia" w:ascii="宋体" w:hAnsi="宋体"/>
          <w:bCs w:val="0"/>
          <w:color w:val="000000"/>
          <w:sz w:val="28"/>
          <w:szCs w:val="28"/>
        </w:rPr>
        <w:t>附件2：企业清洁生产审核环境效益表</w:t>
      </w:r>
      <w:bookmarkEnd w:id="741"/>
      <w:bookmarkEnd w:id="742"/>
    </w:p>
    <w:p>
      <w:pPr>
        <w:snapToGrid w:val="0"/>
        <w:spacing w:after="48" w:afterLines="20" w:line="360" w:lineRule="auto"/>
        <w:jc w:val="center"/>
        <w:rPr>
          <w:rFonts w:hint="eastAsia" w:ascii="宋体" w:hAnsi="宋体"/>
          <w:color w:val="000000"/>
          <w:sz w:val="24"/>
          <w:szCs w:val="24"/>
          <w:vertAlign w:val="superscript"/>
        </w:rPr>
      </w:pPr>
      <w:r>
        <w:rPr>
          <w:rFonts w:hint="eastAsia" w:ascii="宋体" w:hAnsi="宋体"/>
          <w:color w:val="000000"/>
          <w:sz w:val="24"/>
          <w:szCs w:val="24"/>
        </w:rPr>
        <w:t>企业名称</w:t>
      </w:r>
      <w:r>
        <w:rPr>
          <w:rFonts w:hint="eastAsia" w:ascii="宋体" w:hAnsi="宋体"/>
          <w:color w:val="000000"/>
          <w:sz w:val="24"/>
          <w:szCs w:val="24"/>
          <w:u w:val="single"/>
        </w:rPr>
        <w:t xml:space="preserve">：云南罗平锌电股份有限公司富乐铅锌矿  </w:t>
      </w:r>
      <w:r>
        <w:rPr>
          <w:rFonts w:hint="eastAsia" w:ascii="宋体" w:hAnsi="宋体"/>
          <w:color w:val="000000"/>
          <w:sz w:val="24"/>
          <w:szCs w:val="24"/>
        </w:rPr>
        <w:t>主要产品及产量</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591"/>
        <w:gridCol w:w="794"/>
        <w:gridCol w:w="1117"/>
        <w:gridCol w:w="1441"/>
        <w:gridCol w:w="1161"/>
        <w:gridCol w:w="1161"/>
        <w:gridCol w:w="1255"/>
        <w:gridCol w:w="8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173" w:hRule="atLeast"/>
          <w:jc w:val="center"/>
        </w:trPr>
        <w:tc>
          <w:tcPr>
            <w:tcW w:w="1141" w:type="dxa"/>
            <w:noWrap w:val="0"/>
            <w:vAlign w:val="top"/>
          </w:tcPr>
          <w:p>
            <w:pPr>
              <w:snapToGrid w:val="0"/>
              <w:jc w:val="center"/>
              <w:rPr>
                <w:rFonts w:ascii="宋体" w:hAnsi="宋体"/>
                <w:color w:val="000000"/>
                <w:szCs w:val="21"/>
              </w:rPr>
            </w:pPr>
            <w:r>
              <w:rPr>
                <w:rFonts w:hint="eastAsia" w:ascii="宋体" w:hAnsi="宋体"/>
                <w:color w:val="000000"/>
                <w:szCs w:val="21"/>
              </w:rPr>
              <w:t>指标名称</w:t>
            </w:r>
          </w:p>
        </w:tc>
        <w:tc>
          <w:tcPr>
            <w:tcW w:w="8352" w:type="dxa"/>
            <w:gridSpan w:val="8"/>
            <w:noWrap w:val="0"/>
            <w:vAlign w:val="center"/>
          </w:tcPr>
          <w:p>
            <w:pPr>
              <w:snapToGrid w:val="0"/>
              <w:jc w:val="center"/>
              <w:rPr>
                <w:rFonts w:ascii="宋体" w:hAnsi="宋体"/>
                <w:color w:val="000000"/>
                <w:szCs w:val="21"/>
              </w:rPr>
            </w:pPr>
            <w:r>
              <w:rPr>
                <w:rFonts w:hint="eastAsia" w:ascii="宋体" w:hAnsi="宋体"/>
                <w:color w:val="000000"/>
                <w:szCs w:val="21"/>
              </w:rPr>
              <w:t>具体信息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restart"/>
            <w:noWrap w:val="0"/>
            <w:vAlign w:val="center"/>
          </w:tcPr>
          <w:p>
            <w:pPr>
              <w:adjustRightInd w:val="0"/>
              <w:snapToGrid w:val="0"/>
              <w:rPr>
                <w:rFonts w:ascii="宋体" w:hAnsi="宋体"/>
                <w:bCs/>
                <w:color w:val="000000"/>
                <w:szCs w:val="21"/>
              </w:rPr>
            </w:pPr>
            <w:r>
              <w:rPr>
                <w:rFonts w:hint="eastAsia" w:ascii="宋体" w:hAnsi="宋体"/>
                <w:color w:val="000000"/>
                <w:szCs w:val="21"/>
              </w:rPr>
              <w:t>一、审核前后企业主要污染物产生指标（末端治理前）对比</w:t>
            </w:r>
          </w:p>
        </w:tc>
        <w:tc>
          <w:tcPr>
            <w:tcW w:w="59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序号</w:t>
            </w:r>
          </w:p>
        </w:tc>
        <w:tc>
          <w:tcPr>
            <w:tcW w:w="1911" w:type="dxa"/>
            <w:gridSpan w:val="2"/>
            <w:noWrap w:val="0"/>
            <w:vAlign w:val="center"/>
          </w:tcPr>
          <w:p>
            <w:pPr>
              <w:adjustRightInd w:val="0"/>
              <w:snapToGrid w:val="0"/>
              <w:jc w:val="center"/>
              <w:rPr>
                <w:rFonts w:ascii="宋体" w:hAnsi="宋体"/>
                <w:color w:val="000000"/>
                <w:szCs w:val="21"/>
              </w:rPr>
            </w:pPr>
            <w:r>
              <w:rPr>
                <w:rFonts w:hint="eastAsia" w:ascii="宋体" w:hAnsi="宋体"/>
                <w:color w:val="000000"/>
                <w:szCs w:val="21"/>
              </w:rPr>
              <w:t>项目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审核后</w:t>
            </w:r>
          </w:p>
        </w:tc>
        <w:tc>
          <w:tcPr>
            <w:tcW w:w="1255"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变化量</w:t>
            </w:r>
          </w:p>
        </w:tc>
        <w:tc>
          <w:tcPr>
            <w:tcW w:w="832"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2</w:t>
            </w:r>
          </w:p>
        </w:tc>
        <w:tc>
          <w:tcPr>
            <w:tcW w:w="1911" w:type="dxa"/>
            <w:gridSpan w:val="2"/>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4</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5</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6</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7</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8</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9</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10</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12</w:t>
            </w:r>
          </w:p>
        </w:tc>
        <w:tc>
          <w:tcPr>
            <w:tcW w:w="1911" w:type="dxa"/>
            <w:gridSpan w:val="2"/>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……根据企业情况补充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restart"/>
            <w:noWrap w:val="0"/>
            <w:vAlign w:val="center"/>
          </w:tcPr>
          <w:p>
            <w:pPr>
              <w:adjustRightInd w:val="0"/>
              <w:snapToGrid w:val="0"/>
              <w:rPr>
                <w:rFonts w:ascii="宋体" w:hAnsi="宋体"/>
                <w:bCs/>
                <w:color w:val="000000"/>
                <w:szCs w:val="21"/>
              </w:rPr>
            </w:pPr>
            <w:r>
              <w:rPr>
                <w:rFonts w:hint="eastAsia" w:ascii="宋体" w:hAnsi="宋体"/>
                <w:color w:val="000000"/>
                <w:szCs w:val="21"/>
              </w:rPr>
              <w:t>二、审核前后企业主要污染物排放指标对比</w:t>
            </w:r>
          </w:p>
        </w:tc>
        <w:tc>
          <w:tcPr>
            <w:tcW w:w="59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序号</w:t>
            </w:r>
          </w:p>
        </w:tc>
        <w:tc>
          <w:tcPr>
            <w:tcW w:w="1911" w:type="dxa"/>
            <w:gridSpan w:val="2"/>
            <w:noWrap w:val="0"/>
            <w:vAlign w:val="center"/>
          </w:tcPr>
          <w:p>
            <w:pPr>
              <w:adjustRightInd w:val="0"/>
              <w:snapToGrid w:val="0"/>
              <w:jc w:val="center"/>
              <w:rPr>
                <w:rFonts w:ascii="宋体" w:hAnsi="宋体"/>
                <w:color w:val="000000"/>
                <w:szCs w:val="21"/>
              </w:rPr>
            </w:pPr>
            <w:r>
              <w:rPr>
                <w:rFonts w:hint="eastAsia" w:ascii="宋体" w:hAnsi="宋体"/>
                <w:color w:val="000000"/>
                <w:szCs w:val="21"/>
              </w:rPr>
              <w:t>项目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审核后</w:t>
            </w:r>
          </w:p>
        </w:tc>
        <w:tc>
          <w:tcPr>
            <w:tcW w:w="1255"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变化量</w:t>
            </w:r>
          </w:p>
        </w:tc>
        <w:tc>
          <w:tcPr>
            <w:tcW w:w="832"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2</w:t>
            </w:r>
          </w:p>
        </w:tc>
        <w:tc>
          <w:tcPr>
            <w:tcW w:w="1911" w:type="dxa"/>
            <w:gridSpan w:val="2"/>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4</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161"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1255" w:type="dxa"/>
            <w:noWrap w:val="0"/>
            <w:vAlign w:val="top"/>
          </w:tcPr>
          <w:p>
            <w:pPr>
              <w:adjustRightInd w:val="0"/>
              <w:snapToGrid w:val="0"/>
              <w:jc w:val="center"/>
              <w:rPr>
                <w:rFonts w:hint="eastAsia" w:ascii="宋体" w:hAnsi="宋体"/>
                <w:color w:val="000000"/>
                <w:szCs w:val="21"/>
              </w:rPr>
            </w:pPr>
            <w:r>
              <w:rPr>
                <w:rFonts w:hint="eastAsia" w:ascii="宋体" w:hAnsi="宋体"/>
                <w:color w:val="000000"/>
                <w:szCs w:val="21"/>
              </w:rPr>
              <w:t>/</w:t>
            </w: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5</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6</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7</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8</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b/>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9</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10</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11</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12</w:t>
            </w:r>
          </w:p>
        </w:tc>
        <w:tc>
          <w:tcPr>
            <w:tcW w:w="1911" w:type="dxa"/>
            <w:gridSpan w:val="2"/>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13</w:t>
            </w:r>
          </w:p>
        </w:tc>
        <w:tc>
          <w:tcPr>
            <w:tcW w:w="1911" w:type="dxa"/>
            <w:gridSpan w:val="2"/>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……根据企业情况补充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restart"/>
            <w:noWrap w:val="0"/>
            <w:vAlign w:val="center"/>
          </w:tcPr>
          <w:p>
            <w:pPr>
              <w:adjustRightInd w:val="0"/>
              <w:snapToGrid w:val="0"/>
              <w:rPr>
                <w:rFonts w:ascii="宋体" w:hAnsi="宋体"/>
                <w:color w:val="000000"/>
                <w:szCs w:val="21"/>
              </w:rPr>
            </w:pPr>
            <w:r>
              <w:rPr>
                <w:rFonts w:hint="eastAsia" w:ascii="宋体" w:hAnsi="宋体"/>
                <w:color w:val="000000"/>
                <w:szCs w:val="21"/>
              </w:rPr>
              <w:t>三、审核前后企业各项单位产品指标对比表</w:t>
            </w:r>
          </w:p>
        </w:tc>
        <w:tc>
          <w:tcPr>
            <w:tcW w:w="59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序号</w:t>
            </w:r>
          </w:p>
        </w:tc>
        <w:tc>
          <w:tcPr>
            <w:tcW w:w="1911" w:type="dxa"/>
            <w:gridSpan w:val="2"/>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单位产品指标</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单位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审核前</w:t>
            </w:r>
          </w:p>
        </w:tc>
        <w:tc>
          <w:tcPr>
            <w:tcW w:w="1161"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审核后</w:t>
            </w:r>
          </w:p>
        </w:tc>
        <w:tc>
          <w:tcPr>
            <w:tcW w:w="1255"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变化量</w:t>
            </w:r>
          </w:p>
        </w:tc>
        <w:tc>
          <w:tcPr>
            <w:tcW w:w="832" w:type="dxa"/>
            <w:noWrap w:val="0"/>
            <w:vAlign w:val="center"/>
          </w:tcPr>
          <w:p>
            <w:pPr>
              <w:snapToGrid w:val="0"/>
              <w:ind w:left="-57" w:right="-57"/>
              <w:jc w:val="center"/>
              <w:rPr>
                <w:rFonts w:ascii="宋体" w:hAnsi="宋体"/>
                <w:color w:val="000000"/>
                <w:szCs w:val="21"/>
              </w:rPr>
            </w:pPr>
            <w:r>
              <w:rPr>
                <w:rFonts w:hint="eastAsia" w:ascii="宋体" w:hAnsi="宋体"/>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1</w:t>
            </w:r>
          </w:p>
        </w:tc>
        <w:tc>
          <w:tcPr>
            <w:tcW w:w="1911" w:type="dxa"/>
            <w:gridSpan w:val="2"/>
            <w:noWrap w:val="0"/>
            <w:vAlign w:val="center"/>
          </w:tcPr>
          <w:p>
            <w:pPr>
              <w:snapToGrid w:val="0"/>
              <w:ind w:left="-57" w:right="-57"/>
              <w:rPr>
                <w:rFonts w:ascii="宋体" w:hAnsi="宋体"/>
                <w:color w:val="000000"/>
                <w:szCs w:val="21"/>
              </w:rPr>
            </w:pPr>
            <w:r>
              <w:rPr>
                <w:rFonts w:hint="eastAsia" w:ascii="宋体" w:hAnsi="宋体"/>
                <w:color w:val="000000"/>
                <w:szCs w:val="21"/>
              </w:rPr>
              <w:t>单位产品耗水量</w:t>
            </w:r>
          </w:p>
        </w:tc>
        <w:tc>
          <w:tcPr>
            <w:tcW w:w="1441" w:type="dxa"/>
            <w:noWrap w:val="0"/>
            <w:vAlign w:val="center"/>
          </w:tcPr>
          <w:p>
            <w:pPr>
              <w:adjustRightInd w:val="0"/>
              <w:snapToGrid w:val="0"/>
              <w:ind w:leftChars="-51" w:right="-107" w:rightChars="-51" w:hanging="107" w:hangingChars="51"/>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noWrap w:val="0"/>
            <w:vAlign w:val="center"/>
          </w:tcPr>
          <w:p>
            <w:pPr>
              <w:adjustRightInd w:val="0"/>
              <w:snapToGrid w:val="0"/>
              <w:jc w:val="center"/>
              <w:rPr>
                <w:rFonts w:ascii="宋体" w:hAnsi="宋体"/>
                <w:color w:val="000000"/>
                <w:szCs w:val="21"/>
              </w:rPr>
            </w:pPr>
            <w:r>
              <w:rPr>
                <w:rFonts w:ascii="宋体" w:hAnsi="宋体"/>
                <w:color w:val="000000"/>
                <w:szCs w:val="21"/>
              </w:rPr>
              <w:t>2</w:t>
            </w:r>
          </w:p>
        </w:tc>
        <w:tc>
          <w:tcPr>
            <w:tcW w:w="1911" w:type="dxa"/>
            <w:gridSpan w:val="2"/>
            <w:noWrap w:val="0"/>
            <w:vAlign w:val="center"/>
          </w:tcPr>
          <w:p>
            <w:pPr>
              <w:snapToGrid w:val="0"/>
              <w:ind w:left="-57" w:right="-57"/>
              <w:rPr>
                <w:rFonts w:ascii="宋体" w:hAnsi="宋体"/>
                <w:color w:val="000000"/>
                <w:szCs w:val="21"/>
              </w:rPr>
            </w:pPr>
            <w:r>
              <w:rPr>
                <w:rFonts w:hint="eastAsia" w:ascii="宋体" w:hAnsi="宋体"/>
                <w:color w:val="000000"/>
                <w:szCs w:val="21"/>
              </w:rPr>
              <w:t>单位产品综合能耗</w:t>
            </w:r>
          </w:p>
        </w:tc>
        <w:tc>
          <w:tcPr>
            <w:tcW w:w="1441" w:type="dxa"/>
            <w:noWrap w:val="0"/>
            <w:vAlign w:val="center"/>
          </w:tcPr>
          <w:p>
            <w:pPr>
              <w:adjustRightInd w:val="0"/>
              <w:snapToGrid w:val="0"/>
              <w:rPr>
                <w:rFonts w:ascii="宋体" w:hAnsi="宋体"/>
                <w:color w:val="000000"/>
                <w:szCs w:val="21"/>
              </w:rPr>
            </w:pPr>
            <w:r>
              <w:rPr>
                <w:rFonts w:hint="eastAsia" w:ascii="宋体" w:hAnsi="宋体"/>
                <w:color w:val="000000"/>
                <w:szCs w:val="21"/>
              </w:rPr>
              <w:t>kgce</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restart"/>
            <w:noWrap w:val="0"/>
            <w:vAlign w:val="center"/>
          </w:tcPr>
          <w:p>
            <w:pPr>
              <w:adjustRightInd w:val="0"/>
              <w:snapToGrid w:val="0"/>
              <w:jc w:val="center"/>
              <w:rPr>
                <w:rFonts w:ascii="宋体" w:hAnsi="宋体"/>
                <w:color w:val="000000"/>
                <w:szCs w:val="21"/>
              </w:rPr>
            </w:pPr>
            <w:r>
              <w:rPr>
                <w:rFonts w:ascii="宋体" w:hAnsi="宋体"/>
                <w:color w:val="000000"/>
                <w:szCs w:val="21"/>
              </w:rPr>
              <w:t>3</w:t>
            </w:r>
          </w:p>
        </w:tc>
        <w:tc>
          <w:tcPr>
            <w:tcW w:w="794" w:type="dxa"/>
            <w:vMerge w:val="restart"/>
            <w:noWrap w:val="0"/>
            <w:vAlign w:val="center"/>
          </w:tcPr>
          <w:p>
            <w:pPr>
              <w:snapToGrid w:val="0"/>
              <w:jc w:val="center"/>
              <w:rPr>
                <w:rFonts w:ascii="宋体" w:hAnsi="宋体"/>
                <w:color w:val="000000"/>
                <w:szCs w:val="21"/>
              </w:rPr>
            </w:pPr>
            <w:r>
              <w:rPr>
                <w:rFonts w:hint="eastAsia" w:ascii="宋体" w:hAnsi="宋体"/>
                <w:color w:val="000000"/>
                <w:szCs w:val="21"/>
              </w:rPr>
              <w:t>单位产品主要污染物产生量</w:t>
            </w: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废水量</w:t>
            </w:r>
          </w:p>
        </w:tc>
        <w:tc>
          <w:tcPr>
            <w:tcW w:w="1441" w:type="dxa"/>
            <w:noWrap w:val="0"/>
            <w:vAlign w:val="center"/>
          </w:tcPr>
          <w:p>
            <w:pPr>
              <w:adjustRightInd w:val="0"/>
              <w:snapToGrid w:val="0"/>
              <w:ind w:leftChars="-51" w:right="-107" w:rightChars="-51" w:hanging="107" w:hangingChars="51"/>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rPr>
                <w:rFonts w:ascii="宋体" w:hAnsi="宋体"/>
                <w:color w:val="000000"/>
                <w:szCs w:val="21"/>
              </w:rPr>
            </w:pPr>
          </w:p>
        </w:tc>
        <w:tc>
          <w:tcPr>
            <w:tcW w:w="1117" w:type="dxa"/>
            <w:noWrap w:val="0"/>
            <w:vAlign w:val="center"/>
          </w:tcPr>
          <w:p>
            <w:pPr>
              <w:adjustRightInd w:val="0"/>
              <w:snapToGrid w:val="0"/>
              <w:rPr>
                <w:rFonts w:ascii="宋体" w:hAnsi="宋体"/>
                <w:color w:val="000000"/>
                <w:szCs w:val="21"/>
              </w:rPr>
            </w:pPr>
            <w:r>
              <w:rPr>
                <w:rFonts w:hint="eastAsia" w:ascii="宋体" w:hAnsi="宋体"/>
                <w:color w:val="000000"/>
                <w:szCs w:val="21"/>
              </w:rPr>
              <w:t>…（补充）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restart"/>
            <w:noWrap w:val="0"/>
            <w:vAlign w:val="center"/>
          </w:tcPr>
          <w:p>
            <w:pPr>
              <w:adjustRightInd w:val="0"/>
              <w:snapToGrid w:val="0"/>
              <w:jc w:val="center"/>
              <w:rPr>
                <w:rFonts w:ascii="宋体" w:hAnsi="宋体"/>
                <w:color w:val="000000"/>
                <w:szCs w:val="21"/>
              </w:rPr>
            </w:pPr>
            <w:r>
              <w:rPr>
                <w:rFonts w:ascii="宋体" w:hAnsi="宋体"/>
                <w:color w:val="000000"/>
                <w:szCs w:val="21"/>
              </w:rPr>
              <w:t>4</w:t>
            </w:r>
          </w:p>
        </w:tc>
        <w:tc>
          <w:tcPr>
            <w:tcW w:w="794" w:type="dxa"/>
            <w:vMerge w:val="restart"/>
            <w:noWrap w:val="0"/>
            <w:vAlign w:val="center"/>
          </w:tcPr>
          <w:p>
            <w:pPr>
              <w:snapToGrid w:val="0"/>
              <w:ind w:left="-57" w:right="-57"/>
              <w:jc w:val="center"/>
              <w:rPr>
                <w:rFonts w:ascii="宋体" w:hAnsi="宋体"/>
                <w:color w:val="000000"/>
                <w:szCs w:val="21"/>
              </w:rPr>
            </w:pPr>
            <w:r>
              <w:rPr>
                <w:rFonts w:hint="eastAsia" w:ascii="宋体" w:hAnsi="宋体"/>
                <w:color w:val="000000"/>
                <w:szCs w:val="21"/>
              </w:rPr>
              <w:t>单位产品主要污染物排放量</w:t>
            </w: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废水量</w:t>
            </w:r>
          </w:p>
        </w:tc>
        <w:tc>
          <w:tcPr>
            <w:tcW w:w="1441" w:type="dxa"/>
            <w:noWrap w:val="0"/>
            <w:vAlign w:val="center"/>
          </w:tcPr>
          <w:p>
            <w:pPr>
              <w:adjustRightInd w:val="0"/>
              <w:snapToGrid w:val="0"/>
              <w:ind w:leftChars="-51" w:right="-107" w:rightChars="-51" w:hanging="107" w:hangingChars="51"/>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ascii="宋体" w:hAnsi="宋体"/>
                <w:bCs/>
                <w:color w:val="000000"/>
                <w:szCs w:val="21"/>
              </w:rPr>
              <w:t>COD</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spacing w:line="320" w:lineRule="exact"/>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氨氮</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总磷</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r>
              <w:rPr>
                <w:rFonts w:ascii="宋体" w:hAnsi="宋体"/>
                <w:color w:val="000000"/>
                <w:szCs w:val="21"/>
              </w:rPr>
              <w:t>/</w:t>
            </w:r>
            <w:r>
              <w:rPr>
                <w:rFonts w:hint="eastAsia" w:ascii="宋体" w:hAnsi="宋体"/>
                <w:color w:val="000000"/>
                <w:szCs w:val="21"/>
              </w:rPr>
              <w:t>单位产品</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废气排放量</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万标立方米</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二氧化硫</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氮氧化物</w:t>
            </w:r>
          </w:p>
        </w:tc>
        <w:tc>
          <w:tcPr>
            <w:tcW w:w="1441" w:type="dxa"/>
            <w:noWrap w:val="0"/>
            <w:vAlign w:val="top"/>
          </w:tcPr>
          <w:p>
            <w:pPr>
              <w:jc w:val="center"/>
              <w:rPr>
                <w:rFonts w:ascii="宋体" w:hAnsi="宋体"/>
                <w:color w:val="000000"/>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color w:val="000000"/>
                <w:szCs w:val="21"/>
              </w:rPr>
              <w:t>粉尘</w:t>
            </w:r>
          </w:p>
        </w:tc>
        <w:tc>
          <w:tcPr>
            <w:tcW w:w="1441" w:type="dxa"/>
            <w:noWrap w:val="0"/>
            <w:vAlign w:val="top"/>
          </w:tcPr>
          <w:p>
            <w:pPr>
              <w:jc w:val="center"/>
              <w:rPr>
                <w:rFonts w:ascii="宋体" w:hAnsi="宋体"/>
                <w:color w:val="000000"/>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烟尘</w:t>
            </w:r>
          </w:p>
        </w:tc>
        <w:tc>
          <w:tcPr>
            <w:tcW w:w="1441" w:type="dxa"/>
            <w:noWrap w:val="0"/>
            <w:vAlign w:val="top"/>
          </w:tcPr>
          <w:p>
            <w:pPr>
              <w:jc w:val="center"/>
              <w:rPr>
                <w:rFonts w:ascii="宋体" w:hAnsi="宋体"/>
                <w:color w:val="000000"/>
              </w:rPr>
            </w:pPr>
            <w:r>
              <w:rPr>
                <w:rFonts w:hint="eastAsia" w:ascii="宋体" w:hAnsi="宋体"/>
                <w:color w:val="000000"/>
                <w:szCs w:val="21"/>
              </w:rPr>
              <w:t>kg</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一般固废</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ascii="宋体" w:hAnsi="宋体"/>
                <w:bCs/>
                <w:color w:val="000000"/>
                <w:szCs w:val="21"/>
              </w:rPr>
            </w:pPr>
            <w:r>
              <w:rPr>
                <w:rFonts w:hint="eastAsia" w:ascii="宋体" w:hAnsi="宋体"/>
                <w:bCs/>
                <w:color w:val="000000"/>
                <w:szCs w:val="21"/>
              </w:rPr>
              <w:t>危险废物</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hint="eastAsia"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jc w:val="center"/>
              <w:rPr>
                <w:rFonts w:hint="eastAsia" w:ascii="宋体" w:hAnsi="宋体"/>
                <w:bCs/>
                <w:color w:val="000000"/>
                <w:szCs w:val="21"/>
              </w:rPr>
            </w:pPr>
            <w:r>
              <w:rPr>
                <w:rFonts w:hint="eastAsia" w:ascii="宋体" w:hAnsi="宋体"/>
                <w:bCs/>
                <w:color w:val="000000"/>
                <w:szCs w:val="21"/>
              </w:rPr>
              <w:t>危险化学品</w:t>
            </w:r>
          </w:p>
        </w:tc>
        <w:tc>
          <w:tcPr>
            <w:tcW w:w="1441" w:type="dxa"/>
            <w:noWrap w:val="0"/>
            <w:vAlign w:val="center"/>
          </w:tcPr>
          <w:p>
            <w:pPr>
              <w:adjustRightInd w:val="0"/>
              <w:snapToGrid w:val="0"/>
              <w:jc w:val="center"/>
              <w:rPr>
                <w:rFonts w:ascii="宋体" w:hAnsi="宋体"/>
                <w:color w:val="000000"/>
                <w:szCs w:val="21"/>
              </w:rPr>
            </w:pPr>
            <w:r>
              <w:rPr>
                <w:rFonts w:hint="eastAsia" w:ascii="宋体" w:hAnsi="宋体"/>
                <w:color w:val="000000"/>
                <w:szCs w:val="21"/>
              </w:rPr>
              <w:t>吨</w:t>
            </w: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hint="eastAsia" w:ascii="宋体" w:hAnsi="宋体"/>
                <w:color w:val="000000"/>
                <w:szCs w:val="21"/>
              </w:rPr>
            </w:pPr>
          </w:p>
        </w:tc>
        <w:tc>
          <w:tcPr>
            <w:tcW w:w="1255" w:type="dxa"/>
            <w:noWrap w:val="0"/>
            <w:vAlign w:val="top"/>
          </w:tcPr>
          <w:p>
            <w:pPr>
              <w:adjustRightInd w:val="0"/>
              <w:snapToGrid w:val="0"/>
              <w:jc w:val="center"/>
              <w:rPr>
                <w:rFonts w:hint="eastAsia"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wBefore w:w="0" w:type="dxa"/>
          <w:wAfter w:w="0" w:type="dxa"/>
          <w:cantSplit/>
          <w:trHeight w:val="80" w:hRule="atLeast"/>
          <w:jc w:val="center"/>
        </w:trPr>
        <w:tc>
          <w:tcPr>
            <w:tcW w:w="1141" w:type="dxa"/>
            <w:vMerge w:val="continue"/>
            <w:noWrap w:val="0"/>
            <w:vAlign w:val="center"/>
          </w:tcPr>
          <w:p>
            <w:pPr>
              <w:adjustRightInd w:val="0"/>
              <w:snapToGrid w:val="0"/>
              <w:rPr>
                <w:rFonts w:ascii="宋体" w:hAnsi="宋体"/>
                <w:bCs/>
                <w:color w:val="000000"/>
                <w:szCs w:val="21"/>
              </w:rPr>
            </w:pPr>
          </w:p>
        </w:tc>
        <w:tc>
          <w:tcPr>
            <w:tcW w:w="591" w:type="dxa"/>
            <w:vMerge w:val="continue"/>
            <w:noWrap w:val="0"/>
            <w:vAlign w:val="center"/>
          </w:tcPr>
          <w:p>
            <w:pPr>
              <w:adjustRightInd w:val="0"/>
              <w:snapToGrid w:val="0"/>
              <w:jc w:val="center"/>
              <w:rPr>
                <w:rFonts w:ascii="宋体" w:hAnsi="宋体"/>
                <w:color w:val="000000"/>
                <w:szCs w:val="21"/>
              </w:rPr>
            </w:pPr>
          </w:p>
        </w:tc>
        <w:tc>
          <w:tcPr>
            <w:tcW w:w="794" w:type="dxa"/>
            <w:vMerge w:val="continue"/>
            <w:noWrap w:val="0"/>
            <w:vAlign w:val="center"/>
          </w:tcPr>
          <w:p>
            <w:pPr>
              <w:snapToGrid w:val="0"/>
              <w:ind w:left="-57" w:right="-57"/>
              <w:rPr>
                <w:rFonts w:ascii="宋体" w:hAnsi="宋体"/>
                <w:color w:val="000000"/>
                <w:szCs w:val="21"/>
              </w:rPr>
            </w:pPr>
          </w:p>
        </w:tc>
        <w:tc>
          <w:tcPr>
            <w:tcW w:w="1117" w:type="dxa"/>
            <w:noWrap w:val="0"/>
            <w:vAlign w:val="center"/>
          </w:tcPr>
          <w:p>
            <w:pPr>
              <w:adjustRightInd w:val="0"/>
              <w:snapToGrid w:val="0"/>
              <w:rPr>
                <w:rFonts w:ascii="宋体" w:hAnsi="宋体"/>
                <w:color w:val="000000"/>
                <w:szCs w:val="21"/>
              </w:rPr>
            </w:pPr>
            <w:r>
              <w:rPr>
                <w:rFonts w:hint="eastAsia" w:ascii="宋体" w:hAnsi="宋体"/>
                <w:color w:val="000000"/>
                <w:szCs w:val="21"/>
              </w:rPr>
              <w:t>…（补充）</w:t>
            </w:r>
          </w:p>
        </w:tc>
        <w:tc>
          <w:tcPr>
            <w:tcW w:w="1441" w:type="dxa"/>
            <w:noWrap w:val="0"/>
            <w:vAlign w:val="center"/>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161" w:type="dxa"/>
            <w:noWrap w:val="0"/>
            <w:vAlign w:val="top"/>
          </w:tcPr>
          <w:p>
            <w:pPr>
              <w:adjustRightInd w:val="0"/>
              <w:snapToGrid w:val="0"/>
              <w:jc w:val="center"/>
              <w:rPr>
                <w:rFonts w:ascii="宋体" w:hAnsi="宋体"/>
                <w:color w:val="000000"/>
                <w:szCs w:val="21"/>
              </w:rPr>
            </w:pPr>
          </w:p>
        </w:tc>
        <w:tc>
          <w:tcPr>
            <w:tcW w:w="1255" w:type="dxa"/>
            <w:noWrap w:val="0"/>
            <w:vAlign w:val="top"/>
          </w:tcPr>
          <w:p>
            <w:pPr>
              <w:adjustRightInd w:val="0"/>
              <w:snapToGrid w:val="0"/>
              <w:jc w:val="center"/>
              <w:rPr>
                <w:rFonts w:ascii="宋体" w:hAnsi="宋体"/>
                <w:color w:val="000000"/>
                <w:szCs w:val="21"/>
              </w:rPr>
            </w:pPr>
          </w:p>
        </w:tc>
        <w:tc>
          <w:tcPr>
            <w:tcW w:w="832" w:type="dxa"/>
            <w:noWrap w:val="0"/>
            <w:vAlign w:val="top"/>
          </w:tcPr>
          <w:p>
            <w:pPr>
              <w:adjustRightInd w:val="0"/>
              <w:snapToGrid w:val="0"/>
              <w:jc w:val="center"/>
              <w:rPr>
                <w:rFonts w:ascii="宋体" w:hAnsi="宋体"/>
                <w:color w:val="000000"/>
                <w:szCs w:val="21"/>
              </w:rPr>
            </w:pPr>
          </w:p>
        </w:tc>
      </w:tr>
    </w:tbl>
    <w:p>
      <w:pPr>
        <w:rPr>
          <w:rFonts w:hint="eastAsia" w:ascii="宋体" w:hAnsi="宋体"/>
          <w:b/>
          <w:color w:val="000000"/>
          <w:sz w:val="24"/>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rPr>
          <w:rFonts w:hint="eastAsia" w:ascii="宋体" w:hAnsi="宋体" w:cs="宋体"/>
          <w:color w:val="000000"/>
          <w:kern w:val="0"/>
          <w:sz w:val="28"/>
          <w:szCs w:val="28"/>
        </w:rPr>
      </w:pPr>
    </w:p>
    <w:p>
      <w:pPr>
        <w:pStyle w:val="5"/>
        <w:spacing w:before="120" w:beforeLines="50" w:after="120" w:afterLines="50" w:line="360" w:lineRule="auto"/>
        <w:rPr>
          <w:rFonts w:hint="eastAsia" w:ascii="宋体" w:hAnsi="宋体"/>
          <w:bCs w:val="0"/>
          <w:color w:val="000000"/>
          <w:sz w:val="28"/>
          <w:szCs w:val="28"/>
        </w:rPr>
      </w:pPr>
      <w:bookmarkStart w:id="743" w:name="_Toc422252575"/>
      <w:bookmarkStart w:id="744" w:name="_Toc23000965"/>
      <w:r>
        <w:rPr>
          <w:rFonts w:hint="eastAsia" w:ascii="宋体" w:hAnsi="宋体"/>
          <w:bCs w:val="0"/>
          <w:color w:val="000000"/>
          <w:sz w:val="28"/>
          <w:szCs w:val="28"/>
        </w:rPr>
        <w:t>附件3：辅导企业清洁生产审核师资格证书</w:t>
      </w:r>
      <w:bookmarkEnd w:id="743"/>
      <w:bookmarkEnd w:id="744"/>
    </w:p>
    <w:p>
      <w:pPr>
        <w:rPr>
          <w:rFonts w:hint="eastAsia" w:ascii="宋体" w:hAnsi="宋体"/>
          <w:color w:val="000000"/>
          <w:sz w:val="28"/>
          <w:szCs w:val="28"/>
        </w:rPr>
      </w:pPr>
      <w:r>
        <w:rPr>
          <w:rFonts w:hint="eastAsia" w:ascii="宋体" w:hAnsi="宋体"/>
          <w:color w:val="000000"/>
          <w:sz w:val="28"/>
          <w:szCs w:val="28"/>
          <w:lang/>
        </w:rPr>
        <mc:AlternateContent>
          <mc:Choice Requires="wps">
            <w:drawing>
              <wp:anchor distT="0" distB="0" distL="114300" distR="114300" simplePos="0" relativeHeight="251676672" behindDoc="0" locked="0" layoutInCell="1" allowOverlap="1">
                <wp:simplePos x="0" y="0"/>
                <wp:positionH relativeFrom="column">
                  <wp:posOffset>-685800</wp:posOffset>
                </wp:positionH>
                <wp:positionV relativeFrom="paragraph">
                  <wp:posOffset>73025</wp:posOffset>
                </wp:positionV>
                <wp:extent cx="6743700" cy="3665220"/>
                <wp:effectExtent l="4445" t="4445" r="14605" b="6985"/>
                <wp:wrapNone/>
                <wp:docPr id="156" name="矩形 5374"/>
                <wp:cNvGraphicFramePr/>
                <a:graphic xmlns:a="http://schemas.openxmlformats.org/drawingml/2006/main">
                  <a:graphicData uri="http://schemas.microsoft.com/office/word/2010/wordprocessingShape">
                    <wps:wsp>
                      <wps:cNvSpPr/>
                      <wps:spPr>
                        <a:xfrm>
                          <a:off x="0" y="0"/>
                          <a:ext cx="6743700" cy="366522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sz w:val="28"/>
                                <w:szCs w:val="28"/>
                              </w:rPr>
                              <w:drawing>
                                <wp:inline distT="0" distB="0" distL="114300" distR="114300">
                                  <wp:extent cx="6526530" cy="3712845"/>
                                  <wp:effectExtent l="0" t="0" r="7620" b="1905"/>
                                  <wp:docPr id="180" name="图片 16" descr="审核师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6" descr="审核师合格证"/>
                                          <pic:cNvPicPr>
                                            <a:picLocks noChangeAspect="1"/>
                                          </pic:cNvPicPr>
                                        </pic:nvPicPr>
                                        <pic:blipFill>
                                          <a:blip r:embed="rId23"/>
                                          <a:stretch>
                                            <a:fillRect/>
                                          </a:stretch>
                                        </pic:blipFill>
                                        <pic:spPr>
                                          <a:xfrm>
                                            <a:off x="0" y="0"/>
                                            <a:ext cx="6526530" cy="37128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wps:txbx>
                      <wps:bodyPr wrap="square" upright="1"/>
                    </wps:wsp>
                  </a:graphicData>
                </a:graphic>
              </wp:anchor>
            </w:drawing>
          </mc:Choice>
          <mc:Fallback>
            <w:pict>
              <v:rect id="矩形 5374" o:spid="_x0000_s1026" o:spt="1" style="position:absolute;left:0pt;margin-left:-54pt;margin-top:5.75pt;height:288.6pt;width:531pt;z-index:251676672;mso-width-relative:page;mso-height-relative:page;" fillcolor="#FFFFFF" filled="t" stroked="t" coordsize="21600,21600" o:gfxdata="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w9L5/9gAAAALAQAADwAAAAAAAAABACAA&#10;AAAiAAAAZHJzL2Rvd25yZXYueG1sUEsBAhQAFAAAAAgAh07iQCqCMWQNAgAAPQQAAA4AAAAAAAAA&#10;AQAgAAAAJwEAAGRycy9lMm9Eb2MueG1sUEsFBgAAAAAGAAYAWQEAAKYFAAAAAA==&#10;">
                <v:fill on="t" focussize="0,0"/>
                <v:stroke color="#FFFFFF" joinstyle="miter"/>
                <v:imagedata o:title=""/>
                <o:lock v:ext="edit" aspectratio="f"/>
                <v:textbox>
                  <w:txbxContent>
                    <w:p>
                      <w:pPr>
                        <w:rPr>
                          <w:rFonts w:hint="eastAsia"/>
                        </w:rPr>
                      </w:pPr>
                      <w:r>
                        <w:rPr>
                          <w:sz w:val="28"/>
                          <w:szCs w:val="28"/>
                        </w:rPr>
                        <w:drawing>
                          <wp:inline distT="0" distB="0" distL="114300" distR="114300">
                            <wp:extent cx="6526530" cy="3712845"/>
                            <wp:effectExtent l="0" t="0" r="7620" b="1905"/>
                            <wp:docPr id="180" name="图片 16" descr="审核师合格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图片 16" descr="审核师合格证"/>
                                    <pic:cNvPicPr>
                                      <a:picLocks noChangeAspect="1"/>
                                    </pic:cNvPicPr>
                                  </pic:nvPicPr>
                                  <pic:blipFill>
                                    <a:blip r:embed="rId23"/>
                                    <a:stretch>
                                      <a:fillRect/>
                                    </a:stretch>
                                  </pic:blipFill>
                                  <pic:spPr>
                                    <a:xfrm>
                                      <a:off x="0" y="0"/>
                                      <a:ext cx="6526530" cy="3712845"/>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txbxContent>
                </v:textbox>
              </v:rect>
            </w:pict>
          </mc:Fallback>
        </mc:AlternateContent>
      </w: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sz w:val="28"/>
          <w:szCs w:val="28"/>
        </w:rPr>
      </w:pPr>
    </w:p>
    <w:p>
      <w:pPr>
        <w:rPr>
          <w:rFonts w:hint="eastAsia" w:ascii="宋体" w:hAnsi="宋体"/>
          <w:color w:val="000000"/>
        </w:rPr>
      </w:pPr>
    </w:p>
    <w:p>
      <w:pPr>
        <w:rPr>
          <w:rFonts w:hint="eastAsia" w:ascii="宋体" w:hAnsi="宋体"/>
          <w:color w:val="000000"/>
          <w:lang w:val="zh-CN"/>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r>
        <w:rPr>
          <w:rFonts w:hint="eastAsia" w:ascii="宋体" w:hAnsi="宋体"/>
          <w:color w:val="000000"/>
          <w:lang/>
        </w:rPr>
        <mc:AlternateContent>
          <mc:Choice Requires="wps">
            <w:drawing>
              <wp:anchor distT="0" distB="0" distL="114300" distR="114300" simplePos="0" relativeHeight="251677696" behindDoc="0" locked="0" layoutInCell="1" allowOverlap="1">
                <wp:simplePos x="0" y="0"/>
                <wp:positionH relativeFrom="column">
                  <wp:posOffset>0</wp:posOffset>
                </wp:positionH>
                <wp:positionV relativeFrom="paragraph">
                  <wp:posOffset>36195</wp:posOffset>
                </wp:positionV>
                <wp:extent cx="5829300" cy="3962400"/>
                <wp:effectExtent l="4445" t="4445" r="14605" b="14605"/>
                <wp:wrapNone/>
                <wp:docPr id="157" name="矩形 5375"/>
                <wp:cNvGraphicFramePr/>
                <a:graphic xmlns:a="http://schemas.openxmlformats.org/drawingml/2006/main">
                  <a:graphicData uri="http://schemas.microsoft.com/office/word/2010/wordprocessingShape">
                    <wps:wsp>
                      <wps:cNvSpPr/>
                      <wps:spPr>
                        <a:xfrm>
                          <a:off x="0" y="0"/>
                          <a:ext cx="5829300" cy="396240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drawing>
                                <wp:inline distT="0" distB="0" distL="114300" distR="114300">
                                  <wp:extent cx="5720715" cy="3823970"/>
                                  <wp:effectExtent l="0" t="0" r="13335" b="5080"/>
                                  <wp:docPr id="181" name="图片 17" descr="IMG2015061012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 descr="IMG20150610120426"/>
                                          <pic:cNvPicPr>
                                            <a:picLocks noChangeAspect="1"/>
                                          </pic:cNvPicPr>
                                        </pic:nvPicPr>
                                        <pic:blipFill>
                                          <a:blip r:embed="rId24"/>
                                          <a:stretch>
                                            <a:fillRect/>
                                          </a:stretch>
                                        </pic:blipFill>
                                        <pic:spPr>
                                          <a:xfrm>
                                            <a:off x="0" y="0"/>
                                            <a:ext cx="5720715" cy="382397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txbxContent>
                      </wps:txbx>
                      <wps:bodyPr wrap="square" upright="1"/>
                    </wps:wsp>
                  </a:graphicData>
                </a:graphic>
              </wp:anchor>
            </w:drawing>
          </mc:Choice>
          <mc:Fallback>
            <w:pict>
              <v:rect id="矩形 5375" o:spid="_x0000_s1026" o:spt="1" style="position:absolute;left:0pt;margin-left:0pt;margin-top:2.85pt;height:312pt;width:459pt;z-index:251677696;mso-width-relative:page;mso-height-relative:page;" fillcolor="#FFFFFF" filled="t" stroked="t" coordsize="21600,21600" o:gfxdata="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eeldANQAAAAGAQAADwAAAAAAAAABACAAAAAiAAAA&#10;ZHJzL2Rvd25yZXYueG1sUEsBAhQAFAAAAAgAh07iQOMcsO0LAgAAPQQAAA4AAAAAAAAAAQAgAAAA&#10;IwEAAGRycy9lMm9Eb2MueG1sUEsFBgAAAAAGAAYAWQEAAKAFAAAAAA==&#10;">
                <v:fill on="t" focussize="0,0"/>
                <v:stroke color="#FFFFFF" joinstyle="miter"/>
                <v:imagedata o:title=""/>
                <o:lock v:ext="edit" aspectratio="f"/>
                <v:textbox>
                  <w:txbxContent>
                    <w:p>
                      <w:pPr>
                        <w:rPr>
                          <w:rFonts w:hint="eastAsia"/>
                        </w:rPr>
                      </w:pPr>
                      <w:r>
                        <w:drawing>
                          <wp:inline distT="0" distB="0" distL="114300" distR="114300">
                            <wp:extent cx="5720715" cy="3823970"/>
                            <wp:effectExtent l="0" t="0" r="13335" b="5080"/>
                            <wp:docPr id="181" name="图片 17" descr="IMG20150610120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图片 17" descr="IMG20150610120426"/>
                                    <pic:cNvPicPr>
                                      <a:picLocks noChangeAspect="1"/>
                                    </pic:cNvPicPr>
                                  </pic:nvPicPr>
                                  <pic:blipFill>
                                    <a:blip r:embed="rId24"/>
                                    <a:stretch>
                                      <a:fillRect/>
                                    </a:stretch>
                                  </pic:blipFill>
                                  <pic:spPr>
                                    <a:xfrm>
                                      <a:off x="0" y="0"/>
                                      <a:ext cx="5720715" cy="3823970"/>
                                    </a:xfrm>
                                    <a:prstGeom prst="rect">
                                      <a:avLst/>
                                    </a:prstGeom>
                                    <a:noFill/>
                                    <a:ln>
                                      <a:noFill/>
                                    </a:ln>
                                  </pic:spPr>
                                </pic:pic>
                              </a:graphicData>
                            </a:graphic>
                          </wp:inline>
                        </w:drawing>
                      </w:r>
                    </w:p>
                    <w:p>
                      <w:pPr>
                        <w:rPr>
                          <w:rFonts w:hint="eastAsia"/>
                        </w:rPr>
                      </w:pPr>
                    </w:p>
                    <w:p>
                      <w:pPr>
                        <w:rPr>
                          <w:rFonts w:hint="eastAsia"/>
                        </w:rPr>
                      </w:pPr>
                    </w:p>
                    <w:p>
                      <w:pPr>
                        <w:rPr>
                          <w:rFonts w:hint="eastAsia"/>
                        </w:rPr>
                      </w:pPr>
                    </w:p>
                    <w:p>
                      <w:pPr>
                        <w:rPr>
                          <w:rFonts w:hint="eastAsia"/>
                        </w:rPr>
                      </w:pPr>
                    </w:p>
                  </w:txbxContent>
                </v:textbox>
              </v:rect>
            </w:pict>
          </mc:Fallback>
        </mc:AlternateContent>
      </w: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ascii="宋体" w:hAnsi="宋体"/>
          <w:color w:val="000000"/>
        </w:rPr>
      </w:pPr>
    </w:p>
    <w:p>
      <w:pPr>
        <w:rPr>
          <w:rFonts w:hint="eastAsia"/>
          <w:color w:val="000000"/>
          <w:lang w:val="zh-CN"/>
        </w:rPr>
      </w:pPr>
    </w:p>
    <w:sectPr>
      <w:pgSz w:w="11906" w:h="16838"/>
      <w:pgMar w:top="1247" w:right="1418" w:bottom="1247" w:left="1418" w:header="720" w:footer="720" w:gutter="0"/>
      <w:cols w:space="720" w:num="1"/>
      <w:titlePg/>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楷体">
    <w:panose1 w:val="02010609060101010101"/>
    <w:charset w:val="86"/>
    <w:family w:val="modern"/>
    <w:pitch w:val="default"/>
    <w:sig w:usb0="800002BF" w:usb1="38CF7CFA" w:usb2="00000016" w:usb3="00000000" w:csb0="00040001" w:csb1="00000000"/>
  </w:font>
  <w:font w:name="Courier New">
    <w:panose1 w:val="02070309020205020404"/>
    <w:charset w:val="00"/>
    <w:family w:val="modern"/>
    <w:pitch w:val="default"/>
    <w:sig w:usb0="E0002AFF" w:usb1="C0007843"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Microsoft JhengHei">
    <w:panose1 w:val="020B0604030504040204"/>
    <w:charset w:val="88"/>
    <w:family w:val="swiss"/>
    <w:pitch w:val="default"/>
    <w:sig w:usb0="00000087" w:usb1="28AF4000" w:usb2="00000016" w:usb3="00000000" w:csb0="00100009" w:csb1="00000000"/>
  </w:font>
  <w:font w:name="方正姚体">
    <w:altName w:val="宋体"/>
    <w:panose1 w:val="02010601030101010101"/>
    <w:charset w:val="86"/>
    <w:family w:val="auto"/>
    <w:pitch w:val="default"/>
    <w:sig w:usb0="00000003" w:usb1="080E0000" w:usb2="00000010" w:usb3="00000000" w:csb0="00040000" w:csb1="00000000"/>
  </w:font>
  <w:font w:name="楷体_GB2312">
    <w:altName w:val="楷体"/>
    <w:panose1 w:val="02010609030101010101"/>
    <w:charset w:val="86"/>
    <w:family w:val="modern"/>
    <w:pitch w:val="default"/>
    <w:sig w:usb0="00000001" w:usb1="080E0000" w:usb2="00000010" w:usb3="00000000" w:csb0="00040000" w:csb1="00000000"/>
  </w:font>
  <w:font w:name="Tms Rmn">
    <w:altName w:val="Segoe Print"/>
    <w:panose1 w:val="02020603040505020304"/>
    <w:charset w:val="00"/>
    <w:family w:val="roman"/>
    <w:pitch w:val="default"/>
    <w:sig w:usb0="00000003" w:usb1="00000000" w:usb2="00000000" w:usb3="00000000" w:csb0="00000001" w:csb1="00000000"/>
  </w:font>
  <w:font w:name="Arial Unicode MS">
    <w:altName w:val="宋体"/>
    <w:panose1 w:val="020B0604020202020204"/>
    <w:charset w:val="86"/>
    <w:family w:val="swiss"/>
    <w:pitch w:val="default"/>
    <w:sig w:usb0="FFFFFFFF" w:usb1="E9FFFFFF" w:usb2="0000003F" w:usb3="00000000" w:csb0="003F01FF" w:csb1="00000000"/>
  </w:font>
  <w:font w:name="Verdana">
    <w:panose1 w:val="020B0604030504040204"/>
    <w:charset w:val="00"/>
    <w:family w:val="swiss"/>
    <w:pitch w:val="default"/>
    <w:sig w:usb0="A10006FF" w:usb1="4000205B" w:usb2="00000010" w:usb3="00000000" w:csb0="2000019F" w:csb1="00000000"/>
  </w:font>
  <w:font w:name="ArialMT">
    <w:altName w:val="黑体"/>
    <w:panose1 w:val="00000000000000000000"/>
    <w:charset w:val="86"/>
    <w:family w:val="auto"/>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9"/>
      </w:rPr>
    </w:pPr>
    <w:r>
      <w:fldChar w:fldCharType="begin"/>
    </w:r>
    <w:r>
      <w:rPr>
        <w:rStyle w:val="39"/>
      </w:rPr>
      <w:instrText xml:space="preserve">PAGE  </w:instrText>
    </w:r>
    <w:r>
      <w:fldChar w:fldCharType="separate"/>
    </w:r>
    <w:r>
      <w:rPr>
        <w:rStyle w:val="39"/>
        <w:lang/>
      </w:rPr>
      <w:t>7</w:t>
    </w:r>
    <w:r>
      <w:fldChar w:fldCharType="end"/>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9"/>
      </w:rPr>
    </w:pPr>
    <w:r>
      <w:fldChar w:fldCharType="begin"/>
    </w:r>
    <w:r>
      <w:rPr>
        <w:rStyle w:val="39"/>
      </w:rPr>
      <w:instrText xml:space="preserve">PAGE  </w:instrText>
    </w:r>
    <w:r>
      <w:fldChar w:fldCharType="end"/>
    </w:r>
  </w:p>
  <w:p>
    <w:pPr>
      <w:pStyle w:val="2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left="3840" w:firstLine="360"/>
    </w:pPr>
    <w:r>
      <w:fldChar w:fldCharType="begin"/>
    </w:r>
    <w:r>
      <w:instrText xml:space="preserve">PAGE   \* MERGEFORMAT</w:instrText>
    </w:r>
    <w:r>
      <w:fldChar w:fldCharType="separate"/>
    </w:r>
    <w:r>
      <w:rPr>
        <w:lang w:val="zh-CN"/>
      </w:rPr>
      <w:t>119</w:t>
    </w:r>
    <w:r>
      <w:fldChar w:fldCharType="end"/>
    </w:r>
  </w:p>
  <w:p>
    <w:pPr>
      <w:pStyle w:val="2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9"/>
      </w:rPr>
    </w:pPr>
    <w:r>
      <w:fldChar w:fldCharType="begin"/>
    </w:r>
    <w:r>
      <w:rPr>
        <w:rStyle w:val="39"/>
      </w:rPr>
      <w:instrText xml:space="preserve">PAGE  </w:instrText>
    </w:r>
    <w:r>
      <w:fldChar w:fldCharType="separate"/>
    </w:r>
    <w:r>
      <w:rPr>
        <w:rStyle w:val="39"/>
        <w:lang/>
      </w:rPr>
      <w:t>134</w:t>
    </w:r>
    <w:r>
      <w:fldChar w:fldCharType="end"/>
    </w:r>
  </w:p>
  <w:p>
    <w:pPr>
      <w:rPr>
        <w:sz w:val="18"/>
        <w:szCs w:val="18"/>
      </w:rPr>
    </w:pPr>
    <w:r>
      <w:rPr>
        <w:sz w:val="18"/>
        <w:szCs w:val="18"/>
      </w:rPr>
      <w:t>u</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9"/>
      </w:rPr>
    </w:pPr>
    <w:r>
      <w:fldChar w:fldCharType="begin"/>
    </w:r>
    <w:r>
      <w:rPr>
        <w:rStyle w:val="39"/>
      </w:rPr>
      <w:instrText xml:space="preserve">PAGE  </w:instrText>
    </w:r>
    <w:r>
      <w:fldChar w:fldCharType="end"/>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ascii="宋体" w:hAnsi="宋体"/>
        <w:sz w:val="21"/>
        <w:szCs w:val="21"/>
      </w:rPr>
    </w:pPr>
    <w:r>
      <w:rPr>
        <w:rFonts w:hint="eastAsia" w:ascii="宋体" w:hAnsi="宋体"/>
        <w:sz w:val="21"/>
        <w:szCs w:val="21"/>
      </w:rPr>
      <w:t>云南罗平锌电股份有限公司富乐铅锌矿清洁生产审核报告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ascii="宋体" w:hAnsi="宋体"/>
        <w:sz w:val="21"/>
        <w:szCs w:val="21"/>
      </w:rPr>
    </w:pPr>
    <w:r>
      <w:rPr>
        <w:rFonts w:hint="eastAsia" w:ascii="宋体" w:hAnsi="宋体"/>
        <w:sz w:val="21"/>
        <w:szCs w:val="21"/>
      </w:rPr>
      <w:t>云南罗平锌电股份有限公司富乐铅锌矿清洁生产审核报告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jc w:val="both"/>
      <w:rPr>
        <w:rFonts w:hint="eastAsia"/>
        <w:sz w:val="21"/>
        <w:szCs w:val="21"/>
      </w:rPr>
    </w:pPr>
    <w:r>
      <w:rPr>
        <w:rFonts w:hint="eastAsia"/>
        <w:sz w:val="21"/>
        <w:szCs w:val="21"/>
      </w:rPr>
      <w:t>云南罗平锌电股份有限公司富乐铅锌矿清洁生产审核报告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rPr>
        <w:rFonts w:hint="eastAsia" w:ascii="黑体" w:eastAsia="黑体"/>
        <w:sz w:val="21"/>
        <w:szCs w:val="21"/>
      </w:rPr>
    </w:pPr>
    <w:r>
      <w:rPr>
        <w:rFonts w:hint="eastAsia" w:ascii="黑体" w:eastAsia="黑体"/>
        <w:sz w:val="21"/>
        <w:szCs w:val="21"/>
      </w:rPr>
      <w:t>云南罗平锌电股份有限公司富乐铅锌矿清洁生产审核报告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7A63"/>
    <w:rsid w:val="000009D2"/>
    <w:rsid w:val="000012DD"/>
    <w:rsid w:val="0000179E"/>
    <w:rsid w:val="00002D05"/>
    <w:rsid w:val="00002F86"/>
    <w:rsid w:val="0000328F"/>
    <w:rsid w:val="00004AE3"/>
    <w:rsid w:val="00005120"/>
    <w:rsid w:val="0000587D"/>
    <w:rsid w:val="00006C02"/>
    <w:rsid w:val="0000779A"/>
    <w:rsid w:val="00007F1F"/>
    <w:rsid w:val="00010499"/>
    <w:rsid w:val="000106F2"/>
    <w:rsid w:val="00011091"/>
    <w:rsid w:val="0001125D"/>
    <w:rsid w:val="00011770"/>
    <w:rsid w:val="000119E2"/>
    <w:rsid w:val="00011D23"/>
    <w:rsid w:val="00011DEE"/>
    <w:rsid w:val="0001323B"/>
    <w:rsid w:val="000135D2"/>
    <w:rsid w:val="000136F3"/>
    <w:rsid w:val="00013DD9"/>
    <w:rsid w:val="000149D2"/>
    <w:rsid w:val="000151F8"/>
    <w:rsid w:val="00015BDA"/>
    <w:rsid w:val="0001623F"/>
    <w:rsid w:val="000174F3"/>
    <w:rsid w:val="00017F44"/>
    <w:rsid w:val="00020947"/>
    <w:rsid w:val="00021AD0"/>
    <w:rsid w:val="00021BDA"/>
    <w:rsid w:val="000223D6"/>
    <w:rsid w:val="00022592"/>
    <w:rsid w:val="00022FE3"/>
    <w:rsid w:val="000233DB"/>
    <w:rsid w:val="00023452"/>
    <w:rsid w:val="00024E4D"/>
    <w:rsid w:val="00025478"/>
    <w:rsid w:val="00025F15"/>
    <w:rsid w:val="0002684F"/>
    <w:rsid w:val="00027C2B"/>
    <w:rsid w:val="00027D37"/>
    <w:rsid w:val="000300B5"/>
    <w:rsid w:val="00031F72"/>
    <w:rsid w:val="00032CD3"/>
    <w:rsid w:val="000332BE"/>
    <w:rsid w:val="00034C76"/>
    <w:rsid w:val="00034DB4"/>
    <w:rsid w:val="00035025"/>
    <w:rsid w:val="000355F8"/>
    <w:rsid w:val="00035DAF"/>
    <w:rsid w:val="00036419"/>
    <w:rsid w:val="00037795"/>
    <w:rsid w:val="00041287"/>
    <w:rsid w:val="00041336"/>
    <w:rsid w:val="00041387"/>
    <w:rsid w:val="0004189B"/>
    <w:rsid w:val="00041C64"/>
    <w:rsid w:val="00043ABE"/>
    <w:rsid w:val="00044A35"/>
    <w:rsid w:val="000455FA"/>
    <w:rsid w:val="000459E0"/>
    <w:rsid w:val="00046911"/>
    <w:rsid w:val="0004768F"/>
    <w:rsid w:val="0004793F"/>
    <w:rsid w:val="00047ED8"/>
    <w:rsid w:val="00050996"/>
    <w:rsid w:val="00051A13"/>
    <w:rsid w:val="00051BA4"/>
    <w:rsid w:val="00051D80"/>
    <w:rsid w:val="00051EB2"/>
    <w:rsid w:val="00052A9E"/>
    <w:rsid w:val="00053363"/>
    <w:rsid w:val="00053759"/>
    <w:rsid w:val="00054196"/>
    <w:rsid w:val="000551DF"/>
    <w:rsid w:val="00055235"/>
    <w:rsid w:val="00055B5D"/>
    <w:rsid w:val="00055F53"/>
    <w:rsid w:val="00056234"/>
    <w:rsid w:val="000563AF"/>
    <w:rsid w:val="00056B8B"/>
    <w:rsid w:val="000571EC"/>
    <w:rsid w:val="00057A01"/>
    <w:rsid w:val="000600EB"/>
    <w:rsid w:val="00060590"/>
    <w:rsid w:val="00062EF3"/>
    <w:rsid w:val="00062F12"/>
    <w:rsid w:val="00062F91"/>
    <w:rsid w:val="000631B8"/>
    <w:rsid w:val="00063260"/>
    <w:rsid w:val="00063E1E"/>
    <w:rsid w:val="000648EC"/>
    <w:rsid w:val="0006522E"/>
    <w:rsid w:val="0006559C"/>
    <w:rsid w:val="00065CC2"/>
    <w:rsid w:val="0006716C"/>
    <w:rsid w:val="0006749F"/>
    <w:rsid w:val="00067881"/>
    <w:rsid w:val="00067DA0"/>
    <w:rsid w:val="000704BE"/>
    <w:rsid w:val="0007061E"/>
    <w:rsid w:val="00071AD8"/>
    <w:rsid w:val="00071E57"/>
    <w:rsid w:val="00071EE9"/>
    <w:rsid w:val="00072F45"/>
    <w:rsid w:val="0007322C"/>
    <w:rsid w:val="0007361A"/>
    <w:rsid w:val="0007371F"/>
    <w:rsid w:val="00074CE7"/>
    <w:rsid w:val="00075F6E"/>
    <w:rsid w:val="000764C4"/>
    <w:rsid w:val="00076A64"/>
    <w:rsid w:val="00076E44"/>
    <w:rsid w:val="0008099E"/>
    <w:rsid w:val="00080E51"/>
    <w:rsid w:val="0008108F"/>
    <w:rsid w:val="00081CC5"/>
    <w:rsid w:val="00083CEC"/>
    <w:rsid w:val="00083DFE"/>
    <w:rsid w:val="00085589"/>
    <w:rsid w:val="000858F5"/>
    <w:rsid w:val="00086122"/>
    <w:rsid w:val="00086A7A"/>
    <w:rsid w:val="00086AA6"/>
    <w:rsid w:val="00086B02"/>
    <w:rsid w:val="000874E1"/>
    <w:rsid w:val="00087880"/>
    <w:rsid w:val="000902B1"/>
    <w:rsid w:val="000911CA"/>
    <w:rsid w:val="000915AA"/>
    <w:rsid w:val="00091827"/>
    <w:rsid w:val="00092C53"/>
    <w:rsid w:val="00093068"/>
    <w:rsid w:val="000950D6"/>
    <w:rsid w:val="000960D7"/>
    <w:rsid w:val="000A0083"/>
    <w:rsid w:val="000A0B74"/>
    <w:rsid w:val="000A18B9"/>
    <w:rsid w:val="000A2EB3"/>
    <w:rsid w:val="000A2F24"/>
    <w:rsid w:val="000A30E8"/>
    <w:rsid w:val="000A342C"/>
    <w:rsid w:val="000A37E3"/>
    <w:rsid w:val="000A3FEE"/>
    <w:rsid w:val="000A4EE6"/>
    <w:rsid w:val="000A5790"/>
    <w:rsid w:val="000A5CED"/>
    <w:rsid w:val="000A688F"/>
    <w:rsid w:val="000A6BBC"/>
    <w:rsid w:val="000A6BE5"/>
    <w:rsid w:val="000A732D"/>
    <w:rsid w:val="000A79E3"/>
    <w:rsid w:val="000A7A63"/>
    <w:rsid w:val="000A7FA5"/>
    <w:rsid w:val="000B06E8"/>
    <w:rsid w:val="000B08B8"/>
    <w:rsid w:val="000B0B80"/>
    <w:rsid w:val="000B23FA"/>
    <w:rsid w:val="000B270F"/>
    <w:rsid w:val="000B276F"/>
    <w:rsid w:val="000B2FFB"/>
    <w:rsid w:val="000B341E"/>
    <w:rsid w:val="000B3AA2"/>
    <w:rsid w:val="000B6206"/>
    <w:rsid w:val="000B75FE"/>
    <w:rsid w:val="000B7B72"/>
    <w:rsid w:val="000B7D3E"/>
    <w:rsid w:val="000C0839"/>
    <w:rsid w:val="000C0A48"/>
    <w:rsid w:val="000C14EF"/>
    <w:rsid w:val="000C1A61"/>
    <w:rsid w:val="000C1DAB"/>
    <w:rsid w:val="000C2BBC"/>
    <w:rsid w:val="000C3FAA"/>
    <w:rsid w:val="000C4DB7"/>
    <w:rsid w:val="000C4DE2"/>
    <w:rsid w:val="000C5747"/>
    <w:rsid w:val="000C58AF"/>
    <w:rsid w:val="000C5CF0"/>
    <w:rsid w:val="000C7629"/>
    <w:rsid w:val="000C77B1"/>
    <w:rsid w:val="000D05BC"/>
    <w:rsid w:val="000D1169"/>
    <w:rsid w:val="000D1A0B"/>
    <w:rsid w:val="000D27A2"/>
    <w:rsid w:val="000D34B3"/>
    <w:rsid w:val="000D3948"/>
    <w:rsid w:val="000D4164"/>
    <w:rsid w:val="000D751D"/>
    <w:rsid w:val="000D7914"/>
    <w:rsid w:val="000D7BC8"/>
    <w:rsid w:val="000D7D55"/>
    <w:rsid w:val="000E2200"/>
    <w:rsid w:val="000E22BB"/>
    <w:rsid w:val="000E27ED"/>
    <w:rsid w:val="000E2C20"/>
    <w:rsid w:val="000E44D7"/>
    <w:rsid w:val="000E4C1D"/>
    <w:rsid w:val="000E596D"/>
    <w:rsid w:val="000E5B9B"/>
    <w:rsid w:val="000E78F3"/>
    <w:rsid w:val="000E7ADA"/>
    <w:rsid w:val="000F0317"/>
    <w:rsid w:val="000F094E"/>
    <w:rsid w:val="000F0C4A"/>
    <w:rsid w:val="000F0DFE"/>
    <w:rsid w:val="000F194A"/>
    <w:rsid w:val="000F1DB4"/>
    <w:rsid w:val="000F2809"/>
    <w:rsid w:val="000F3DE0"/>
    <w:rsid w:val="000F3F4E"/>
    <w:rsid w:val="000F409E"/>
    <w:rsid w:val="000F48E4"/>
    <w:rsid w:val="000F5CE8"/>
    <w:rsid w:val="000F62A1"/>
    <w:rsid w:val="000F6A89"/>
    <w:rsid w:val="000F6D79"/>
    <w:rsid w:val="00101838"/>
    <w:rsid w:val="00101EAD"/>
    <w:rsid w:val="00102113"/>
    <w:rsid w:val="0010255D"/>
    <w:rsid w:val="001038E7"/>
    <w:rsid w:val="001041A6"/>
    <w:rsid w:val="001044AA"/>
    <w:rsid w:val="001044D9"/>
    <w:rsid w:val="00105046"/>
    <w:rsid w:val="00105B43"/>
    <w:rsid w:val="00105F55"/>
    <w:rsid w:val="001064A6"/>
    <w:rsid w:val="00106B12"/>
    <w:rsid w:val="001070E1"/>
    <w:rsid w:val="001076C6"/>
    <w:rsid w:val="00107DA8"/>
    <w:rsid w:val="00107DEC"/>
    <w:rsid w:val="00107F42"/>
    <w:rsid w:val="0011049A"/>
    <w:rsid w:val="00110D48"/>
    <w:rsid w:val="0011103E"/>
    <w:rsid w:val="00111450"/>
    <w:rsid w:val="00112DEA"/>
    <w:rsid w:val="00114C0C"/>
    <w:rsid w:val="00114DD6"/>
    <w:rsid w:val="001162AD"/>
    <w:rsid w:val="001203B2"/>
    <w:rsid w:val="001205C7"/>
    <w:rsid w:val="00120B0B"/>
    <w:rsid w:val="00122E22"/>
    <w:rsid w:val="00125F35"/>
    <w:rsid w:val="00127A46"/>
    <w:rsid w:val="00130A26"/>
    <w:rsid w:val="00131597"/>
    <w:rsid w:val="001322ED"/>
    <w:rsid w:val="0013304C"/>
    <w:rsid w:val="001330E7"/>
    <w:rsid w:val="00133228"/>
    <w:rsid w:val="001346EA"/>
    <w:rsid w:val="00134A1F"/>
    <w:rsid w:val="00134CEE"/>
    <w:rsid w:val="0013594E"/>
    <w:rsid w:val="001359FD"/>
    <w:rsid w:val="001360D7"/>
    <w:rsid w:val="00136C31"/>
    <w:rsid w:val="00140AFD"/>
    <w:rsid w:val="00142B96"/>
    <w:rsid w:val="00142D6B"/>
    <w:rsid w:val="0014389D"/>
    <w:rsid w:val="001446B6"/>
    <w:rsid w:val="0014511F"/>
    <w:rsid w:val="0014521C"/>
    <w:rsid w:val="0014532D"/>
    <w:rsid w:val="00145746"/>
    <w:rsid w:val="00146781"/>
    <w:rsid w:val="001477AA"/>
    <w:rsid w:val="00150547"/>
    <w:rsid w:val="00150770"/>
    <w:rsid w:val="00150F66"/>
    <w:rsid w:val="001510DF"/>
    <w:rsid w:val="0015149D"/>
    <w:rsid w:val="001528E8"/>
    <w:rsid w:val="00153E0D"/>
    <w:rsid w:val="00153E2D"/>
    <w:rsid w:val="00153FEA"/>
    <w:rsid w:val="00154270"/>
    <w:rsid w:val="00155347"/>
    <w:rsid w:val="0015539F"/>
    <w:rsid w:val="001554B2"/>
    <w:rsid w:val="001555D5"/>
    <w:rsid w:val="00155DA5"/>
    <w:rsid w:val="00156674"/>
    <w:rsid w:val="00156A40"/>
    <w:rsid w:val="001575D5"/>
    <w:rsid w:val="001616E2"/>
    <w:rsid w:val="00161F91"/>
    <w:rsid w:val="00162C9B"/>
    <w:rsid w:val="00164DCE"/>
    <w:rsid w:val="001651A4"/>
    <w:rsid w:val="0016544C"/>
    <w:rsid w:val="00166442"/>
    <w:rsid w:val="00166D49"/>
    <w:rsid w:val="00166D60"/>
    <w:rsid w:val="00167067"/>
    <w:rsid w:val="001673FF"/>
    <w:rsid w:val="00170C5E"/>
    <w:rsid w:val="0017149A"/>
    <w:rsid w:val="00171B55"/>
    <w:rsid w:val="00172759"/>
    <w:rsid w:val="00173327"/>
    <w:rsid w:val="00173CBE"/>
    <w:rsid w:val="00173FCA"/>
    <w:rsid w:val="001743A1"/>
    <w:rsid w:val="001747F8"/>
    <w:rsid w:val="00175556"/>
    <w:rsid w:val="00175811"/>
    <w:rsid w:val="00175DAF"/>
    <w:rsid w:val="001762CA"/>
    <w:rsid w:val="00176FAC"/>
    <w:rsid w:val="00177530"/>
    <w:rsid w:val="00177A2A"/>
    <w:rsid w:val="00180733"/>
    <w:rsid w:val="00181BD2"/>
    <w:rsid w:val="00182692"/>
    <w:rsid w:val="001827DF"/>
    <w:rsid w:val="001828F2"/>
    <w:rsid w:val="001829C0"/>
    <w:rsid w:val="00183930"/>
    <w:rsid w:val="00183F08"/>
    <w:rsid w:val="00184AE8"/>
    <w:rsid w:val="001853A1"/>
    <w:rsid w:val="00186A3F"/>
    <w:rsid w:val="00190DBD"/>
    <w:rsid w:val="00190DF1"/>
    <w:rsid w:val="001913BB"/>
    <w:rsid w:val="0019184A"/>
    <w:rsid w:val="00191E21"/>
    <w:rsid w:val="00192546"/>
    <w:rsid w:val="001925E5"/>
    <w:rsid w:val="0019332C"/>
    <w:rsid w:val="00193B4E"/>
    <w:rsid w:val="001942B8"/>
    <w:rsid w:val="00194480"/>
    <w:rsid w:val="001956D2"/>
    <w:rsid w:val="00196238"/>
    <w:rsid w:val="00197002"/>
    <w:rsid w:val="00197FA4"/>
    <w:rsid w:val="001A00A9"/>
    <w:rsid w:val="001A0653"/>
    <w:rsid w:val="001A2427"/>
    <w:rsid w:val="001A38F5"/>
    <w:rsid w:val="001A4D11"/>
    <w:rsid w:val="001A696C"/>
    <w:rsid w:val="001A7A6E"/>
    <w:rsid w:val="001B048F"/>
    <w:rsid w:val="001B04A6"/>
    <w:rsid w:val="001B0AE5"/>
    <w:rsid w:val="001B1B6C"/>
    <w:rsid w:val="001B263F"/>
    <w:rsid w:val="001B2B84"/>
    <w:rsid w:val="001B2E0C"/>
    <w:rsid w:val="001B3719"/>
    <w:rsid w:val="001B3EE5"/>
    <w:rsid w:val="001B6D27"/>
    <w:rsid w:val="001B6FD1"/>
    <w:rsid w:val="001B74C9"/>
    <w:rsid w:val="001C09A2"/>
    <w:rsid w:val="001C1A12"/>
    <w:rsid w:val="001C20C3"/>
    <w:rsid w:val="001C3BE9"/>
    <w:rsid w:val="001C62F5"/>
    <w:rsid w:val="001C65CF"/>
    <w:rsid w:val="001C7311"/>
    <w:rsid w:val="001C754F"/>
    <w:rsid w:val="001D069F"/>
    <w:rsid w:val="001D0B0C"/>
    <w:rsid w:val="001D2F70"/>
    <w:rsid w:val="001D343C"/>
    <w:rsid w:val="001D36BD"/>
    <w:rsid w:val="001D3918"/>
    <w:rsid w:val="001D40C1"/>
    <w:rsid w:val="001D51AD"/>
    <w:rsid w:val="001D58EF"/>
    <w:rsid w:val="001D62B6"/>
    <w:rsid w:val="001D6388"/>
    <w:rsid w:val="001E17CD"/>
    <w:rsid w:val="001E18F3"/>
    <w:rsid w:val="001E1B7D"/>
    <w:rsid w:val="001E2237"/>
    <w:rsid w:val="001E292B"/>
    <w:rsid w:val="001E4CAA"/>
    <w:rsid w:val="001E518B"/>
    <w:rsid w:val="001E549E"/>
    <w:rsid w:val="001E5A76"/>
    <w:rsid w:val="001E6BF7"/>
    <w:rsid w:val="001F02DF"/>
    <w:rsid w:val="001F060D"/>
    <w:rsid w:val="001F08AB"/>
    <w:rsid w:val="001F0EA9"/>
    <w:rsid w:val="001F122A"/>
    <w:rsid w:val="001F1C05"/>
    <w:rsid w:val="001F2F1A"/>
    <w:rsid w:val="001F3139"/>
    <w:rsid w:val="001F3370"/>
    <w:rsid w:val="001F3422"/>
    <w:rsid w:val="001F35B3"/>
    <w:rsid w:val="001F3CD0"/>
    <w:rsid w:val="001F40DE"/>
    <w:rsid w:val="001F53A7"/>
    <w:rsid w:val="001F5E32"/>
    <w:rsid w:val="001F6502"/>
    <w:rsid w:val="001F65EE"/>
    <w:rsid w:val="00200279"/>
    <w:rsid w:val="002002A0"/>
    <w:rsid w:val="0020039E"/>
    <w:rsid w:val="00200DE7"/>
    <w:rsid w:val="0020194A"/>
    <w:rsid w:val="00201B06"/>
    <w:rsid w:val="00202613"/>
    <w:rsid w:val="00202D04"/>
    <w:rsid w:val="00204162"/>
    <w:rsid w:val="00204458"/>
    <w:rsid w:val="0020487A"/>
    <w:rsid w:val="00204C2A"/>
    <w:rsid w:val="00205109"/>
    <w:rsid w:val="002062EC"/>
    <w:rsid w:val="002063FD"/>
    <w:rsid w:val="00206F1B"/>
    <w:rsid w:val="002072A2"/>
    <w:rsid w:val="00207495"/>
    <w:rsid w:val="00207C89"/>
    <w:rsid w:val="00210169"/>
    <w:rsid w:val="00210AE5"/>
    <w:rsid w:val="00210B43"/>
    <w:rsid w:val="00210D8D"/>
    <w:rsid w:val="00211076"/>
    <w:rsid w:val="002125E5"/>
    <w:rsid w:val="00212A9C"/>
    <w:rsid w:val="002133D0"/>
    <w:rsid w:val="00213973"/>
    <w:rsid w:val="00213DD6"/>
    <w:rsid w:val="00214850"/>
    <w:rsid w:val="002159F0"/>
    <w:rsid w:val="00216568"/>
    <w:rsid w:val="00217F44"/>
    <w:rsid w:val="0022073E"/>
    <w:rsid w:val="00220B20"/>
    <w:rsid w:val="002223E5"/>
    <w:rsid w:val="00222600"/>
    <w:rsid w:val="00222B14"/>
    <w:rsid w:val="00222B4F"/>
    <w:rsid w:val="0022449F"/>
    <w:rsid w:val="0022470F"/>
    <w:rsid w:val="00224F0A"/>
    <w:rsid w:val="00226029"/>
    <w:rsid w:val="00226224"/>
    <w:rsid w:val="00226C15"/>
    <w:rsid w:val="00227515"/>
    <w:rsid w:val="00227A83"/>
    <w:rsid w:val="00227E53"/>
    <w:rsid w:val="002302D0"/>
    <w:rsid w:val="00230806"/>
    <w:rsid w:val="002310F2"/>
    <w:rsid w:val="002311E2"/>
    <w:rsid w:val="00231458"/>
    <w:rsid w:val="00231EB2"/>
    <w:rsid w:val="00232233"/>
    <w:rsid w:val="00232286"/>
    <w:rsid w:val="00232CCF"/>
    <w:rsid w:val="00233AFF"/>
    <w:rsid w:val="00233FB1"/>
    <w:rsid w:val="0023401C"/>
    <w:rsid w:val="002345C5"/>
    <w:rsid w:val="00234DDF"/>
    <w:rsid w:val="00235C45"/>
    <w:rsid w:val="00235DFD"/>
    <w:rsid w:val="002365B9"/>
    <w:rsid w:val="00237783"/>
    <w:rsid w:val="0023778B"/>
    <w:rsid w:val="002379C5"/>
    <w:rsid w:val="00241B93"/>
    <w:rsid w:val="00243D1C"/>
    <w:rsid w:val="00244163"/>
    <w:rsid w:val="00244827"/>
    <w:rsid w:val="00244B83"/>
    <w:rsid w:val="00244D2D"/>
    <w:rsid w:val="00245377"/>
    <w:rsid w:val="00245F86"/>
    <w:rsid w:val="00245F9D"/>
    <w:rsid w:val="0024622B"/>
    <w:rsid w:val="002464D1"/>
    <w:rsid w:val="0024659F"/>
    <w:rsid w:val="00246892"/>
    <w:rsid w:val="0024717D"/>
    <w:rsid w:val="00247CCA"/>
    <w:rsid w:val="00251967"/>
    <w:rsid w:val="00252137"/>
    <w:rsid w:val="002525EA"/>
    <w:rsid w:val="00253EA9"/>
    <w:rsid w:val="00254E53"/>
    <w:rsid w:val="00254EBE"/>
    <w:rsid w:val="00255AFC"/>
    <w:rsid w:val="002562FD"/>
    <w:rsid w:val="0026078D"/>
    <w:rsid w:val="00260797"/>
    <w:rsid w:val="00260F83"/>
    <w:rsid w:val="00261438"/>
    <w:rsid w:val="002616FF"/>
    <w:rsid w:val="00262035"/>
    <w:rsid w:val="00263201"/>
    <w:rsid w:val="00263718"/>
    <w:rsid w:val="00263DCF"/>
    <w:rsid w:val="00264343"/>
    <w:rsid w:val="00265406"/>
    <w:rsid w:val="0026629C"/>
    <w:rsid w:val="00266E5F"/>
    <w:rsid w:val="00267652"/>
    <w:rsid w:val="002679E6"/>
    <w:rsid w:val="00267A44"/>
    <w:rsid w:val="00273819"/>
    <w:rsid w:val="00273AD8"/>
    <w:rsid w:val="00276093"/>
    <w:rsid w:val="00276687"/>
    <w:rsid w:val="00280EF5"/>
    <w:rsid w:val="00281742"/>
    <w:rsid w:val="00282595"/>
    <w:rsid w:val="00284419"/>
    <w:rsid w:val="0028515A"/>
    <w:rsid w:val="002856C1"/>
    <w:rsid w:val="002856D9"/>
    <w:rsid w:val="002857E7"/>
    <w:rsid w:val="00285F85"/>
    <w:rsid w:val="00287423"/>
    <w:rsid w:val="00287B19"/>
    <w:rsid w:val="0029259B"/>
    <w:rsid w:val="00293A64"/>
    <w:rsid w:val="00293C1F"/>
    <w:rsid w:val="00294245"/>
    <w:rsid w:val="00294904"/>
    <w:rsid w:val="00294EE2"/>
    <w:rsid w:val="00295E9C"/>
    <w:rsid w:val="00296CC8"/>
    <w:rsid w:val="00297953"/>
    <w:rsid w:val="00297C55"/>
    <w:rsid w:val="002A0326"/>
    <w:rsid w:val="002A04D4"/>
    <w:rsid w:val="002A06B0"/>
    <w:rsid w:val="002A2C8D"/>
    <w:rsid w:val="002A2F10"/>
    <w:rsid w:val="002A3447"/>
    <w:rsid w:val="002A4176"/>
    <w:rsid w:val="002A457B"/>
    <w:rsid w:val="002A4ACC"/>
    <w:rsid w:val="002A4F82"/>
    <w:rsid w:val="002A5AE8"/>
    <w:rsid w:val="002A60DD"/>
    <w:rsid w:val="002A6EA6"/>
    <w:rsid w:val="002A735D"/>
    <w:rsid w:val="002A7E5B"/>
    <w:rsid w:val="002B0090"/>
    <w:rsid w:val="002B0820"/>
    <w:rsid w:val="002B0A8A"/>
    <w:rsid w:val="002B3539"/>
    <w:rsid w:val="002B36A0"/>
    <w:rsid w:val="002B41E0"/>
    <w:rsid w:val="002B4655"/>
    <w:rsid w:val="002B64B8"/>
    <w:rsid w:val="002B64D7"/>
    <w:rsid w:val="002B6E48"/>
    <w:rsid w:val="002B7403"/>
    <w:rsid w:val="002B773A"/>
    <w:rsid w:val="002B7D34"/>
    <w:rsid w:val="002C00F7"/>
    <w:rsid w:val="002C082C"/>
    <w:rsid w:val="002C1766"/>
    <w:rsid w:val="002C1B51"/>
    <w:rsid w:val="002C33E9"/>
    <w:rsid w:val="002C4A42"/>
    <w:rsid w:val="002C507C"/>
    <w:rsid w:val="002C53FB"/>
    <w:rsid w:val="002C5AAA"/>
    <w:rsid w:val="002C70B5"/>
    <w:rsid w:val="002C76C1"/>
    <w:rsid w:val="002C7B27"/>
    <w:rsid w:val="002D01B4"/>
    <w:rsid w:val="002D0587"/>
    <w:rsid w:val="002D0B42"/>
    <w:rsid w:val="002D0C9E"/>
    <w:rsid w:val="002D0EF7"/>
    <w:rsid w:val="002D10D2"/>
    <w:rsid w:val="002D16C0"/>
    <w:rsid w:val="002D291E"/>
    <w:rsid w:val="002D2A04"/>
    <w:rsid w:val="002D2ADA"/>
    <w:rsid w:val="002D3C31"/>
    <w:rsid w:val="002D3C32"/>
    <w:rsid w:val="002D6EDD"/>
    <w:rsid w:val="002E0208"/>
    <w:rsid w:val="002E076A"/>
    <w:rsid w:val="002E08CF"/>
    <w:rsid w:val="002E0942"/>
    <w:rsid w:val="002E0C9B"/>
    <w:rsid w:val="002E20BA"/>
    <w:rsid w:val="002E756D"/>
    <w:rsid w:val="002F036A"/>
    <w:rsid w:val="002F2472"/>
    <w:rsid w:val="002F2D82"/>
    <w:rsid w:val="002F4460"/>
    <w:rsid w:val="002F52BC"/>
    <w:rsid w:val="002F5675"/>
    <w:rsid w:val="002F5CE0"/>
    <w:rsid w:val="002F6479"/>
    <w:rsid w:val="002F64A3"/>
    <w:rsid w:val="003004F6"/>
    <w:rsid w:val="0030070F"/>
    <w:rsid w:val="0030107E"/>
    <w:rsid w:val="00301711"/>
    <w:rsid w:val="00301E64"/>
    <w:rsid w:val="003023F9"/>
    <w:rsid w:val="00302FE5"/>
    <w:rsid w:val="00303139"/>
    <w:rsid w:val="00303183"/>
    <w:rsid w:val="00303253"/>
    <w:rsid w:val="00305CB2"/>
    <w:rsid w:val="003070B1"/>
    <w:rsid w:val="003077BD"/>
    <w:rsid w:val="00307D54"/>
    <w:rsid w:val="0031050D"/>
    <w:rsid w:val="00311CC3"/>
    <w:rsid w:val="003138F0"/>
    <w:rsid w:val="00313922"/>
    <w:rsid w:val="00314654"/>
    <w:rsid w:val="00314FC8"/>
    <w:rsid w:val="003159D9"/>
    <w:rsid w:val="0031607E"/>
    <w:rsid w:val="00317D9A"/>
    <w:rsid w:val="003225CD"/>
    <w:rsid w:val="003232E4"/>
    <w:rsid w:val="00323B55"/>
    <w:rsid w:val="00323BA5"/>
    <w:rsid w:val="00324215"/>
    <w:rsid w:val="00324807"/>
    <w:rsid w:val="00324B5C"/>
    <w:rsid w:val="0032506E"/>
    <w:rsid w:val="0032576F"/>
    <w:rsid w:val="0032579F"/>
    <w:rsid w:val="00325AE1"/>
    <w:rsid w:val="00326555"/>
    <w:rsid w:val="003269DB"/>
    <w:rsid w:val="003279DD"/>
    <w:rsid w:val="00327DE1"/>
    <w:rsid w:val="003305FA"/>
    <w:rsid w:val="00330730"/>
    <w:rsid w:val="00332613"/>
    <w:rsid w:val="00332FC1"/>
    <w:rsid w:val="003333E3"/>
    <w:rsid w:val="003334AC"/>
    <w:rsid w:val="003334F3"/>
    <w:rsid w:val="00334052"/>
    <w:rsid w:val="003351B0"/>
    <w:rsid w:val="00335BFC"/>
    <w:rsid w:val="00335EAA"/>
    <w:rsid w:val="003362B9"/>
    <w:rsid w:val="00336F11"/>
    <w:rsid w:val="00337E96"/>
    <w:rsid w:val="00337F06"/>
    <w:rsid w:val="00342ED5"/>
    <w:rsid w:val="00342EE8"/>
    <w:rsid w:val="00343769"/>
    <w:rsid w:val="003438B8"/>
    <w:rsid w:val="0034451E"/>
    <w:rsid w:val="00344A35"/>
    <w:rsid w:val="0034523B"/>
    <w:rsid w:val="0034561E"/>
    <w:rsid w:val="00345A8D"/>
    <w:rsid w:val="00345F53"/>
    <w:rsid w:val="00346A91"/>
    <w:rsid w:val="0034701A"/>
    <w:rsid w:val="00347C5F"/>
    <w:rsid w:val="00347E09"/>
    <w:rsid w:val="003504D4"/>
    <w:rsid w:val="00350554"/>
    <w:rsid w:val="00350AB2"/>
    <w:rsid w:val="00350F87"/>
    <w:rsid w:val="00352099"/>
    <w:rsid w:val="003524FE"/>
    <w:rsid w:val="003525FB"/>
    <w:rsid w:val="00352A9D"/>
    <w:rsid w:val="00352E5E"/>
    <w:rsid w:val="00353743"/>
    <w:rsid w:val="003539C0"/>
    <w:rsid w:val="00354669"/>
    <w:rsid w:val="003566AE"/>
    <w:rsid w:val="0035723A"/>
    <w:rsid w:val="00360642"/>
    <w:rsid w:val="00360B9D"/>
    <w:rsid w:val="00360F9B"/>
    <w:rsid w:val="0036100E"/>
    <w:rsid w:val="003613E9"/>
    <w:rsid w:val="00361452"/>
    <w:rsid w:val="00361FFB"/>
    <w:rsid w:val="003634F6"/>
    <w:rsid w:val="003642AA"/>
    <w:rsid w:val="0036581D"/>
    <w:rsid w:val="00365F05"/>
    <w:rsid w:val="00366AE5"/>
    <w:rsid w:val="003707A1"/>
    <w:rsid w:val="0037182C"/>
    <w:rsid w:val="00372786"/>
    <w:rsid w:val="00373274"/>
    <w:rsid w:val="003734CF"/>
    <w:rsid w:val="00374100"/>
    <w:rsid w:val="00374354"/>
    <w:rsid w:val="003757A6"/>
    <w:rsid w:val="0037631E"/>
    <w:rsid w:val="00376410"/>
    <w:rsid w:val="003764E4"/>
    <w:rsid w:val="00376593"/>
    <w:rsid w:val="00377904"/>
    <w:rsid w:val="0037792E"/>
    <w:rsid w:val="00380092"/>
    <w:rsid w:val="00380770"/>
    <w:rsid w:val="00381333"/>
    <w:rsid w:val="00381366"/>
    <w:rsid w:val="00382B77"/>
    <w:rsid w:val="00382D07"/>
    <w:rsid w:val="00383509"/>
    <w:rsid w:val="00383CB4"/>
    <w:rsid w:val="00383D7D"/>
    <w:rsid w:val="0038434E"/>
    <w:rsid w:val="003848B9"/>
    <w:rsid w:val="00384926"/>
    <w:rsid w:val="0038553F"/>
    <w:rsid w:val="003856BB"/>
    <w:rsid w:val="003858F7"/>
    <w:rsid w:val="00385DD7"/>
    <w:rsid w:val="003864AC"/>
    <w:rsid w:val="0038691C"/>
    <w:rsid w:val="00386B09"/>
    <w:rsid w:val="0038718B"/>
    <w:rsid w:val="00390073"/>
    <w:rsid w:val="0039030D"/>
    <w:rsid w:val="00390B4F"/>
    <w:rsid w:val="00391033"/>
    <w:rsid w:val="0039135D"/>
    <w:rsid w:val="00391464"/>
    <w:rsid w:val="00391D02"/>
    <w:rsid w:val="00392632"/>
    <w:rsid w:val="0039267B"/>
    <w:rsid w:val="00392798"/>
    <w:rsid w:val="00392B0D"/>
    <w:rsid w:val="00393EDB"/>
    <w:rsid w:val="00393F8D"/>
    <w:rsid w:val="00394393"/>
    <w:rsid w:val="00395133"/>
    <w:rsid w:val="00395FA8"/>
    <w:rsid w:val="00396E31"/>
    <w:rsid w:val="0039757F"/>
    <w:rsid w:val="00397691"/>
    <w:rsid w:val="003977A1"/>
    <w:rsid w:val="00397955"/>
    <w:rsid w:val="003A18B7"/>
    <w:rsid w:val="003A1F91"/>
    <w:rsid w:val="003A2B1F"/>
    <w:rsid w:val="003A2DA0"/>
    <w:rsid w:val="003A3888"/>
    <w:rsid w:val="003A3953"/>
    <w:rsid w:val="003A44B5"/>
    <w:rsid w:val="003A5434"/>
    <w:rsid w:val="003A54DB"/>
    <w:rsid w:val="003A5619"/>
    <w:rsid w:val="003A6669"/>
    <w:rsid w:val="003A6E4B"/>
    <w:rsid w:val="003B03DE"/>
    <w:rsid w:val="003B0CCF"/>
    <w:rsid w:val="003B39C6"/>
    <w:rsid w:val="003B4B74"/>
    <w:rsid w:val="003B4C11"/>
    <w:rsid w:val="003B5499"/>
    <w:rsid w:val="003B5C64"/>
    <w:rsid w:val="003B70C7"/>
    <w:rsid w:val="003B7B2C"/>
    <w:rsid w:val="003B7DF4"/>
    <w:rsid w:val="003B7E70"/>
    <w:rsid w:val="003C0146"/>
    <w:rsid w:val="003C029D"/>
    <w:rsid w:val="003C0B25"/>
    <w:rsid w:val="003C1828"/>
    <w:rsid w:val="003C196D"/>
    <w:rsid w:val="003C25B6"/>
    <w:rsid w:val="003C315A"/>
    <w:rsid w:val="003C3CE0"/>
    <w:rsid w:val="003C594D"/>
    <w:rsid w:val="003C6F8C"/>
    <w:rsid w:val="003C71DB"/>
    <w:rsid w:val="003C78BA"/>
    <w:rsid w:val="003D249B"/>
    <w:rsid w:val="003D28E1"/>
    <w:rsid w:val="003D3BA7"/>
    <w:rsid w:val="003D3EBD"/>
    <w:rsid w:val="003D4334"/>
    <w:rsid w:val="003D59AE"/>
    <w:rsid w:val="003D5FBB"/>
    <w:rsid w:val="003D627D"/>
    <w:rsid w:val="003D66DA"/>
    <w:rsid w:val="003D6E81"/>
    <w:rsid w:val="003D71C3"/>
    <w:rsid w:val="003D7E44"/>
    <w:rsid w:val="003E00A0"/>
    <w:rsid w:val="003E059A"/>
    <w:rsid w:val="003E1908"/>
    <w:rsid w:val="003E2BDC"/>
    <w:rsid w:val="003E3254"/>
    <w:rsid w:val="003E49FB"/>
    <w:rsid w:val="003E4AA4"/>
    <w:rsid w:val="003E55F4"/>
    <w:rsid w:val="003E5DB1"/>
    <w:rsid w:val="003E5EF6"/>
    <w:rsid w:val="003E6E89"/>
    <w:rsid w:val="003E7F97"/>
    <w:rsid w:val="003F078C"/>
    <w:rsid w:val="003F08DF"/>
    <w:rsid w:val="003F0CF4"/>
    <w:rsid w:val="003F1006"/>
    <w:rsid w:val="003F1E9C"/>
    <w:rsid w:val="003F2B06"/>
    <w:rsid w:val="003F364F"/>
    <w:rsid w:val="003F4863"/>
    <w:rsid w:val="003F4D9A"/>
    <w:rsid w:val="003F5410"/>
    <w:rsid w:val="003F5525"/>
    <w:rsid w:val="003F6AAC"/>
    <w:rsid w:val="003F6C96"/>
    <w:rsid w:val="003F78E5"/>
    <w:rsid w:val="0040006A"/>
    <w:rsid w:val="0040092C"/>
    <w:rsid w:val="004011EB"/>
    <w:rsid w:val="00402066"/>
    <w:rsid w:val="004025AD"/>
    <w:rsid w:val="004025BD"/>
    <w:rsid w:val="00403090"/>
    <w:rsid w:val="0040423F"/>
    <w:rsid w:val="004050DD"/>
    <w:rsid w:val="00405EF7"/>
    <w:rsid w:val="00406241"/>
    <w:rsid w:val="0040762D"/>
    <w:rsid w:val="004108B2"/>
    <w:rsid w:val="00412DF3"/>
    <w:rsid w:val="00413179"/>
    <w:rsid w:val="004137C1"/>
    <w:rsid w:val="004142CC"/>
    <w:rsid w:val="00415EE7"/>
    <w:rsid w:val="004164C4"/>
    <w:rsid w:val="004171AC"/>
    <w:rsid w:val="00417221"/>
    <w:rsid w:val="00417966"/>
    <w:rsid w:val="00417EA5"/>
    <w:rsid w:val="00420AE7"/>
    <w:rsid w:val="004212EF"/>
    <w:rsid w:val="004216DC"/>
    <w:rsid w:val="00423A66"/>
    <w:rsid w:val="004240BF"/>
    <w:rsid w:val="0042486B"/>
    <w:rsid w:val="004310C7"/>
    <w:rsid w:val="004319FD"/>
    <w:rsid w:val="00431B4E"/>
    <w:rsid w:val="00431C52"/>
    <w:rsid w:val="004351B6"/>
    <w:rsid w:val="004355D4"/>
    <w:rsid w:val="00437E11"/>
    <w:rsid w:val="00440281"/>
    <w:rsid w:val="0044053D"/>
    <w:rsid w:val="00441CE9"/>
    <w:rsid w:val="004431EF"/>
    <w:rsid w:val="004431F6"/>
    <w:rsid w:val="0044335F"/>
    <w:rsid w:val="00443399"/>
    <w:rsid w:val="0044398A"/>
    <w:rsid w:val="00443E23"/>
    <w:rsid w:val="00444872"/>
    <w:rsid w:val="0044492E"/>
    <w:rsid w:val="00445123"/>
    <w:rsid w:val="0045090F"/>
    <w:rsid w:val="00452301"/>
    <w:rsid w:val="0045233C"/>
    <w:rsid w:val="00453CCC"/>
    <w:rsid w:val="00453D38"/>
    <w:rsid w:val="00457787"/>
    <w:rsid w:val="00457D2C"/>
    <w:rsid w:val="00460248"/>
    <w:rsid w:val="00460381"/>
    <w:rsid w:val="0046094A"/>
    <w:rsid w:val="00461AE5"/>
    <w:rsid w:val="0046303A"/>
    <w:rsid w:val="00463312"/>
    <w:rsid w:val="0046332E"/>
    <w:rsid w:val="0046345F"/>
    <w:rsid w:val="00464742"/>
    <w:rsid w:val="00465520"/>
    <w:rsid w:val="00466654"/>
    <w:rsid w:val="00466E81"/>
    <w:rsid w:val="004705D1"/>
    <w:rsid w:val="00471036"/>
    <w:rsid w:val="0047137A"/>
    <w:rsid w:val="004719E3"/>
    <w:rsid w:val="00472B43"/>
    <w:rsid w:val="004734EE"/>
    <w:rsid w:val="0047352F"/>
    <w:rsid w:val="00473936"/>
    <w:rsid w:val="00473F88"/>
    <w:rsid w:val="0047445A"/>
    <w:rsid w:val="00474D44"/>
    <w:rsid w:val="004758EF"/>
    <w:rsid w:val="00475CFC"/>
    <w:rsid w:val="004808DC"/>
    <w:rsid w:val="0048157D"/>
    <w:rsid w:val="00481921"/>
    <w:rsid w:val="004819BD"/>
    <w:rsid w:val="00481A6F"/>
    <w:rsid w:val="00481B7F"/>
    <w:rsid w:val="004825CA"/>
    <w:rsid w:val="00482683"/>
    <w:rsid w:val="00482756"/>
    <w:rsid w:val="00482D21"/>
    <w:rsid w:val="00483E9C"/>
    <w:rsid w:val="004857F3"/>
    <w:rsid w:val="00485BB2"/>
    <w:rsid w:val="00486C69"/>
    <w:rsid w:val="004874AB"/>
    <w:rsid w:val="0049046F"/>
    <w:rsid w:val="0049078C"/>
    <w:rsid w:val="00490F3F"/>
    <w:rsid w:val="00491093"/>
    <w:rsid w:val="00492779"/>
    <w:rsid w:val="00494C68"/>
    <w:rsid w:val="004952A8"/>
    <w:rsid w:val="00495AC8"/>
    <w:rsid w:val="004961FE"/>
    <w:rsid w:val="004A106E"/>
    <w:rsid w:val="004A11D3"/>
    <w:rsid w:val="004A588F"/>
    <w:rsid w:val="004A6133"/>
    <w:rsid w:val="004A65C5"/>
    <w:rsid w:val="004A6868"/>
    <w:rsid w:val="004A70CF"/>
    <w:rsid w:val="004A70E2"/>
    <w:rsid w:val="004B0B52"/>
    <w:rsid w:val="004B0B77"/>
    <w:rsid w:val="004B18EA"/>
    <w:rsid w:val="004B2109"/>
    <w:rsid w:val="004B381A"/>
    <w:rsid w:val="004B3AE7"/>
    <w:rsid w:val="004B3FE6"/>
    <w:rsid w:val="004B4F1A"/>
    <w:rsid w:val="004B5B74"/>
    <w:rsid w:val="004B687E"/>
    <w:rsid w:val="004B6CA8"/>
    <w:rsid w:val="004C10C4"/>
    <w:rsid w:val="004C19E6"/>
    <w:rsid w:val="004C3CFF"/>
    <w:rsid w:val="004C4FEB"/>
    <w:rsid w:val="004C56BE"/>
    <w:rsid w:val="004C65BD"/>
    <w:rsid w:val="004C7D7F"/>
    <w:rsid w:val="004C7EAF"/>
    <w:rsid w:val="004D06F2"/>
    <w:rsid w:val="004D0C8C"/>
    <w:rsid w:val="004D0D93"/>
    <w:rsid w:val="004D0E0B"/>
    <w:rsid w:val="004D1519"/>
    <w:rsid w:val="004D1C65"/>
    <w:rsid w:val="004D39D6"/>
    <w:rsid w:val="004D41B7"/>
    <w:rsid w:val="004D4ED6"/>
    <w:rsid w:val="004D56CA"/>
    <w:rsid w:val="004D5B55"/>
    <w:rsid w:val="004D61D9"/>
    <w:rsid w:val="004D625C"/>
    <w:rsid w:val="004D72A2"/>
    <w:rsid w:val="004D741E"/>
    <w:rsid w:val="004D7948"/>
    <w:rsid w:val="004D7DB4"/>
    <w:rsid w:val="004D7EC3"/>
    <w:rsid w:val="004E011A"/>
    <w:rsid w:val="004E0987"/>
    <w:rsid w:val="004E159C"/>
    <w:rsid w:val="004E177E"/>
    <w:rsid w:val="004E1E3D"/>
    <w:rsid w:val="004E20E7"/>
    <w:rsid w:val="004E2819"/>
    <w:rsid w:val="004E2D33"/>
    <w:rsid w:val="004E3FD6"/>
    <w:rsid w:val="004E7664"/>
    <w:rsid w:val="004E776E"/>
    <w:rsid w:val="004E78CA"/>
    <w:rsid w:val="004E7A4E"/>
    <w:rsid w:val="004F072B"/>
    <w:rsid w:val="004F077C"/>
    <w:rsid w:val="004F0FF6"/>
    <w:rsid w:val="004F139D"/>
    <w:rsid w:val="004F24DA"/>
    <w:rsid w:val="004F264C"/>
    <w:rsid w:val="004F2A3F"/>
    <w:rsid w:val="004F3B40"/>
    <w:rsid w:val="004F4268"/>
    <w:rsid w:val="004F4C5C"/>
    <w:rsid w:val="004F556D"/>
    <w:rsid w:val="004F5958"/>
    <w:rsid w:val="004F5DEA"/>
    <w:rsid w:val="004F5E0B"/>
    <w:rsid w:val="004F62CD"/>
    <w:rsid w:val="004F6423"/>
    <w:rsid w:val="004F6A03"/>
    <w:rsid w:val="004F7394"/>
    <w:rsid w:val="00500FCF"/>
    <w:rsid w:val="005010B7"/>
    <w:rsid w:val="005013B3"/>
    <w:rsid w:val="00501DAC"/>
    <w:rsid w:val="0050259A"/>
    <w:rsid w:val="0050302C"/>
    <w:rsid w:val="0050364B"/>
    <w:rsid w:val="005036A2"/>
    <w:rsid w:val="00503831"/>
    <w:rsid w:val="005045E0"/>
    <w:rsid w:val="00504704"/>
    <w:rsid w:val="00506699"/>
    <w:rsid w:val="0051089C"/>
    <w:rsid w:val="00511EEC"/>
    <w:rsid w:val="00513504"/>
    <w:rsid w:val="00513F3E"/>
    <w:rsid w:val="00514333"/>
    <w:rsid w:val="00514F89"/>
    <w:rsid w:val="005162E9"/>
    <w:rsid w:val="00516BC6"/>
    <w:rsid w:val="00516C2A"/>
    <w:rsid w:val="005200F6"/>
    <w:rsid w:val="00520F60"/>
    <w:rsid w:val="005214B5"/>
    <w:rsid w:val="005224A9"/>
    <w:rsid w:val="0052260C"/>
    <w:rsid w:val="00522CB5"/>
    <w:rsid w:val="00523804"/>
    <w:rsid w:val="00524487"/>
    <w:rsid w:val="00524D6E"/>
    <w:rsid w:val="00524F2F"/>
    <w:rsid w:val="00525FCE"/>
    <w:rsid w:val="005265F7"/>
    <w:rsid w:val="00526834"/>
    <w:rsid w:val="00527380"/>
    <w:rsid w:val="00527842"/>
    <w:rsid w:val="00530B87"/>
    <w:rsid w:val="00530F3B"/>
    <w:rsid w:val="00530F4E"/>
    <w:rsid w:val="0053182C"/>
    <w:rsid w:val="00533C29"/>
    <w:rsid w:val="00534EC4"/>
    <w:rsid w:val="00537AD9"/>
    <w:rsid w:val="00540096"/>
    <w:rsid w:val="00540548"/>
    <w:rsid w:val="00540AC7"/>
    <w:rsid w:val="00541534"/>
    <w:rsid w:val="00541D7D"/>
    <w:rsid w:val="00542067"/>
    <w:rsid w:val="00543AE8"/>
    <w:rsid w:val="00544828"/>
    <w:rsid w:val="00544C34"/>
    <w:rsid w:val="00544CFC"/>
    <w:rsid w:val="005452BC"/>
    <w:rsid w:val="00546190"/>
    <w:rsid w:val="00546BD5"/>
    <w:rsid w:val="0054765C"/>
    <w:rsid w:val="00550A93"/>
    <w:rsid w:val="0055123D"/>
    <w:rsid w:val="005518DB"/>
    <w:rsid w:val="00552799"/>
    <w:rsid w:val="005533D9"/>
    <w:rsid w:val="00555341"/>
    <w:rsid w:val="00555EC1"/>
    <w:rsid w:val="00560590"/>
    <w:rsid w:val="00560B07"/>
    <w:rsid w:val="005610A3"/>
    <w:rsid w:val="005615C0"/>
    <w:rsid w:val="00561C8E"/>
    <w:rsid w:val="00564128"/>
    <w:rsid w:val="005653C9"/>
    <w:rsid w:val="00565857"/>
    <w:rsid w:val="0056653B"/>
    <w:rsid w:val="00566A3F"/>
    <w:rsid w:val="00566C04"/>
    <w:rsid w:val="0056798C"/>
    <w:rsid w:val="00570032"/>
    <w:rsid w:val="0057174A"/>
    <w:rsid w:val="00572AD4"/>
    <w:rsid w:val="0057344A"/>
    <w:rsid w:val="00573DA5"/>
    <w:rsid w:val="00573FFD"/>
    <w:rsid w:val="00574516"/>
    <w:rsid w:val="00574A97"/>
    <w:rsid w:val="0057512C"/>
    <w:rsid w:val="0057596E"/>
    <w:rsid w:val="00575B24"/>
    <w:rsid w:val="00576AFE"/>
    <w:rsid w:val="00576BA5"/>
    <w:rsid w:val="00576DFB"/>
    <w:rsid w:val="00577534"/>
    <w:rsid w:val="00577B1B"/>
    <w:rsid w:val="00580A53"/>
    <w:rsid w:val="00580EBC"/>
    <w:rsid w:val="00581098"/>
    <w:rsid w:val="00581506"/>
    <w:rsid w:val="00582589"/>
    <w:rsid w:val="00582B99"/>
    <w:rsid w:val="00582FAB"/>
    <w:rsid w:val="005831C1"/>
    <w:rsid w:val="00583341"/>
    <w:rsid w:val="00583A02"/>
    <w:rsid w:val="00584083"/>
    <w:rsid w:val="00584FB3"/>
    <w:rsid w:val="00585730"/>
    <w:rsid w:val="00585E0C"/>
    <w:rsid w:val="005872E5"/>
    <w:rsid w:val="005879B2"/>
    <w:rsid w:val="005908DD"/>
    <w:rsid w:val="00592490"/>
    <w:rsid w:val="00592EB1"/>
    <w:rsid w:val="005930F9"/>
    <w:rsid w:val="0059326A"/>
    <w:rsid w:val="00593352"/>
    <w:rsid w:val="0059390E"/>
    <w:rsid w:val="00593F81"/>
    <w:rsid w:val="00594005"/>
    <w:rsid w:val="005940C1"/>
    <w:rsid w:val="00594A3B"/>
    <w:rsid w:val="00595717"/>
    <w:rsid w:val="00595BCE"/>
    <w:rsid w:val="005966C8"/>
    <w:rsid w:val="00597265"/>
    <w:rsid w:val="005974BA"/>
    <w:rsid w:val="005A01C9"/>
    <w:rsid w:val="005A0446"/>
    <w:rsid w:val="005A09E4"/>
    <w:rsid w:val="005A0A96"/>
    <w:rsid w:val="005A1CB2"/>
    <w:rsid w:val="005A27E4"/>
    <w:rsid w:val="005A2906"/>
    <w:rsid w:val="005A2B1A"/>
    <w:rsid w:val="005A2B55"/>
    <w:rsid w:val="005A426C"/>
    <w:rsid w:val="005A5A52"/>
    <w:rsid w:val="005A5F02"/>
    <w:rsid w:val="005A6BE1"/>
    <w:rsid w:val="005A6EC3"/>
    <w:rsid w:val="005A71EF"/>
    <w:rsid w:val="005A758D"/>
    <w:rsid w:val="005A7761"/>
    <w:rsid w:val="005B05DD"/>
    <w:rsid w:val="005B07A7"/>
    <w:rsid w:val="005B175E"/>
    <w:rsid w:val="005B19BF"/>
    <w:rsid w:val="005B21E0"/>
    <w:rsid w:val="005B2439"/>
    <w:rsid w:val="005B28A6"/>
    <w:rsid w:val="005B36A2"/>
    <w:rsid w:val="005B4D5D"/>
    <w:rsid w:val="005B4F84"/>
    <w:rsid w:val="005B594A"/>
    <w:rsid w:val="005B5E57"/>
    <w:rsid w:val="005B60A3"/>
    <w:rsid w:val="005B6B01"/>
    <w:rsid w:val="005B744A"/>
    <w:rsid w:val="005B795B"/>
    <w:rsid w:val="005C08F4"/>
    <w:rsid w:val="005C094B"/>
    <w:rsid w:val="005C266E"/>
    <w:rsid w:val="005C2F7D"/>
    <w:rsid w:val="005C3FF9"/>
    <w:rsid w:val="005C49DC"/>
    <w:rsid w:val="005C5232"/>
    <w:rsid w:val="005C530A"/>
    <w:rsid w:val="005C5601"/>
    <w:rsid w:val="005C5CEB"/>
    <w:rsid w:val="005C632C"/>
    <w:rsid w:val="005C6783"/>
    <w:rsid w:val="005C6C1D"/>
    <w:rsid w:val="005C703C"/>
    <w:rsid w:val="005C74A5"/>
    <w:rsid w:val="005C7C88"/>
    <w:rsid w:val="005D02E1"/>
    <w:rsid w:val="005D03B4"/>
    <w:rsid w:val="005D34C7"/>
    <w:rsid w:val="005D3F16"/>
    <w:rsid w:val="005D4D92"/>
    <w:rsid w:val="005D5335"/>
    <w:rsid w:val="005D5C0E"/>
    <w:rsid w:val="005D6474"/>
    <w:rsid w:val="005D6517"/>
    <w:rsid w:val="005D6FD5"/>
    <w:rsid w:val="005D7BF7"/>
    <w:rsid w:val="005E0953"/>
    <w:rsid w:val="005E1291"/>
    <w:rsid w:val="005E1D2B"/>
    <w:rsid w:val="005E2265"/>
    <w:rsid w:val="005E2D3C"/>
    <w:rsid w:val="005E2F81"/>
    <w:rsid w:val="005E4222"/>
    <w:rsid w:val="005E46CF"/>
    <w:rsid w:val="005E4817"/>
    <w:rsid w:val="005E5465"/>
    <w:rsid w:val="005E5C30"/>
    <w:rsid w:val="005E61FB"/>
    <w:rsid w:val="005E6B5B"/>
    <w:rsid w:val="005E6F39"/>
    <w:rsid w:val="005E73BE"/>
    <w:rsid w:val="005F11D8"/>
    <w:rsid w:val="005F15BB"/>
    <w:rsid w:val="005F2535"/>
    <w:rsid w:val="005F412A"/>
    <w:rsid w:val="005F4A43"/>
    <w:rsid w:val="005F5029"/>
    <w:rsid w:val="005F60D2"/>
    <w:rsid w:val="005F69D4"/>
    <w:rsid w:val="00600576"/>
    <w:rsid w:val="00600A02"/>
    <w:rsid w:val="00600AFF"/>
    <w:rsid w:val="00600D2B"/>
    <w:rsid w:val="0060102E"/>
    <w:rsid w:val="006012FE"/>
    <w:rsid w:val="00601B9F"/>
    <w:rsid w:val="00602796"/>
    <w:rsid w:val="00602EF5"/>
    <w:rsid w:val="00603408"/>
    <w:rsid w:val="00604C8F"/>
    <w:rsid w:val="006051E6"/>
    <w:rsid w:val="00605A17"/>
    <w:rsid w:val="00605F08"/>
    <w:rsid w:val="00610119"/>
    <w:rsid w:val="006104AD"/>
    <w:rsid w:val="006106DB"/>
    <w:rsid w:val="00610DBB"/>
    <w:rsid w:val="00610E32"/>
    <w:rsid w:val="00611184"/>
    <w:rsid w:val="0061146F"/>
    <w:rsid w:val="0061172C"/>
    <w:rsid w:val="006124E8"/>
    <w:rsid w:val="00613ABE"/>
    <w:rsid w:val="00613B54"/>
    <w:rsid w:val="00613E00"/>
    <w:rsid w:val="00613F3F"/>
    <w:rsid w:val="00615F4D"/>
    <w:rsid w:val="0061671E"/>
    <w:rsid w:val="006169E3"/>
    <w:rsid w:val="006169E9"/>
    <w:rsid w:val="00617018"/>
    <w:rsid w:val="006172D8"/>
    <w:rsid w:val="00617872"/>
    <w:rsid w:val="00617E82"/>
    <w:rsid w:val="00617F8F"/>
    <w:rsid w:val="0062071E"/>
    <w:rsid w:val="00620FAE"/>
    <w:rsid w:val="0062102B"/>
    <w:rsid w:val="00621263"/>
    <w:rsid w:val="00624C5C"/>
    <w:rsid w:val="0062504B"/>
    <w:rsid w:val="006253D2"/>
    <w:rsid w:val="00626A1C"/>
    <w:rsid w:val="00626E74"/>
    <w:rsid w:val="00627708"/>
    <w:rsid w:val="006278F5"/>
    <w:rsid w:val="00627ACF"/>
    <w:rsid w:val="00630D16"/>
    <w:rsid w:val="00630E48"/>
    <w:rsid w:val="0063167D"/>
    <w:rsid w:val="00631AE7"/>
    <w:rsid w:val="006328BC"/>
    <w:rsid w:val="00633354"/>
    <w:rsid w:val="006348A7"/>
    <w:rsid w:val="006357BD"/>
    <w:rsid w:val="006357C1"/>
    <w:rsid w:val="00635E3E"/>
    <w:rsid w:val="006366E0"/>
    <w:rsid w:val="00636886"/>
    <w:rsid w:val="00636DDA"/>
    <w:rsid w:val="0063756F"/>
    <w:rsid w:val="00637ADF"/>
    <w:rsid w:val="00637EAD"/>
    <w:rsid w:val="00640C33"/>
    <w:rsid w:val="00640E09"/>
    <w:rsid w:val="00640E97"/>
    <w:rsid w:val="006424A4"/>
    <w:rsid w:val="006425A4"/>
    <w:rsid w:val="00642EF5"/>
    <w:rsid w:val="006431E7"/>
    <w:rsid w:val="006434C4"/>
    <w:rsid w:val="00643B03"/>
    <w:rsid w:val="00643C5A"/>
    <w:rsid w:val="00644C62"/>
    <w:rsid w:val="006466F9"/>
    <w:rsid w:val="00646D7F"/>
    <w:rsid w:val="00650922"/>
    <w:rsid w:val="006511E4"/>
    <w:rsid w:val="006515FF"/>
    <w:rsid w:val="0065258C"/>
    <w:rsid w:val="00653153"/>
    <w:rsid w:val="00654B41"/>
    <w:rsid w:val="00655685"/>
    <w:rsid w:val="0065601E"/>
    <w:rsid w:val="0065795A"/>
    <w:rsid w:val="00660A88"/>
    <w:rsid w:val="00662000"/>
    <w:rsid w:val="006627E9"/>
    <w:rsid w:val="00662921"/>
    <w:rsid w:val="0066335B"/>
    <w:rsid w:val="00664299"/>
    <w:rsid w:val="00664313"/>
    <w:rsid w:val="006649E5"/>
    <w:rsid w:val="00664A21"/>
    <w:rsid w:val="00665129"/>
    <w:rsid w:val="00667467"/>
    <w:rsid w:val="00667A74"/>
    <w:rsid w:val="00667C60"/>
    <w:rsid w:val="00667D82"/>
    <w:rsid w:val="00667DFF"/>
    <w:rsid w:val="00670DE2"/>
    <w:rsid w:val="0067212B"/>
    <w:rsid w:val="00672706"/>
    <w:rsid w:val="006733D6"/>
    <w:rsid w:val="00673640"/>
    <w:rsid w:val="00673BE7"/>
    <w:rsid w:val="00674070"/>
    <w:rsid w:val="006754F6"/>
    <w:rsid w:val="006767C3"/>
    <w:rsid w:val="00676FFF"/>
    <w:rsid w:val="00677191"/>
    <w:rsid w:val="0068024D"/>
    <w:rsid w:val="00680EA4"/>
    <w:rsid w:val="00681038"/>
    <w:rsid w:val="00681315"/>
    <w:rsid w:val="0068209E"/>
    <w:rsid w:val="00682864"/>
    <w:rsid w:val="00682C8E"/>
    <w:rsid w:val="006833DB"/>
    <w:rsid w:val="00683544"/>
    <w:rsid w:val="006839E6"/>
    <w:rsid w:val="00683FA9"/>
    <w:rsid w:val="006845D1"/>
    <w:rsid w:val="00684A1D"/>
    <w:rsid w:val="00685678"/>
    <w:rsid w:val="00686852"/>
    <w:rsid w:val="006875C4"/>
    <w:rsid w:val="00687765"/>
    <w:rsid w:val="00690AEE"/>
    <w:rsid w:val="00690D0E"/>
    <w:rsid w:val="00691128"/>
    <w:rsid w:val="00691DEF"/>
    <w:rsid w:val="00692087"/>
    <w:rsid w:val="006920FA"/>
    <w:rsid w:val="0069213F"/>
    <w:rsid w:val="00692392"/>
    <w:rsid w:val="00692C83"/>
    <w:rsid w:val="00692D4F"/>
    <w:rsid w:val="00693381"/>
    <w:rsid w:val="00695470"/>
    <w:rsid w:val="00695532"/>
    <w:rsid w:val="00695F34"/>
    <w:rsid w:val="00696DE9"/>
    <w:rsid w:val="0069794B"/>
    <w:rsid w:val="006A0BD0"/>
    <w:rsid w:val="006A0D30"/>
    <w:rsid w:val="006A0EA0"/>
    <w:rsid w:val="006A1B3A"/>
    <w:rsid w:val="006A20BB"/>
    <w:rsid w:val="006A2AAD"/>
    <w:rsid w:val="006A3965"/>
    <w:rsid w:val="006A417E"/>
    <w:rsid w:val="006A48F0"/>
    <w:rsid w:val="006A5A58"/>
    <w:rsid w:val="006A5F19"/>
    <w:rsid w:val="006A60EB"/>
    <w:rsid w:val="006A6112"/>
    <w:rsid w:val="006A6E0E"/>
    <w:rsid w:val="006A6F5E"/>
    <w:rsid w:val="006A727F"/>
    <w:rsid w:val="006B10B0"/>
    <w:rsid w:val="006B1261"/>
    <w:rsid w:val="006B2D92"/>
    <w:rsid w:val="006B36CB"/>
    <w:rsid w:val="006B43F6"/>
    <w:rsid w:val="006B4E0E"/>
    <w:rsid w:val="006B5501"/>
    <w:rsid w:val="006B5C2E"/>
    <w:rsid w:val="006B5D8D"/>
    <w:rsid w:val="006B6313"/>
    <w:rsid w:val="006B6679"/>
    <w:rsid w:val="006C1AE5"/>
    <w:rsid w:val="006C2278"/>
    <w:rsid w:val="006C27C3"/>
    <w:rsid w:val="006C2D67"/>
    <w:rsid w:val="006C2F89"/>
    <w:rsid w:val="006C3556"/>
    <w:rsid w:val="006C39B7"/>
    <w:rsid w:val="006C63D8"/>
    <w:rsid w:val="006C6415"/>
    <w:rsid w:val="006C6550"/>
    <w:rsid w:val="006C79EE"/>
    <w:rsid w:val="006C7D30"/>
    <w:rsid w:val="006D01FB"/>
    <w:rsid w:val="006D12B7"/>
    <w:rsid w:val="006D14D0"/>
    <w:rsid w:val="006D18E2"/>
    <w:rsid w:val="006D24FE"/>
    <w:rsid w:val="006D2924"/>
    <w:rsid w:val="006D3DA1"/>
    <w:rsid w:val="006D404E"/>
    <w:rsid w:val="006D4528"/>
    <w:rsid w:val="006D497B"/>
    <w:rsid w:val="006D4FDD"/>
    <w:rsid w:val="006D55E8"/>
    <w:rsid w:val="006D620A"/>
    <w:rsid w:val="006D68F1"/>
    <w:rsid w:val="006D7673"/>
    <w:rsid w:val="006D776B"/>
    <w:rsid w:val="006D7AC8"/>
    <w:rsid w:val="006E00E9"/>
    <w:rsid w:val="006E0B78"/>
    <w:rsid w:val="006E0C1C"/>
    <w:rsid w:val="006E1EA9"/>
    <w:rsid w:val="006E1FB7"/>
    <w:rsid w:val="006E2CD2"/>
    <w:rsid w:val="006E2D00"/>
    <w:rsid w:val="006E3AAC"/>
    <w:rsid w:val="006E3B58"/>
    <w:rsid w:val="006E447B"/>
    <w:rsid w:val="006E539E"/>
    <w:rsid w:val="006E53F0"/>
    <w:rsid w:val="006E580F"/>
    <w:rsid w:val="006E5C73"/>
    <w:rsid w:val="006E6CF0"/>
    <w:rsid w:val="006E72D4"/>
    <w:rsid w:val="006F0BE1"/>
    <w:rsid w:val="006F167A"/>
    <w:rsid w:val="006F18A0"/>
    <w:rsid w:val="006F1FCF"/>
    <w:rsid w:val="006F2C25"/>
    <w:rsid w:val="006F2DFC"/>
    <w:rsid w:val="006F3520"/>
    <w:rsid w:val="006F390A"/>
    <w:rsid w:val="006F4615"/>
    <w:rsid w:val="006F5BA4"/>
    <w:rsid w:val="006F637F"/>
    <w:rsid w:val="006F63B0"/>
    <w:rsid w:val="006F67E2"/>
    <w:rsid w:val="006F70EA"/>
    <w:rsid w:val="006F73A9"/>
    <w:rsid w:val="00700488"/>
    <w:rsid w:val="007004AD"/>
    <w:rsid w:val="007004EC"/>
    <w:rsid w:val="0070080F"/>
    <w:rsid w:val="007016B6"/>
    <w:rsid w:val="007017B1"/>
    <w:rsid w:val="00701E69"/>
    <w:rsid w:val="0070208D"/>
    <w:rsid w:val="00702320"/>
    <w:rsid w:val="00702ECD"/>
    <w:rsid w:val="0070366F"/>
    <w:rsid w:val="00704914"/>
    <w:rsid w:val="00705B4C"/>
    <w:rsid w:val="00705CEF"/>
    <w:rsid w:val="00706D48"/>
    <w:rsid w:val="007123F6"/>
    <w:rsid w:val="00712B0E"/>
    <w:rsid w:val="00712CC6"/>
    <w:rsid w:val="007135CA"/>
    <w:rsid w:val="00713B01"/>
    <w:rsid w:val="00715E7C"/>
    <w:rsid w:val="00720596"/>
    <w:rsid w:val="00720AF2"/>
    <w:rsid w:val="00720B19"/>
    <w:rsid w:val="00720F35"/>
    <w:rsid w:val="0072131C"/>
    <w:rsid w:val="00721C81"/>
    <w:rsid w:val="00721D02"/>
    <w:rsid w:val="00723170"/>
    <w:rsid w:val="00724546"/>
    <w:rsid w:val="00724B78"/>
    <w:rsid w:val="00725114"/>
    <w:rsid w:val="007258FF"/>
    <w:rsid w:val="007263C4"/>
    <w:rsid w:val="007309C1"/>
    <w:rsid w:val="00730A14"/>
    <w:rsid w:val="00730DBD"/>
    <w:rsid w:val="00731028"/>
    <w:rsid w:val="007315DD"/>
    <w:rsid w:val="0073212D"/>
    <w:rsid w:val="00732879"/>
    <w:rsid w:val="00732C96"/>
    <w:rsid w:val="00732DD1"/>
    <w:rsid w:val="00733798"/>
    <w:rsid w:val="00733E3F"/>
    <w:rsid w:val="0073532D"/>
    <w:rsid w:val="00735458"/>
    <w:rsid w:val="0073592C"/>
    <w:rsid w:val="007365A8"/>
    <w:rsid w:val="00736B5A"/>
    <w:rsid w:val="007410C7"/>
    <w:rsid w:val="00741B62"/>
    <w:rsid w:val="00742450"/>
    <w:rsid w:val="00742A86"/>
    <w:rsid w:val="00743D8F"/>
    <w:rsid w:val="007446E4"/>
    <w:rsid w:val="007449AB"/>
    <w:rsid w:val="00744B8B"/>
    <w:rsid w:val="00744CE6"/>
    <w:rsid w:val="00744F12"/>
    <w:rsid w:val="00745D29"/>
    <w:rsid w:val="00746481"/>
    <w:rsid w:val="00747C79"/>
    <w:rsid w:val="00747E59"/>
    <w:rsid w:val="00750EF9"/>
    <w:rsid w:val="0075192F"/>
    <w:rsid w:val="00752422"/>
    <w:rsid w:val="007532D0"/>
    <w:rsid w:val="00754D4D"/>
    <w:rsid w:val="00754F40"/>
    <w:rsid w:val="0075533A"/>
    <w:rsid w:val="00755D59"/>
    <w:rsid w:val="00757AA5"/>
    <w:rsid w:val="007605E8"/>
    <w:rsid w:val="00761AC6"/>
    <w:rsid w:val="00762297"/>
    <w:rsid w:val="007623E7"/>
    <w:rsid w:val="007629EA"/>
    <w:rsid w:val="0076549E"/>
    <w:rsid w:val="00767135"/>
    <w:rsid w:val="0076728C"/>
    <w:rsid w:val="0076777A"/>
    <w:rsid w:val="00767B4A"/>
    <w:rsid w:val="007700F4"/>
    <w:rsid w:val="00770BC7"/>
    <w:rsid w:val="00770E72"/>
    <w:rsid w:val="00772EAE"/>
    <w:rsid w:val="00775086"/>
    <w:rsid w:val="007761D6"/>
    <w:rsid w:val="00776A54"/>
    <w:rsid w:val="00777082"/>
    <w:rsid w:val="00777B6D"/>
    <w:rsid w:val="00777C09"/>
    <w:rsid w:val="00777C91"/>
    <w:rsid w:val="00780526"/>
    <w:rsid w:val="007813C7"/>
    <w:rsid w:val="0078189E"/>
    <w:rsid w:val="00781D1E"/>
    <w:rsid w:val="00784A19"/>
    <w:rsid w:val="00785E2D"/>
    <w:rsid w:val="007872A1"/>
    <w:rsid w:val="00790029"/>
    <w:rsid w:val="0079079E"/>
    <w:rsid w:val="00790F0E"/>
    <w:rsid w:val="00791558"/>
    <w:rsid w:val="00792E97"/>
    <w:rsid w:val="007938D8"/>
    <w:rsid w:val="0079398E"/>
    <w:rsid w:val="00793C09"/>
    <w:rsid w:val="00794E2C"/>
    <w:rsid w:val="00795886"/>
    <w:rsid w:val="007959F8"/>
    <w:rsid w:val="00795A68"/>
    <w:rsid w:val="00796BC6"/>
    <w:rsid w:val="007972BD"/>
    <w:rsid w:val="007A0EB0"/>
    <w:rsid w:val="007A1767"/>
    <w:rsid w:val="007A1F6C"/>
    <w:rsid w:val="007A2897"/>
    <w:rsid w:val="007A2C5A"/>
    <w:rsid w:val="007A3A9C"/>
    <w:rsid w:val="007A3E55"/>
    <w:rsid w:val="007A4D24"/>
    <w:rsid w:val="007A5348"/>
    <w:rsid w:val="007A55C7"/>
    <w:rsid w:val="007A5A07"/>
    <w:rsid w:val="007A5EAE"/>
    <w:rsid w:val="007A609E"/>
    <w:rsid w:val="007A65A2"/>
    <w:rsid w:val="007A70CE"/>
    <w:rsid w:val="007A78CD"/>
    <w:rsid w:val="007A7FCD"/>
    <w:rsid w:val="007B031E"/>
    <w:rsid w:val="007B068A"/>
    <w:rsid w:val="007B0827"/>
    <w:rsid w:val="007B0B49"/>
    <w:rsid w:val="007B19F2"/>
    <w:rsid w:val="007B20B3"/>
    <w:rsid w:val="007B220D"/>
    <w:rsid w:val="007B25F4"/>
    <w:rsid w:val="007B297A"/>
    <w:rsid w:val="007B2C17"/>
    <w:rsid w:val="007B2C56"/>
    <w:rsid w:val="007B3099"/>
    <w:rsid w:val="007B4143"/>
    <w:rsid w:val="007B42DC"/>
    <w:rsid w:val="007B4609"/>
    <w:rsid w:val="007B4DD9"/>
    <w:rsid w:val="007B578D"/>
    <w:rsid w:val="007B65B4"/>
    <w:rsid w:val="007B686B"/>
    <w:rsid w:val="007B6AF4"/>
    <w:rsid w:val="007B6CEC"/>
    <w:rsid w:val="007B7312"/>
    <w:rsid w:val="007B7C0C"/>
    <w:rsid w:val="007B7C9E"/>
    <w:rsid w:val="007C00A7"/>
    <w:rsid w:val="007C2535"/>
    <w:rsid w:val="007C28AB"/>
    <w:rsid w:val="007C2927"/>
    <w:rsid w:val="007C314C"/>
    <w:rsid w:val="007C317A"/>
    <w:rsid w:val="007C3812"/>
    <w:rsid w:val="007C48FF"/>
    <w:rsid w:val="007C6D98"/>
    <w:rsid w:val="007C6F14"/>
    <w:rsid w:val="007D0822"/>
    <w:rsid w:val="007D0D46"/>
    <w:rsid w:val="007D1A55"/>
    <w:rsid w:val="007D2834"/>
    <w:rsid w:val="007D2C5C"/>
    <w:rsid w:val="007D4338"/>
    <w:rsid w:val="007D46FF"/>
    <w:rsid w:val="007D5A3A"/>
    <w:rsid w:val="007D7110"/>
    <w:rsid w:val="007D77EC"/>
    <w:rsid w:val="007E0012"/>
    <w:rsid w:val="007E040B"/>
    <w:rsid w:val="007E106B"/>
    <w:rsid w:val="007E129D"/>
    <w:rsid w:val="007E1E92"/>
    <w:rsid w:val="007E215E"/>
    <w:rsid w:val="007E2311"/>
    <w:rsid w:val="007E24CE"/>
    <w:rsid w:val="007E34FF"/>
    <w:rsid w:val="007E4718"/>
    <w:rsid w:val="007E54F4"/>
    <w:rsid w:val="007E70EE"/>
    <w:rsid w:val="007E72AB"/>
    <w:rsid w:val="007E78CE"/>
    <w:rsid w:val="007F0E03"/>
    <w:rsid w:val="007F0E40"/>
    <w:rsid w:val="007F156E"/>
    <w:rsid w:val="007F1D3F"/>
    <w:rsid w:val="007F2297"/>
    <w:rsid w:val="007F2510"/>
    <w:rsid w:val="007F346B"/>
    <w:rsid w:val="007F3E68"/>
    <w:rsid w:val="007F4A10"/>
    <w:rsid w:val="007F5AAC"/>
    <w:rsid w:val="007F74F8"/>
    <w:rsid w:val="007F7E96"/>
    <w:rsid w:val="008003C8"/>
    <w:rsid w:val="0080061B"/>
    <w:rsid w:val="00800D0D"/>
    <w:rsid w:val="00802A1A"/>
    <w:rsid w:val="00802D9B"/>
    <w:rsid w:val="00802F53"/>
    <w:rsid w:val="00804EDF"/>
    <w:rsid w:val="008059FB"/>
    <w:rsid w:val="00805FC8"/>
    <w:rsid w:val="00806F99"/>
    <w:rsid w:val="00807583"/>
    <w:rsid w:val="0081083E"/>
    <w:rsid w:val="00810F53"/>
    <w:rsid w:val="0081116E"/>
    <w:rsid w:val="00811373"/>
    <w:rsid w:val="00811C25"/>
    <w:rsid w:val="00812020"/>
    <w:rsid w:val="00812B44"/>
    <w:rsid w:val="00813411"/>
    <w:rsid w:val="00814033"/>
    <w:rsid w:val="008144D8"/>
    <w:rsid w:val="008148B9"/>
    <w:rsid w:val="0081505D"/>
    <w:rsid w:val="00815BDB"/>
    <w:rsid w:val="008170F0"/>
    <w:rsid w:val="0082000A"/>
    <w:rsid w:val="00821F81"/>
    <w:rsid w:val="00822171"/>
    <w:rsid w:val="00823075"/>
    <w:rsid w:val="008238E8"/>
    <w:rsid w:val="00824486"/>
    <w:rsid w:val="0082466C"/>
    <w:rsid w:val="00824716"/>
    <w:rsid w:val="00824AAA"/>
    <w:rsid w:val="00825676"/>
    <w:rsid w:val="008259B3"/>
    <w:rsid w:val="00826435"/>
    <w:rsid w:val="00826CC9"/>
    <w:rsid w:val="0082750E"/>
    <w:rsid w:val="0083078D"/>
    <w:rsid w:val="008310DB"/>
    <w:rsid w:val="0083144D"/>
    <w:rsid w:val="008314BC"/>
    <w:rsid w:val="008319DE"/>
    <w:rsid w:val="00831F26"/>
    <w:rsid w:val="00832100"/>
    <w:rsid w:val="0083241F"/>
    <w:rsid w:val="00834532"/>
    <w:rsid w:val="00834DFD"/>
    <w:rsid w:val="00834EDB"/>
    <w:rsid w:val="0083637B"/>
    <w:rsid w:val="008378BD"/>
    <w:rsid w:val="00837D14"/>
    <w:rsid w:val="00837E3F"/>
    <w:rsid w:val="00837F80"/>
    <w:rsid w:val="0084184E"/>
    <w:rsid w:val="00841F02"/>
    <w:rsid w:val="00842AFB"/>
    <w:rsid w:val="0084389A"/>
    <w:rsid w:val="008439F9"/>
    <w:rsid w:val="00843F26"/>
    <w:rsid w:val="008451DF"/>
    <w:rsid w:val="0084670C"/>
    <w:rsid w:val="008471E5"/>
    <w:rsid w:val="00850D15"/>
    <w:rsid w:val="0085101C"/>
    <w:rsid w:val="00855F8D"/>
    <w:rsid w:val="00856594"/>
    <w:rsid w:val="00856C27"/>
    <w:rsid w:val="00857708"/>
    <w:rsid w:val="00857E3F"/>
    <w:rsid w:val="00857E5E"/>
    <w:rsid w:val="0086004A"/>
    <w:rsid w:val="00860972"/>
    <w:rsid w:val="008610DC"/>
    <w:rsid w:val="00861BF9"/>
    <w:rsid w:val="00862411"/>
    <w:rsid w:val="00862851"/>
    <w:rsid w:val="008637AF"/>
    <w:rsid w:val="00863C33"/>
    <w:rsid w:val="00864AB6"/>
    <w:rsid w:val="00864B0A"/>
    <w:rsid w:val="0086738C"/>
    <w:rsid w:val="00870BB1"/>
    <w:rsid w:val="00870BDA"/>
    <w:rsid w:val="00870C78"/>
    <w:rsid w:val="00872968"/>
    <w:rsid w:val="00873759"/>
    <w:rsid w:val="00873881"/>
    <w:rsid w:val="00874AEA"/>
    <w:rsid w:val="00875EB4"/>
    <w:rsid w:val="00876792"/>
    <w:rsid w:val="00876CDE"/>
    <w:rsid w:val="00876EE7"/>
    <w:rsid w:val="00877DD7"/>
    <w:rsid w:val="00880EF8"/>
    <w:rsid w:val="00883164"/>
    <w:rsid w:val="008836F4"/>
    <w:rsid w:val="008844AB"/>
    <w:rsid w:val="0088523D"/>
    <w:rsid w:val="0088536D"/>
    <w:rsid w:val="00885E31"/>
    <w:rsid w:val="0088614B"/>
    <w:rsid w:val="008866A9"/>
    <w:rsid w:val="008867AA"/>
    <w:rsid w:val="00891347"/>
    <w:rsid w:val="00891690"/>
    <w:rsid w:val="00891D6C"/>
    <w:rsid w:val="00892226"/>
    <w:rsid w:val="00892E40"/>
    <w:rsid w:val="00893585"/>
    <w:rsid w:val="00893B49"/>
    <w:rsid w:val="00893D85"/>
    <w:rsid w:val="00893EDD"/>
    <w:rsid w:val="00893F83"/>
    <w:rsid w:val="00893F97"/>
    <w:rsid w:val="008941F7"/>
    <w:rsid w:val="00895AF2"/>
    <w:rsid w:val="00895D63"/>
    <w:rsid w:val="008967A0"/>
    <w:rsid w:val="008975BB"/>
    <w:rsid w:val="00897997"/>
    <w:rsid w:val="008A0488"/>
    <w:rsid w:val="008A1628"/>
    <w:rsid w:val="008A2272"/>
    <w:rsid w:val="008A31F6"/>
    <w:rsid w:val="008A3C1C"/>
    <w:rsid w:val="008A4100"/>
    <w:rsid w:val="008A45A5"/>
    <w:rsid w:val="008A47CE"/>
    <w:rsid w:val="008A4CEE"/>
    <w:rsid w:val="008A5642"/>
    <w:rsid w:val="008A58E5"/>
    <w:rsid w:val="008A5A11"/>
    <w:rsid w:val="008A6042"/>
    <w:rsid w:val="008A6251"/>
    <w:rsid w:val="008A7B93"/>
    <w:rsid w:val="008A7C20"/>
    <w:rsid w:val="008B0D92"/>
    <w:rsid w:val="008B305C"/>
    <w:rsid w:val="008B38AA"/>
    <w:rsid w:val="008B420B"/>
    <w:rsid w:val="008B48BB"/>
    <w:rsid w:val="008B5B9E"/>
    <w:rsid w:val="008B5D66"/>
    <w:rsid w:val="008B6024"/>
    <w:rsid w:val="008B60C5"/>
    <w:rsid w:val="008B6B84"/>
    <w:rsid w:val="008B786E"/>
    <w:rsid w:val="008B7AC9"/>
    <w:rsid w:val="008C256B"/>
    <w:rsid w:val="008C25BB"/>
    <w:rsid w:val="008C4B11"/>
    <w:rsid w:val="008C5784"/>
    <w:rsid w:val="008C5C6F"/>
    <w:rsid w:val="008C5F44"/>
    <w:rsid w:val="008C613E"/>
    <w:rsid w:val="008C67FE"/>
    <w:rsid w:val="008C6B22"/>
    <w:rsid w:val="008C7449"/>
    <w:rsid w:val="008D15D3"/>
    <w:rsid w:val="008D1DEE"/>
    <w:rsid w:val="008D1EE2"/>
    <w:rsid w:val="008D29B8"/>
    <w:rsid w:val="008D2F3C"/>
    <w:rsid w:val="008D41CB"/>
    <w:rsid w:val="008D42BF"/>
    <w:rsid w:val="008D47B6"/>
    <w:rsid w:val="008D4838"/>
    <w:rsid w:val="008D5198"/>
    <w:rsid w:val="008D5D10"/>
    <w:rsid w:val="008D6226"/>
    <w:rsid w:val="008D6248"/>
    <w:rsid w:val="008D667A"/>
    <w:rsid w:val="008D6B05"/>
    <w:rsid w:val="008D6F60"/>
    <w:rsid w:val="008D76DC"/>
    <w:rsid w:val="008D798F"/>
    <w:rsid w:val="008E07F6"/>
    <w:rsid w:val="008E087D"/>
    <w:rsid w:val="008E13C2"/>
    <w:rsid w:val="008E160E"/>
    <w:rsid w:val="008E169B"/>
    <w:rsid w:val="008E18D9"/>
    <w:rsid w:val="008E2010"/>
    <w:rsid w:val="008E2125"/>
    <w:rsid w:val="008E2E64"/>
    <w:rsid w:val="008E3926"/>
    <w:rsid w:val="008E3C9F"/>
    <w:rsid w:val="008E466D"/>
    <w:rsid w:val="008E47C4"/>
    <w:rsid w:val="008E633E"/>
    <w:rsid w:val="008E7E5A"/>
    <w:rsid w:val="008F0E09"/>
    <w:rsid w:val="008F1E75"/>
    <w:rsid w:val="008F4C9D"/>
    <w:rsid w:val="008F5BC4"/>
    <w:rsid w:val="008F6F03"/>
    <w:rsid w:val="008F73B8"/>
    <w:rsid w:val="0090035A"/>
    <w:rsid w:val="00901394"/>
    <w:rsid w:val="00902400"/>
    <w:rsid w:val="0090262B"/>
    <w:rsid w:val="0090455A"/>
    <w:rsid w:val="00906B25"/>
    <w:rsid w:val="00906C67"/>
    <w:rsid w:val="009073CA"/>
    <w:rsid w:val="00911224"/>
    <w:rsid w:val="009114A3"/>
    <w:rsid w:val="00911D06"/>
    <w:rsid w:val="00912C56"/>
    <w:rsid w:val="0091344D"/>
    <w:rsid w:val="0091345F"/>
    <w:rsid w:val="009143D3"/>
    <w:rsid w:val="009149B8"/>
    <w:rsid w:val="009155A8"/>
    <w:rsid w:val="00915761"/>
    <w:rsid w:val="009163F8"/>
    <w:rsid w:val="00916C1C"/>
    <w:rsid w:val="009171B6"/>
    <w:rsid w:val="00917356"/>
    <w:rsid w:val="009174E1"/>
    <w:rsid w:val="00917592"/>
    <w:rsid w:val="00917887"/>
    <w:rsid w:val="00917D9F"/>
    <w:rsid w:val="0092125F"/>
    <w:rsid w:val="0092198A"/>
    <w:rsid w:val="00921A1E"/>
    <w:rsid w:val="00921E42"/>
    <w:rsid w:val="00922FC0"/>
    <w:rsid w:val="0092344A"/>
    <w:rsid w:val="00923A29"/>
    <w:rsid w:val="009251E4"/>
    <w:rsid w:val="0092564F"/>
    <w:rsid w:val="00925AEF"/>
    <w:rsid w:val="00925CD8"/>
    <w:rsid w:val="0092632F"/>
    <w:rsid w:val="00927392"/>
    <w:rsid w:val="00927A00"/>
    <w:rsid w:val="00930022"/>
    <w:rsid w:val="00930A63"/>
    <w:rsid w:val="00931A80"/>
    <w:rsid w:val="00931AA5"/>
    <w:rsid w:val="00932A22"/>
    <w:rsid w:val="009344AD"/>
    <w:rsid w:val="009346FC"/>
    <w:rsid w:val="0093632A"/>
    <w:rsid w:val="009366DA"/>
    <w:rsid w:val="00936D10"/>
    <w:rsid w:val="00937349"/>
    <w:rsid w:val="00940905"/>
    <w:rsid w:val="00940966"/>
    <w:rsid w:val="00940B39"/>
    <w:rsid w:val="009420AF"/>
    <w:rsid w:val="00942617"/>
    <w:rsid w:val="00942683"/>
    <w:rsid w:val="009429FD"/>
    <w:rsid w:val="00943018"/>
    <w:rsid w:val="009430B7"/>
    <w:rsid w:val="009433EB"/>
    <w:rsid w:val="00943CCC"/>
    <w:rsid w:val="00944068"/>
    <w:rsid w:val="00945807"/>
    <w:rsid w:val="00945873"/>
    <w:rsid w:val="00945B89"/>
    <w:rsid w:val="00946B87"/>
    <w:rsid w:val="009471DB"/>
    <w:rsid w:val="00947C09"/>
    <w:rsid w:val="009502E9"/>
    <w:rsid w:val="00951C9B"/>
    <w:rsid w:val="009535CF"/>
    <w:rsid w:val="009544D3"/>
    <w:rsid w:val="009545A4"/>
    <w:rsid w:val="00955450"/>
    <w:rsid w:val="00955819"/>
    <w:rsid w:val="00956E00"/>
    <w:rsid w:val="0095712D"/>
    <w:rsid w:val="00957324"/>
    <w:rsid w:val="009573C2"/>
    <w:rsid w:val="00957A7C"/>
    <w:rsid w:val="00957A97"/>
    <w:rsid w:val="00960C21"/>
    <w:rsid w:val="00961652"/>
    <w:rsid w:val="009621A9"/>
    <w:rsid w:val="00962286"/>
    <w:rsid w:val="00962336"/>
    <w:rsid w:val="00963119"/>
    <w:rsid w:val="00963314"/>
    <w:rsid w:val="00964910"/>
    <w:rsid w:val="00967F67"/>
    <w:rsid w:val="009701A2"/>
    <w:rsid w:val="009704C9"/>
    <w:rsid w:val="009712D4"/>
    <w:rsid w:val="00971E00"/>
    <w:rsid w:val="009729DB"/>
    <w:rsid w:val="00972B5E"/>
    <w:rsid w:val="009732E4"/>
    <w:rsid w:val="00974370"/>
    <w:rsid w:val="00975515"/>
    <w:rsid w:val="009757DC"/>
    <w:rsid w:val="00976F5B"/>
    <w:rsid w:val="00976F8D"/>
    <w:rsid w:val="009804CC"/>
    <w:rsid w:val="009815AE"/>
    <w:rsid w:val="00981607"/>
    <w:rsid w:val="00981ED0"/>
    <w:rsid w:val="009830F9"/>
    <w:rsid w:val="0098377C"/>
    <w:rsid w:val="009840D6"/>
    <w:rsid w:val="009844D7"/>
    <w:rsid w:val="00984855"/>
    <w:rsid w:val="0098526B"/>
    <w:rsid w:val="00986CCC"/>
    <w:rsid w:val="00986FF3"/>
    <w:rsid w:val="00990025"/>
    <w:rsid w:val="009909F5"/>
    <w:rsid w:val="009919FB"/>
    <w:rsid w:val="00992C2D"/>
    <w:rsid w:val="0099412C"/>
    <w:rsid w:val="00994BE3"/>
    <w:rsid w:val="00995191"/>
    <w:rsid w:val="00995958"/>
    <w:rsid w:val="00996033"/>
    <w:rsid w:val="0099672E"/>
    <w:rsid w:val="009A0532"/>
    <w:rsid w:val="009A05CC"/>
    <w:rsid w:val="009A15E1"/>
    <w:rsid w:val="009A22E3"/>
    <w:rsid w:val="009A2583"/>
    <w:rsid w:val="009A25AD"/>
    <w:rsid w:val="009A31FC"/>
    <w:rsid w:val="009A42E4"/>
    <w:rsid w:val="009A4626"/>
    <w:rsid w:val="009A48AB"/>
    <w:rsid w:val="009A508E"/>
    <w:rsid w:val="009A541A"/>
    <w:rsid w:val="009A5CB8"/>
    <w:rsid w:val="009A7192"/>
    <w:rsid w:val="009A7E66"/>
    <w:rsid w:val="009B063B"/>
    <w:rsid w:val="009B184D"/>
    <w:rsid w:val="009B1BCE"/>
    <w:rsid w:val="009B1FB1"/>
    <w:rsid w:val="009B2152"/>
    <w:rsid w:val="009B2265"/>
    <w:rsid w:val="009B2325"/>
    <w:rsid w:val="009B25BA"/>
    <w:rsid w:val="009B2F39"/>
    <w:rsid w:val="009B5004"/>
    <w:rsid w:val="009B616B"/>
    <w:rsid w:val="009B6198"/>
    <w:rsid w:val="009B7454"/>
    <w:rsid w:val="009C0547"/>
    <w:rsid w:val="009C0648"/>
    <w:rsid w:val="009C0BCB"/>
    <w:rsid w:val="009C0DE5"/>
    <w:rsid w:val="009C1620"/>
    <w:rsid w:val="009C32D5"/>
    <w:rsid w:val="009C46FE"/>
    <w:rsid w:val="009C4AC6"/>
    <w:rsid w:val="009C4B61"/>
    <w:rsid w:val="009C4C37"/>
    <w:rsid w:val="009C4DB7"/>
    <w:rsid w:val="009C6B0D"/>
    <w:rsid w:val="009C6D9E"/>
    <w:rsid w:val="009C77D8"/>
    <w:rsid w:val="009D04D5"/>
    <w:rsid w:val="009D0636"/>
    <w:rsid w:val="009D07E2"/>
    <w:rsid w:val="009D1992"/>
    <w:rsid w:val="009D2C51"/>
    <w:rsid w:val="009D3448"/>
    <w:rsid w:val="009D34FB"/>
    <w:rsid w:val="009D4F7E"/>
    <w:rsid w:val="009D4FE4"/>
    <w:rsid w:val="009D50B9"/>
    <w:rsid w:val="009D5CB4"/>
    <w:rsid w:val="009D5DC2"/>
    <w:rsid w:val="009D6EE9"/>
    <w:rsid w:val="009D70A9"/>
    <w:rsid w:val="009E00A6"/>
    <w:rsid w:val="009E324A"/>
    <w:rsid w:val="009E33A9"/>
    <w:rsid w:val="009E340A"/>
    <w:rsid w:val="009E3EEB"/>
    <w:rsid w:val="009E62A2"/>
    <w:rsid w:val="009E6870"/>
    <w:rsid w:val="009E76B3"/>
    <w:rsid w:val="009E7E1D"/>
    <w:rsid w:val="009F0DC3"/>
    <w:rsid w:val="009F0DFE"/>
    <w:rsid w:val="009F1272"/>
    <w:rsid w:val="009F1442"/>
    <w:rsid w:val="009F1803"/>
    <w:rsid w:val="009F1D1A"/>
    <w:rsid w:val="009F2AD4"/>
    <w:rsid w:val="009F32C7"/>
    <w:rsid w:val="009F3509"/>
    <w:rsid w:val="009F3A30"/>
    <w:rsid w:val="009F44FB"/>
    <w:rsid w:val="009F5AE7"/>
    <w:rsid w:val="009F6FE3"/>
    <w:rsid w:val="009F770C"/>
    <w:rsid w:val="00A008E8"/>
    <w:rsid w:val="00A00A88"/>
    <w:rsid w:val="00A00B1D"/>
    <w:rsid w:val="00A01402"/>
    <w:rsid w:val="00A0163F"/>
    <w:rsid w:val="00A01874"/>
    <w:rsid w:val="00A022B2"/>
    <w:rsid w:val="00A024E4"/>
    <w:rsid w:val="00A02DF9"/>
    <w:rsid w:val="00A034A1"/>
    <w:rsid w:val="00A03529"/>
    <w:rsid w:val="00A037A7"/>
    <w:rsid w:val="00A03C13"/>
    <w:rsid w:val="00A03FC5"/>
    <w:rsid w:val="00A041F8"/>
    <w:rsid w:val="00A065D1"/>
    <w:rsid w:val="00A079CD"/>
    <w:rsid w:val="00A07DD7"/>
    <w:rsid w:val="00A10C45"/>
    <w:rsid w:val="00A10DB3"/>
    <w:rsid w:val="00A10F14"/>
    <w:rsid w:val="00A112EA"/>
    <w:rsid w:val="00A14448"/>
    <w:rsid w:val="00A1452A"/>
    <w:rsid w:val="00A1523D"/>
    <w:rsid w:val="00A159A9"/>
    <w:rsid w:val="00A1699F"/>
    <w:rsid w:val="00A16C06"/>
    <w:rsid w:val="00A1778A"/>
    <w:rsid w:val="00A17F57"/>
    <w:rsid w:val="00A20608"/>
    <w:rsid w:val="00A20660"/>
    <w:rsid w:val="00A21D5C"/>
    <w:rsid w:val="00A23748"/>
    <w:rsid w:val="00A2403A"/>
    <w:rsid w:val="00A2422E"/>
    <w:rsid w:val="00A2435F"/>
    <w:rsid w:val="00A2462E"/>
    <w:rsid w:val="00A2585C"/>
    <w:rsid w:val="00A264BA"/>
    <w:rsid w:val="00A267A6"/>
    <w:rsid w:val="00A26B0C"/>
    <w:rsid w:val="00A26CD9"/>
    <w:rsid w:val="00A26DBD"/>
    <w:rsid w:val="00A278FB"/>
    <w:rsid w:val="00A3058B"/>
    <w:rsid w:val="00A30CC6"/>
    <w:rsid w:val="00A317E3"/>
    <w:rsid w:val="00A3243B"/>
    <w:rsid w:val="00A3438E"/>
    <w:rsid w:val="00A343B6"/>
    <w:rsid w:val="00A34C82"/>
    <w:rsid w:val="00A36724"/>
    <w:rsid w:val="00A40C81"/>
    <w:rsid w:val="00A41D3B"/>
    <w:rsid w:val="00A41E99"/>
    <w:rsid w:val="00A42072"/>
    <w:rsid w:val="00A42AC6"/>
    <w:rsid w:val="00A43547"/>
    <w:rsid w:val="00A440F9"/>
    <w:rsid w:val="00A44981"/>
    <w:rsid w:val="00A44BE8"/>
    <w:rsid w:val="00A45081"/>
    <w:rsid w:val="00A46352"/>
    <w:rsid w:val="00A46E5E"/>
    <w:rsid w:val="00A471FF"/>
    <w:rsid w:val="00A47B32"/>
    <w:rsid w:val="00A503FF"/>
    <w:rsid w:val="00A50682"/>
    <w:rsid w:val="00A50E71"/>
    <w:rsid w:val="00A5141F"/>
    <w:rsid w:val="00A52429"/>
    <w:rsid w:val="00A5265A"/>
    <w:rsid w:val="00A53BED"/>
    <w:rsid w:val="00A5603C"/>
    <w:rsid w:val="00A56223"/>
    <w:rsid w:val="00A5659C"/>
    <w:rsid w:val="00A56B09"/>
    <w:rsid w:val="00A56FE5"/>
    <w:rsid w:val="00A57376"/>
    <w:rsid w:val="00A57BF2"/>
    <w:rsid w:val="00A604EF"/>
    <w:rsid w:val="00A606E6"/>
    <w:rsid w:val="00A60779"/>
    <w:rsid w:val="00A61200"/>
    <w:rsid w:val="00A62036"/>
    <w:rsid w:val="00A621E8"/>
    <w:rsid w:val="00A64C77"/>
    <w:rsid w:val="00A66576"/>
    <w:rsid w:val="00A66D4C"/>
    <w:rsid w:val="00A66D56"/>
    <w:rsid w:val="00A67A05"/>
    <w:rsid w:val="00A67D63"/>
    <w:rsid w:val="00A70516"/>
    <w:rsid w:val="00A71147"/>
    <w:rsid w:val="00A7121C"/>
    <w:rsid w:val="00A71291"/>
    <w:rsid w:val="00A730CF"/>
    <w:rsid w:val="00A74142"/>
    <w:rsid w:val="00A742B9"/>
    <w:rsid w:val="00A7438A"/>
    <w:rsid w:val="00A7445E"/>
    <w:rsid w:val="00A74CF0"/>
    <w:rsid w:val="00A74FF6"/>
    <w:rsid w:val="00A751A6"/>
    <w:rsid w:val="00A75BD5"/>
    <w:rsid w:val="00A76CE3"/>
    <w:rsid w:val="00A800A2"/>
    <w:rsid w:val="00A803B1"/>
    <w:rsid w:val="00A804A8"/>
    <w:rsid w:val="00A816C2"/>
    <w:rsid w:val="00A825E2"/>
    <w:rsid w:val="00A82D3F"/>
    <w:rsid w:val="00A83FA0"/>
    <w:rsid w:val="00A84786"/>
    <w:rsid w:val="00A84E13"/>
    <w:rsid w:val="00A85883"/>
    <w:rsid w:val="00A87195"/>
    <w:rsid w:val="00A87B82"/>
    <w:rsid w:val="00A87D07"/>
    <w:rsid w:val="00A900B7"/>
    <w:rsid w:val="00A90348"/>
    <w:rsid w:val="00A90FDB"/>
    <w:rsid w:val="00A9211B"/>
    <w:rsid w:val="00A92F63"/>
    <w:rsid w:val="00A9369B"/>
    <w:rsid w:val="00A93A9D"/>
    <w:rsid w:val="00A93B43"/>
    <w:rsid w:val="00A94996"/>
    <w:rsid w:val="00A94BEC"/>
    <w:rsid w:val="00A96AF6"/>
    <w:rsid w:val="00A97B80"/>
    <w:rsid w:val="00AA0018"/>
    <w:rsid w:val="00AA1BB9"/>
    <w:rsid w:val="00AA2271"/>
    <w:rsid w:val="00AA2CC6"/>
    <w:rsid w:val="00AA39F9"/>
    <w:rsid w:val="00AA51C0"/>
    <w:rsid w:val="00AA6597"/>
    <w:rsid w:val="00AA72C8"/>
    <w:rsid w:val="00AA7859"/>
    <w:rsid w:val="00AA7A49"/>
    <w:rsid w:val="00AA7CF4"/>
    <w:rsid w:val="00AB037C"/>
    <w:rsid w:val="00AB1EA0"/>
    <w:rsid w:val="00AB33E5"/>
    <w:rsid w:val="00AB3634"/>
    <w:rsid w:val="00AB36EA"/>
    <w:rsid w:val="00AB3A36"/>
    <w:rsid w:val="00AB6D43"/>
    <w:rsid w:val="00AC1189"/>
    <w:rsid w:val="00AC3325"/>
    <w:rsid w:val="00AC3421"/>
    <w:rsid w:val="00AC591F"/>
    <w:rsid w:val="00AC5CB8"/>
    <w:rsid w:val="00AC5EF3"/>
    <w:rsid w:val="00AC6FE3"/>
    <w:rsid w:val="00AC70FE"/>
    <w:rsid w:val="00AC7221"/>
    <w:rsid w:val="00AD0204"/>
    <w:rsid w:val="00AD0B43"/>
    <w:rsid w:val="00AD0C6B"/>
    <w:rsid w:val="00AD1BD8"/>
    <w:rsid w:val="00AD20E8"/>
    <w:rsid w:val="00AD3226"/>
    <w:rsid w:val="00AD373E"/>
    <w:rsid w:val="00AD3AEA"/>
    <w:rsid w:val="00AD4256"/>
    <w:rsid w:val="00AD550E"/>
    <w:rsid w:val="00AD67EA"/>
    <w:rsid w:val="00AD6915"/>
    <w:rsid w:val="00AD6B53"/>
    <w:rsid w:val="00AD70DD"/>
    <w:rsid w:val="00AE1136"/>
    <w:rsid w:val="00AE16B3"/>
    <w:rsid w:val="00AE286E"/>
    <w:rsid w:val="00AE2B6F"/>
    <w:rsid w:val="00AE322C"/>
    <w:rsid w:val="00AE3901"/>
    <w:rsid w:val="00AE413F"/>
    <w:rsid w:val="00AE423D"/>
    <w:rsid w:val="00AE58CE"/>
    <w:rsid w:val="00AE63A4"/>
    <w:rsid w:val="00AE694E"/>
    <w:rsid w:val="00AE7658"/>
    <w:rsid w:val="00AF04F9"/>
    <w:rsid w:val="00AF10DD"/>
    <w:rsid w:val="00AF172E"/>
    <w:rsid w:val="00AF3FCF"/>
    <w:rsid w:val="00AF46F1"/>
    <w:rsid w:val="00AF5667"/>
    <w:rsid w:val="00AF5798"/>
    <w:rsid w:val="00AF5A2E"/>
    <w:rsid w:val="00AF5A9C"/>
    <w:rsid w:val="00AF5B57"/>
    <w:rsid w:val="00AF5DA4"/>
    <w:rsid w:val="00AF6AC6"/>
    <w:rsid w:val="00AF702E"/>
    <w:rsid w:val="00AF7760"/>
    <w:rsid w:val="00B001E1"/>
    <w:rsid w:val="00B00205"/>
    <w:rsid w:val="00B00D3A"/>
    <w:rsid w:val="00B01E91"/>
    <w:rsid w:val="00B02562"/>
    <w:rsid w:val="00B02765"/>
    <w:rsid w:val="00B02934"/>
    <w:rsid w:val="00B04119"/>
    <w:rsid w:val="00B04501"/>
    <w:rsid w:val="00B04C87"/>
    <w:rsid w:val="00B052EE"/>
    <w:rsid w:val="00B05D99"/>
    <w:rsid w:val="00B0773A"/>
    <w:rsid w:val="00B07890"/>
    <w:rsid w:val="00B1024E"/>
    <w:rsid w:val="00B10844"/>
    <w:rsid w:val="00B10C4A"/>
    <w:rsid w:val="00B10E65"/>
    <w:rsid w:val="00B11C9C"/>
    <w:rsid w:val="00B12FBF"/>
    <w:rsid w:val="00B14865"/>
    <w:rsid w:val="00B14AD2"/>
    <w:rsid w:val="00B15DF3"/>
    <w:rsid w:val="00B162CF"/>
    <w:rsid w:val="00B1660D"/>
    <w:rsid w:val="00B16837"/>
    <w:rsid w:val="00B16B75"/>
    <w:rsid w:val="00B17800"/>
    <w:rsid w:val="00B17D97"/>
    <w:rsid w:val="00B212F9"/>
    <w:rsid w:val="00B2143E"/>
    <w:rsid w:val="00B2144B"/>
    <w:rsid w:val="00B22794"/>
    <w:rsid w:val="00B22966"/>
    <w:rsid w:val="00B22D3F"/>
    <w:rsid w:val="00B2582E"/>
    <w:rsid w:val="00B25F1E"/>
    <w:rsid w:val="00B264A5"/>
    <w:rsid w:val="00B267EA"/>
    <w:rsid w:val="00B26D56"/>
    <w:rsid w:val="00B26EF6"/>
    <w:rsid w:val="00B27300"/>
    <w:rsid w:val="00B3093C"/>
    <w:rsid w:val="00B30B10"/>
    <w:rsid w:val="00B31A25"/>
    <w:rsid w:val="00B3203A"/>
    <w:rsid w:val="00B32217"/>
    <w:rsid w:val="00B33ADD"/>
    <w:rsid w:val="00B3431F"/>
    <w:rsid w:val="00B34794"/>
    <w:rsid w:val="00B34AB5"/>
    <w:rsid w:val="00B35D0B"/>
    <w:rsid w:val="00B37947"/>
    <w:rsid w:val="00B417E9"/>
    <w:rsid w:val="00B418AD"/>
    <w:rsid w:val="00B41B6C"/>
    <w:rsid w:val="00B43F3C"/>
    <w:rsid w:val="00B445F5"/>
    <w:rsid w:val="00B4473F"/>
    <w:rsid w:val="00B458A4"/>
    <w:rsid w:val="00B45B15"/>
    <w:rsid w:val="00B462CC"/>
    <w:rsid w:val="00B469BA"/>
    <w:rsid w:val="00B470D2"/>
    <w:rsid w:val="00B47E93"/>
    <w:rsid w:val="00B5110C"/>
    <w:rsid w:val="00B516D4"/>
    <w:rsid w:val="00B53584"/>
    <w:rsid w:val="00B53658"/>
    <w:rsid w:val="00B5388F"/>
    <w:rsid w:val="00B54364"/>
    <w:rsid w:val="00B55002"/>
    <w:rsid w:val="00B5536A"/>
    <w:rsid w:val="00B55387"/>
    <w:rsid w:val="00B555C7"/>
    <w:rsid w:val="00B560A5"/>
    <w:rsid w:val="00B56130"/>
    <w:rsid w:val="00B5689F"/>
    <w:rsid w:val="00B56E34"/>
    <w:rsid w:val="00B57466"/>
    <w:rsid w:val="00B57DAA"/>
    <w:rsid w:val="00B619D5"/>
    <w:rsid w:val="00B61D6B"/>
    <w:rsid w:val="00B6416F"/>
    <w:rsid w:val="00B643B2"/>
    <w:rsid w:val="00B64C29"/>
    <w:rsid w:val="00B64D03"/>
    <w:rsid w:val="00B64E18"/>
    <w:rsid w:val="00B6593C"/>
    <w:rsid w:val="00B66675"/>
    <w:rsid w:val="00B668B6"/>
    <w:rsid w:val="00B6710F"/>
    <w:rsid w:val="00B67922"/>
    <w:rsid w:val="00B7143D"/>
    <w:rsid w:val="00B71F7C"/>
    <w:rsid w:val="00B722FB"/>
    <w:rsid w:val="00B73904"/>
    <w:rsid w:val="00B7454E"/>
    <w:rsid w:val="00B74D0F"/>
    <w:rsid w:val="00B74ECB"/>
    <w:rsid w:val="00B7584B"/>
    <w:rsid w:val="00B7613B"/>
    <w:rsid w:val="00B76D3D"/>
    <w:rsid w:val="00B76D74"/>
    <w:rsid w:val="00B77EF5"/>
    <w:rsid w:val="00B80932"/>
    <w:rsid w:val="00B809B9"/>
    <w:rsid w:val="00B816CE"/>
    <w:rsid w:val="00B81C19"/>
    <w:rsid w:val="00B81E44"/>
    <w:rsid w:val="00B8254A"/>
    <w:rsid w:val="00B8355E"/>
    <w:rsid w:val="00B837DF"/>
    <w:rsid w:val="00B83EEE"/>
    <w:rsid w:val="00B83FD7"/>
    <w:rsid w:val="00B8454F"/>
    <w:rsid w:val="00B84831"/>
    <w:rsid w:val="00B84EBD"/>
    <w:rsid w:val="00B84FE9"/>
    <w:rsid w:val="00B85120"/>
    <w:rsid w:val="00B85364"/>
    <w:rsid w:val="00B857D7"/>
    <w:rsid w:val="00B87275"/>
    <w:rsid w:val="00B90AA5"/>
    <w:rsid w:val="00B90D51"/>
    <w:rsid w:val="00B92430"/>
    <w:rsid w:val="00B927C1"/>
    <w:rsid w:val="00B92B2E"/>
    <w:rsid w:val="00B9308F"/>
    <w:rsid w:val="00B9428D"/>
    <w:rsid w:val="00B946C4"/>
    <w:rsid w:val="00B94DA1"/>
    <w:rsid w:val="00B95962"/>
    <w:rsid w:val="00B960B7"/>
    <w:rsid w:val="00B9649F"/>
    <w:rsid w:val="00B96915"/>
    <w:rsid w:val="00B96B4B"/>
    <w:rsid w:val="00B97231"/>
    <w:rsid w:val="00B9732B"/>
    <w:rsid w:val="00BA0317"/>
    <w:rsid w:val="00BA1013"/>
    <w:rsid w:val="00BA151C"/>
    <w:rsid w:val="00BA2B23"/>
    <w:rsid w:val="00BA3596"/>
    <w:rsid w:val="00BA36A6"/>
    <w:rsid w:val="00BA36B0"/>
    <w:rsid w:val="00BA4585"/>
    <w:rsid w:val="00BA53B0"/>
    <w:rsid w:val="00BA5CC0"/>
    <w:rsid w:val="00BA5CCC"/>
    <w:rsid w:val="00BA6C73"/>
    <w:rsid w:val="00BB1862"/>
    <w:rsid w:val="00BB41FA"/>
    <w:rsid w:val="00BB432C"/>
    <w:rsid w:val="00BB46C9"/>
    <w:rsid w:val="00BB55C6"/>
    <w:rsid w:val="00BB5B52"/>
    <w:rsid w:val="00BB5DF0"/>
    <w:rsid w:val="00BB5E00"/>
    <w:rsid w:val="00BB6C11"/>
    <w:rsid w:val="00BB7172"/>
    <w:rsid w:val="00BB7593"/>
    <w:rsid w:val="00BC17E1"/>
    <w:rsid w:val="00BC32D0"/>
    <w:rsid w:val="00BC38B8"/>
    <w:rsid w:val="00BC3C0A"/>
    <w:rsid w:val="00BC4BA5"/>
    <w:rsid w:val="00BC5F97"/>
    <w:rsid w:val="00BC7D53"/>
    <w:rsid w:val="00BD0776"/>
    <w:rsid w:val="00BD0801"/>
    <w:rsid w:val="00BD234B"/>
    <w:rsid w:val="00BD260F"/>
    <w:rsid w:val="00BD277B"/>
    <w:rsid w:val="00BD3B42"/>
    <w:rsid w:val="00BD433E"/>
    <w:rsid w:val="00BD531F"/>
    <w:rsid w:val="00BD5CD6"/>
    <w:rsid w:val="00BD6471"/>
    <w:rsid w:val="00BD6B3B"/>
    <w:rsid w:val="00BD7806"/>
    <w:rsid w:val="00BE10DD"/>
    <w:rsid w:val="00BE1348"/>
    <w:rsid w:val="00BE1352"/>
    <w:rsid w:val="00BE1715"/>
    <w:rsid w:val="00BE199C"/>
    <w:rsid w:val="00BE21C0"/>
    <w:rsid w:val="00BE237E"/>
    <w:rsid w:val="00BE399C"/>
    <w:rsid w:val="00BE43E0"/>
    <w:rsid w:val="00BE4849"/>
    <w:rsid w:val="00BE4B06"/>
    <w:rsid w:val="00BE54CC"/>
    <w:rsid w:val="00BE5819"/>
    <w:rsid w:val="00BE648B"/>
    <w:rsid w:val="00BE6606"/>
    <w:rsid w:val="00BE68C4"/>
    <w:rsid w:val="00BE729C"/>
    <w:rsid w:val="00BE786D"/>
    <w:rsid w:val="00BE7F48"/>
    <w:rsid w:val="00BF215B"/>
    <w:rsid w:val="00BF281E"/>
    <w:rsid w:val="00BF29FB"/>
    <w:rsid w:val="00BF396D"/>
    <w:rsid w:val="00BF470E"/>
    <w:rsid w:val="00BF590C"/>
    <w:rsid w:val="00BF6B05"/>
    <w:rsid w:val="00BF6BE4"/>
    <w:rsid w:val="00BF7845"/>
    <w:rsid w:val="00C00A7F"/>
    <w:rsid w:val="00C00BA7"/>
    <w:rsid w:val="00C00CE8"/>
    <w:rsid w:val="00C0112D"/>
    <w:rsid w:val="00C01BC6"/>
    <w:rsid w:val="00C021BB"/>
    <w:rsid w:val="00C021E7"/>
    <w:rsid w:val="00C029E7"/>
    <w:rsid w:val="00C02A27"/>
    <w:rsid w:val="00C03CD6"/>
    <w:rsid w:val="00C03D16"/>
    <w:rsid w:val="00C044AD"/>
    <w:rsid w:val="00C047FF"/>
    <w:rsid w:val="00C05485"/>
    <w:rsid w:val="00C07507"/>
    <w:rsid w:val="00C07A8F"/>
    <w:rsid w:val="00C10453"/>
    <w:rsid w:val="00C1080D"/>
    <w:rsid w:val="00C112D8"/>
    <w:rsid w:val="00C11741"/>
    <w:rsid w:val="00C117DE"/>
    <w:rsid w:val="00C117F1"/>
    <w:rsid w:val="00C12142"/>
    <w:rsid w:val="00C12C36"/>
    <w:rsid w:val="00C13474"/>
    <w:rsid w:val="00C13604"/>
    <w:rsid w:val="00C14693"/>
    <w:rsid w:val="00C15848"/>
    <w:rsid w:val="00C15F9E"/>
    <w:rsid w:val="00C16012"/>
    <w:rsid w:val="00C1641D"/>
    <w:rsid w:val="00C168FD"/>
    <w:rsid w:val="00C16BD8"/>
    <w:rsid w:val="00C16CE3"/>
    <w:rsid w:val="00C16E86"/>
    <w:rsid w:val="00C16F09"/>
    <w:rsid w:val="00C1784D"/>
    <w:rsid w:val="00C2146A"/>
    <w:rsid w:val="00C21825"/>
    <w:rsid w:val="00C21DC8"/>
    <w:rsid w:val="00C21E02"/>
    <w:rsid w:val="00C2296D"/>
    <w:rsid w:val="00C244C8"/>
    <w:rsid w:val="00C244CC"/>
    <w:rsid w:val="00C244F6"/>
    <w:rsid w:val="00C253A9"/>
    <w:rsid w:val="00C25DE5"/>
    <w:rsid w:val="00C25E8B"/>
    <w:rsid w:val="00C2613D"/>
    <w:rsid w:val="00C26658"/>
    <w:rsid w:val="00C26FBD"/>
    <w:rsid w:val="00C27663"/>
    <w:rsid w:val="00C276A1"/>
    <w:rsid w:val="00C277E7"/>
    <w:rsid w:val="00C279A5"/>
    <w:rsid w:val="00C30500"/>
    <w:rsid w:val="00C30F18"/>
    <w:rsid w:val="00C30FB1"/>
    <w:rsid w:val="00C31C72"/>
    <w:rsid w:val="00C31D93"/>
    <w:rsid w:val="00C325D5"/>
    <w:rsid w:val="00C337B7"/>
    <w:rsid w:val="00C342AE"/>
    <w:rsid w:val="00C34BF8"/>
    <w:rsid w:val="00C34F17"/>
    <w:rsid w:val="00C35804"/>
    <w:rsid w:val="00C359C4"/>
    <w:rsid w:val="00C35C97"/>
    <w:rsid w:val="00C366DB"/>
    <w:rsid w:val="00C36DA5"/>
    <w:rsid w:val="00C370EF"/>
    <w:rsid w:val="00C411CC"/>
    <w:rsid w:val="00C417B8"/>
    <w:rsid w:val="00C420DE"/>
    <w:rsid w:val="00C42383"/>
    <w:rsid w:val="00C42A8F"/>
    <w:rsid w:val="00C4467E"/>
    <w:rsid w:val="00C446FC"/>
    <w:rsid w:val="00C457AB"/>
    <w:rsid w:val="00C46A3C"/>
    <w:rsid w:val="00C47D11"/>
    <w:rsid w:val="00C502F7"/>
    <w:rsid w:val="00C503D8"/>
    <w:rsid w:val="00C5054D"/>
    <w:rsid w:val="00C515D6"/>
    <w:rsid w:val="00C51B0A"/>
    <w:rsid w:val="00C51DBE"/>
    <w:rsid w:val="00C51EAA"/>
    <w:rsid w:val="00C5214D"/>
    <w:rsid w:val="00C52592"/>
    <w:rsid w:val="00C52C72"/>
    <w:rsid w:val="00C53432"/>
    <w:rsid w:val="00C54891"/>
    <w:rsid w:val="00C54D8A"/>
    <w:rsid w:val="00C5501A"/>
    <w:rsid w:val="00C5524C"/>
    <w:rsid w:val="00C55F2B"/>
    <w:rsid w:val="00C563E6"/>
    <w:rsid w:val="00C56D51"/>
    <w:rsid w:val="00C57905"/>
    <w:rsid w:val="00C60A08"/>
    <w:rsid w:val="00C613DB"/>
    <w:rsid w:val="00C6152E"/>
    <w:rsid w:val="00C61DCA"/>
    <w:rsid w:val="00C632CC"/>
    <w:rsid w:val="00C64853"/>
    <w:rsid w:val="00C651B6"/>
    <w:rsid w:val="00C664BF"/>
    <w:rsid w:val="00C6678D"/>
    <w:rsid w:val="00C66FB4"/>
    <w:rsid w:val="00C66FFC"/>
    <w:rsid w:val="00C672B2"/>
    <w:rsid w:val="00C6751B"/>
    <w:rsid w:val="00C729E3"/>
    <w:rsid w:val="00C7329C"/>
    <w:rsid w:val="00C7364D"/>
    <w:rsid w:val="00C753C4"/>
    <w:rsid w:val="00C7583F"/>
    <w:rsid w:val="00C766B9"/>
    <w:rsid w:val="00C76F2C"/>
    <w:rsid w:val="00C772A2"/>
    <w:rsid w:val="00C777CF"/>
    <w:rsid w:val="00C77D6B"/>
    <w:rsid w:val="00C77EDB"/>
    <w:rsid w:val="00C80137"/>
    <w:rsid w:val="00C81899"/>
    <w:rsid w:val="00C83043"/>
    <w:rsid w:val="00C84880"/>
    <w:rsid w:val="00C84DE6"/>
    <w:rsid w:val="00C855C3"/>
    <w:rsid w:val="00C855EE"/>
    <w:rsid w:val="00C861C6"/>
    <w:rsid w:val="00C86A9A"/>
    <w:rsid w:val="00C872AB"/>
    <w:rsid w:val="00C87D58"/>
    <w:rsid w:val="00C87EA2"/>
    <w:rsid w:val="00C9010C"/>
    <w:rsid w:val="00C9179D"/>
    <w:rsid w:val="00C923A2"/>
    <w:rsid w:val="00C9282E"/>
    <w:rsid w:val="00C92E2B"/>
    <w:rsid w:val="00C955C3"/>
    <w:rsid w:val="00C96D70"/>
    <w:rsid w:val="00CA0342"/>
    <w:rsid w:val="00CA08AE"/>
    <w:rsid w:val="00CA0C81"/>
    <w:rsid w:val="00CA121A"/>
    <w:rsid w:val="00CA141C"/>
    <w:rsid w:val="00CA210D"/>
    <w:rsid w:val="00CA27EE"/>
    <w:rsid w:val="00CA29F4"/>
    <w:rsid w:val="00CA3552"/>
    <w:rsid w:val="00CA4BE3"/>
    <w:rsid w:val="00CA57F5"/>
    <w:rsid w:val="00CA5A94"/>
    <w:rsid w:val="00CA6D82"/>
    <w:rsid w:val="00CA7330"/>
    <w:rsid w:val="00CA73B0"/>
    <w:rsid w:val="00CA7B1A"/>
    <w:rsid w:val="00CB035F"/>
    <w:rsid w:val="00CB0991"/>
    <w:rsid w:val="00CB0F8D"/>
    <w:rsid w:val="00CB3419"/>
    <w:rsid w:val="00CB38E2"/>
    <w:rsid w:val="00CB4151"/>
    <w:rsid w:val="00CB4C83"/>
    <w:rsid w:val="00CB520F"/>
    <w:rsid w:val="00CB5780"/>
    <w:rsid w:val="00CB603D"/>
    <w:rsid w:val="00CB699B"/>
    <w:rsid w:val="00CB6D1D"/>
    <w:rsid w:val="00CB6D7A"/>
    <w:rsid w:val="00CB6F1C"/>
    <w:rsid w:val="00CC0919"/>
    <w:rsid w:val="00CC182F"/>
    <w:rsid w:val="00CC2945"/>
    <w:rsid w:val="00CC37A5"/>
    <w:rsid w:val="00CC3CCB"/>
    <w:rsid w:val="00CC55AB"/>
    <w:rsid w:val="00CC59A9"/>
    <w:rsid w:val="00CC63D6"/>
    <w:rsid w:val="00CC68A8"/>
    <w:rsid w:val="00CC6970"/>
    <w:rsid w:val="00CC7903"/>
    <w:rsid w:val="00CD0719"/>
    <w:rsid w:val="00CD116F"/>
    <w:rsid w:val="00CD1D4B"/>
    <w:rsid w:val="00CD326F"/>
    <w:rsid w:val="00CD4A88"/>
    <w:rsid w:val="00CD4B4C"/>
    <w:rsid w:val="00CD4B6A"/>
    <w:rsid w:val="00CD5FC0"/>
    <w:rsid w:val="00CD6107"/>
    <w:rsid w:val="00CD6E87"/>
    <w:rsid w:val="00CD7513"/>
    <w:rsid w:val="00CD7C68"/>
    <w:rsid w:val="00CD7EB4"/>
    <w:rsid w:val="00CE211B"/>
    <w:rsid w:val="00CE2552"/>
    <w:rsid w:val="00CE270B"/>
    <w:rsid w:val="00CE3C63"/>
    <w:rsid w:val="00CE4EEC"/>
    <w:rsid w:val="00CE5535"/>
    <w:rsid w:val="00CE5AE7"/>
    <w:rsid w:val="00CE6D60"/>
    <w:rsid w:val="00CE7CDE"/>
    <w:rsid w:val="00CF00C3"/>
    <w:rsid w:val="00CF06D4"/>
    <w:rsid w:val="00CF1F9D"/>
    <w:rsid w:val="00CF2957"/>
    <w:rsid w:val="00CF3002"/>
    <w:rsid w:val="00CF3604"/>
    <w:rsid w:val="00CF3856"/>
    <w:rsid w:val="00CF3C9A"/>
    <w:rsid w:val="00CF3DD3"/>
    <w:rsid w:val="00CF4158"/>
    <w:rsid w:val="00CF48BD"/>
    <w:rsid w:val="00CF4FFC"/>
    <w:rsid w:val="00CF5404"/>
    <w:rsid w:val="00CF5E14"/>
    <w:rsid w:val="00CF6B04"/>
    <w:rsid w:val="00D04106"/>
    <w:rsid w:val="00D0628C"/>
    <w:rsid w:val="00D065E3"/>
    <w:rsid w:val="00D078BF"/>
    <w:rsid w:val="00D10184"/>
    <w:rsid w:val="00D11537"/>
    <w:rsid w:val="00D1171E"/>
    <w:rsid w:val="00D11F92"/>
    <w:rsid w:val="00D1204F"/>
    <w:rsid w:val="00D1266D"/>
    <w:rsid w:val="00D1291F"/>
    <w:rsid w:val="00D12F84"/>
    <w:rsid w:val="00D13235"/>
    <w:rsid w:val="00D1384D"/>
    <w:rsid w:val="00D1441C"/>
    <w:rsid w:val="00D15E37"/>
    <w:rsid w:val="00D16AAF"/>
    <w:rsid w:val="00D17DCE"/>
    <w:rsid w:val="00D2076C"/>
    <w:rsid w:val="00D207E8"/>
    <w:rsid w:val="00D21356"/>
    <w:rsid w:val="00D21F35"/>
    <w:rsid w:val="00D2444D"/>
    <w:rsid w:val="00D249C8"/>
    <w:rsid w:val="00D2577B"/>
    <w:rsid w:val="00D26148"/>
    <w:rsid w:val="00D26A45"/>
    <w:rsid w:val="00D271B6"/>
    <w:rsid w:val="00D278E7"/>
    <w:rsid w:val="00D27B72"/>
    <w:rsid w:val="00D27FFA"/>
    <w:rsid w:val="00D3036E"/>
    <w:rsid w:val="00D308A7"/>
    <w:rsid w:val="00D30AB3"/>
    <w:rsid w:val="00D31304"/>
    <w:rsid w:val="00D318ED"/>
    <w:rsid w:val="00D329A2"/>
    <w:rsid w:val="00D329DF"/>
    <w:rsid w:val="00D33279"/>
    <w:rsid w:val="00D34CE1"/>
    <w:rsid w:val="00D34FFF"/>
    <w:rsid w:val="00D3697D"/>
    <w:rsid w:val="00D36F12"/>
    <w:rsid w:val="00D3725C"/>
    <w:rsid w:val="00D3739C"/>
    <w:rsid w:val="00D4007B"/>
    <w:rsid w:val="00D40C82"/>
    <w:rsid w:val="00D42087"/>
    <w:rsid w:val="00D42B53"/>
    <w:rsid w:val="00D44136"/>
    <w:rsid w:val="00D446D8"/>
    <w:rsid w:val="00D453D5"/>
    <w:rsid w:val="00D45F5C"/>
    <w:rsid w:val="00D46AFA"/>
    <w:rsid w:val="00D46CBF"/>
    <w:rsid w:val="00D47AF5"/>
    <w:rsid w:val="00D50C06"/>
    <w:rsid w:val="00D51263"/>
    <w:rsid w:val="00D51592"/>
    <w:rsid w:val="00D51D5F"/>
    <w:rsid w:val="00D51FA0"/>
    <w:rsid w:val="00D537AA"/>
    <w:rsid w:val="00D540C1"/>
    <w:rsid w:val="00D54B20"/>
    <w:rsid w:val="00D54D20"/>
    <w:rsid w:val="00D54DF1"/>
    <w:rsid w:val="00D562E8"/>
    <w:rsid w:val="00D56A32"/>
    <w:rsid w:val="00D57B0E"/>
    <w:rsid w:val="00D60AD2"/>
    <w:rsid w:val="00D6131E"/>
    <w:rsid w:val="00D61F40"/>
    <w:rsid w:val="00D62629"/>
    <w:rsid w:val="00D62ADD"/>
    <w:rsid w:val="00D62B09"/>
    <w:rsid w:val="00D62B8B"/>
    <w:rsid w:val="00D63A2D"/>
    <w:rsid w:val="00D63DCF"/>
    <w:rsid w:val="00D64D45"/>
    <w:rsid w:val="00D64F4B"/>
    <w:rsid w:val="00D6732C"/>
    <w:rsid w:val="00D6790E"/>
    <w:rsid w:val="00D70B2E"/>
    <w:rsid w:val="00D71C1B"/>
    <w:rsid w:val="00D72814"/>
    <w:rsid w:val="00D72F33"/>
    <w:rsid w:val="00D739B5"/>
    <w:rsid w:val="00D73B41"/>
    <w:rsid w:val="00D73CDC"/>
    <w:rsid w:val="00D767E5"/>
    <w:rsid w:val="00D76860"/>
    <w:rsid w:val="00D7704B"/>
    <w:rsid w:val="00D7721F"/>
    <w:rsid w:val="00D775F0"/>
    <w:rsid w:val="00D800FA"/>
    <w:rsid w:val="00D80266"/>
    <w:rsid w:val="00D806FB"/>
    <w:rsid w:val="00D81B64"/>
    <w:rsid w:val="00D81D40"/>
    <w:rsid w:val="00D8307C"/>
    <w:rsid w:val="00D830D5"/>
    <w:rsid w:val="00D8311F"/>
    <w:rsid w:val="00D8318F"/>
    <w:rsid w:val="00D849DD"/>
    <w:rsid w:val="00D85158"/>
    <w:rsid w:val="00D851C5"/>
    <w:rsid w:val="00D871C9"/>
    <w:rsid w:val="00D91018"/>
    <w:rsid w:val="00D916CA"/>
    <w:rsid w:val="00D92859"/>
    <w:rsid w:val="00D92A75"/>
    <w:rsid w:val="00D9363E"/>
    <w:rsid w:val="00D9476A"/>
    <w:rsid w:val="00D947A3"/>
    <w:rsid w:val="00D94841"/>
    <w:rsid w:val="00D96109"/>
    <w:rsid w:val="00D96C51"/>
    <w:rsid w:val="00D9712B"/>
    <w:rsid w:val="00DA06B1"/>
    <w:rsid w:val="00DA0C10"/>
    <w:rsid w:val="00DA131F"/>
    <w:rsid w:val="00DA1A0A"/>
    <w:rsid w:val="00DA24A6"/>
    <w:rsid w:val="00DA2953"/>
    <w:rsid w:val="00DA2980"/>
    <w:rsid w:val="00DA3C60"/>
    <w:rsid w:val="00DA4F34"/>
    <w:rsid w:val="00DA50BE"/>
    <w:rsid w:val="00DA609D"/>
    <w:rsid w:val="00DA7A31"/>
    <w:rsid w:val="00DB00E8"/>
    <w:rsid w:val="00DB0BD2"/>
    <w:rsid w:val="00DB2187"/>
    <w:rsid w:val="00DB24BE"/>
    <w:rsid w:val="00DB25E2"/>
    <w:rsid w:val="00DB2754"/>
    <w:rsid w:val="00DB3450"/>
    <w:rsid w:val="00DB3A12"/>
    <w:rsid w:val="00DB457B"/>
    <w:rsid w:val="00DB4747"/>
    <w:rsid w:val="00DB54D5"/>
    <w:rsid w:val="00DB611D"/>
    <w:rsid w:val="00DB70A2"/>
    <w:rsid w:val="00DB745C"/>
    <w:rsid w:val="00DB7C3D"/>
    <w:rsid w:val="00DC0FBB"/>
    <w:rsid w:val="00DC2641"/>
    <w:rsid w:val="00DC4B9E"/>
    <w:rsid w:val="00DC4BDA"/>
    <w:rsid w:val="00DC596F"/>
    <w:rsid w:val="00DC6F5D"/>
    <w:rsid w:val="00DC757A"/>
    <w:rsid w:val="00DD0776"/>
    <w:rsid w:val="00DD1393"/>
    <w:rsid w:val="00DD20A7"/>
    <w:rsid w:val="00DD2519"/>
    <w:rsid w:val="00DD2753"/>
    <w:rsid w:val="00DD27CE"/>
    <w:rsid w:val="00DD2EF0"/>
    <w:rsid w:val="00DD3A51"/>
    <w:rsid w:val="00DD4B6C"/>
    <w:rsid w:val="00DD4DD8"/>
    <w:rsid w:val="00DD55FC"/>
    <w:rsid w:val="00DD5DE9"/>
    <w:rsid w:val="00DD6163"/>
    <w:rsid w:val="00DE1171"/>
    <w:rsid w:val="00DE1522"/>
    <w:rsid w:val="00DE1744"/>
    <w:rsid w:val="00DE2A9D"/>
    <w:rsid w:val="00DE310F"/>
    <w:rsid w:val="00DE4405"/>
    <w:rsid w:val="00DE4824"/>
    <w:rsid w:val="00DE4977"/>
    <w:rsid w:val="00DE4AB2"/>
    <w:rsid w:val="00DE50F6"/>
    <w:rsid w:val="00DE5AB8"/>
    <w:rsid w:val="00DE5B5C"/>
    <w:rsid w:val="00DF01D3"/>
    <w:rsid w:val="00DF0948"/>
    <w:rsid w:val="00DF1E5C"/>
    <w:rsid w:val="00DF3239"/>
    <w:rsid w:val="00DF4437"/>
    <w:rsid w:val="00DF4D2A"/>
    <w:rsid w:val="00DF6439"/>
    <w:rsid w:val="00DF67CF"/>
    <w:rsid w:val="00DF6A57"/>
    <w:rsid w:val="00DF6BDF"/>
    <w:rsid w:val="00DF7417"/>
    <w:rsid w:val="00DF78B4"/>
    <w:rsid w:val="00DF7FD1"/>
    <w:rsid w:val="00E005B6"/>
    <w:rsid w:val="00E0097F"/>
    <w:rsid w:val="00E011DD"/>
    <w:rsid w:val="00E013FF"/>
    <w:rsid w:val="00E01B31"/>
    <w:rsid w:val="00E02B79"/>
    <w:rsid w:val="00E03F53"/>
    <w:rsid w:val="00E0530C"/>
    <w:rsid w:val="00E05482"/>
    <w:rsid w:val="00E05965"/>
    <w:rsid w:val="00E0620B"/>
    <w:rsid w:val="00E06EB4"/>
    <w:rsid w:val="00E07FB6"/>
    <w:rsid w:val="00E11B9F"/>
    <w:rsid w:val="00E11D3E"/>
    <w:rsid w:val="00E12AA4"/>
    <w:rsid w:val="00E12BDE"/>
    <w:rsid w:val="00E1391C"/>
    <w:rsid w:val="00E13E24"/>
    <w:rsid w:val="00E161FF"/>
    <w:rsid w:val="00E16FC3"/>
    <w:rsid w:val="00E17C15"/>
    <w:rsid w:val="00E20429"/>
    <w:rsid w:val="00E20C05"/>
    <w:rsid w:val="00E2111B"/>
    <w:rsid w:val="00E2131F"/>
    <w:rsid w:val="00E21D45"/>
    <w:rsid w:val="00E22451"/>
    <w:rsid w:val="00E2470F"/>
    <w:rsid w:val="00E249F0"/>
    <w:rsid w:val="00E24DB7"/>
    <w:rsid w:val="00E25B86"/>
    <w:rsid w:val="00E273FE"/>
    <w:rsid w:val="00E30742"/>
    <w:rsid w:val="00E31A03"/>
    <w:rsid w:val="00E3327F"/>
    <w:rsid w:val="00E33CDD"/>
    <w:rsid w:val="00E33FDC"/>
    <w:rsid w:val="00E34207"/>
    <w:rsid w:val="00E34E2E"/>
    <w:rsid w:val="00E359F6"/>
    <w:rsid w:val="00E36154"/>
    <w:rsid w:val="00E36389"/>
    <w:rsid w:val="00E37842"/>
    <w:rsid w:val="00E4003C"/>
    <w:rsid w:val="00E409E8"/>
    <w:rsid w:val="00E40C52"/>
    <w:rsid w:val="00E418B0"/>
    <w:rsid w:val="00E41F17"/>
    <w:rsid w:val="00E420EC"/>
    <w:rsid w:val="00E4503A"/>
    <w:rsid w:val="00E45239"/>
    <w:rsid w:val="00E45549"/>
    <w:rsid w:val="00E46987"/>
    <w:rsid w:val="00E46A84"/>
    <w:rsid w:val="00E47EC9"/>
    <w:rsid w:val="00E5071A"/>
    <w:rsid w:val="00E50BE2"/>
    <w:rsid w:val="00E50D14"/>
    <w:rsid w:val="00E53419"/>
    <w:rsid w:val="00E552EE"/>
    <w:rsid w:val="00E55714"/>
    <w:rsid w:val="00E55B0F"/>
    <w:rsid w:val="00E56A63"/>
    <w:rsid w:val="00E61195"/>
    <w:rsid w:val="00E619E1"/>
    <w:rsid w:val="00E625D4"/>
    <w:rsid w:val="00E62941"/>
    <w:rsid w:val="00E63683"/>
    <w:rsid w:val="00E64C0E"/>
    <w:rsid w:val="00E6563F"/>
    <w:rsid w:val="00E67937"/>
    <w:rsid w:val="00E67E8A"/>
    <w:rsid w:val="00E70E70"/>
    <w:rsid w:val="00E71A05"/>
    <w:rsid w:val="00E71F78"/>
    <w:rsid w:val="00E72822"/>
    <w:rsid w:val="00E72F7C"/>
    <w:rsid w:val="00E7463F"/>
    <w:rsid w:val="00E7569D"/>
    <w:rsid w:val="00E7578D"/>
    <w:rsid w:val="00E766AB"/>
    <w:rsid w:val="00E7673F"/>
    <w:rsid w:val="00E7699F"/>
    <w:rsid w:val="00E76E17"/>
    <w:rsid w:val="00E76F32"/>
    <w:rsid w:val="00E7714D"/>
    <w:rsid w:val="00E7730D"/>
    <w:rsid w:val="00E777F5"/>
    <w:rsid w:val="00E77C29"/>
    <w:rsid w:val="00E80291"/>
    <w:rsid w:val="00E803B3"/>
    <w:rsid w:val="00E806F0"/>
    <w:rsid w:val="00E80A1B"/>
    <w:rsid w:val="00E81139"/>
    <w:rsid w:val="00E81463"/>
    <w:rsid w:val="00E81E35"/>
    <w:rsid w:val="00E82EDC"/>
    <w:rsid w:val="00E838DB"/>
    <w:rsid w:val="00E83F06"/>
    <w:rsid w:val="00E84285"/>
    <w:rsid w:val="00E851D0"/>
    <w:rsid w:val="00E862C4"/>
    <w:rsid w:val="00E862D3"/>
    <w:rsid w:val="00E87040"/>
    <w:rsid w:val="00E870DE"/>
    <w:rsid w:val="00E8780A"/>
    <w:rsid w:val="00E912BE"/>
    <w:rsid w:val="00E9152C"/>
    <w:rsid w:val="00E91CC0"/>
    <w:rsid w:val="00E92E10"/>
    <w:rsid w:val="00E93862"/>
    <w:rsid w:val="00E93958"/>
    <w:rsid w:val="00E94743"/>
    <w:rsid w:val="00E957EC"/>
    <w:rsid w:val="00E95A14"/>
    <w:rsid w:val="00E96058"/>
    <w:rsid w:val="00E9661B"/>
    <w:rsid w:val="00EA0447"/>
    <w:rsid w:val="00EA0812"/>
    <w:rsid w:val="00EA16CB"/>
    <w:rsid w:val="00EA18F4"/>
    <w:rsid w:val="00EA2C81"/>
    <w:rsid w:val="00EA2EA0"/>
    <w:rsid w:val="00EA30F2"/>
    <w:rsid w:val="00EA39D5"/>
    <w:rsid w:val="00EA6625"/>
    <w:rsid w:val="00EA6D45"/>
    <w:rsid w:val="00EA7633"/>
    <w:rsid w:val="00EB1714"/>
    <w:rsid w:val="00EB191E"/>
    <w:rsid w:val="00EB19A0"/>
    <w:rsid w:val="00EB1DF9"/>
    <w:rsid w:val="00EB2622"/>
    <w:rsid w:val="00EB2876"/>
    <w:rsid w:val="00EB2AC6"/>
    <w:rsid w:val="00EB4044"/>
    <w:rsid w:val="00EB4445"/>
    <w:rsid w:val="00EB5054"/>
    <w:rsid w:val="00EB6BF0"/>
    <w:rsid w:val="00EB749B"/>
    <w:rsid w:val="00EB7E48"/>
    <w:rsid w:val="00EC07CF"/>
    <w:rsid w:val="00EC09D4"/>
    <w:rsid w:val="00EC1190"/>
    <w:rsid w:val="00EC1576"/>
    <w:rsid w:val="00EC2E9B"/>
    <w:rsid w:val="00EC2FF8"/>
    <w:rsid w:val="00EC3F63"/>
    <w:rsid w:val="00EC42CD"/>
    <w:rsid w:val="00EC4318"/>
    <w:rsid w:val="00EC45E5"/>
    <w:rsid w:val="00EC4DB4"/>
    <w:rsid w:val="00EC56DB"/>
    <w:rsid w:val="00EC6829"/>
    <w:rsid w:val="00EC6A22"/>
    <w:rsid w:val="00EC6D08"/>
    <w:rsid w:val="00EC74FA"/>
    <w:rsid w:val="00ED0F19"/>
    <w:rsid w:val="00ED1DCC"/>
    <w:rsid w:val="00ED277E"/>
    <w:rsid w:val="00ED346D"/>
    <w:rsid w:val="00ED38BE"/>
    <w:rsid w:val="00ED42D3"/>
    <w:rsid w:val="00ED4920"/>
    <w:rsid w:val="00ED751D"/>
    <w:rsid w:val="00ED769E"/>
    <w:rsid w:val="00EE0FC4"/>
    <w:rsid w:val="00EE1B03"/>
    <w:rsid w:val="00EE1F14"/>
    <w:rsid w:val="00EE2E52"/>
    <w:rsid w:val="00EE3221"/>
    <w:rsid w:val="00EE360E"/>
    <w:rsid w:val="00EE4B50"/>
    <w:rsid w:val="00EE4D16"/>
    <w:rsid w:val="00EE5222"/>
    <w:rsid w:val="00EE639A"/>
    <w:rsid w:val="00EE67FA"/>
    <w:rsid w:val="00EE69B0"/>
    <w:rsid w:val="00EE6E97"/>
    <w:rsid w:val="00EF02E9"/>
    <w:rsid w:val="00EF0878"/>
    <w:rsid w:val="00EF1120"/>
    <w:rsid w:val="00EF1BD9"/>
    <w:rsid w:val="00EF1E92"/>
    <w:rsid w:val="00EF20A7"/>
    <w:rsid w:val="00EF2EDA"/>
    <w:rsid w:val="00EF3792"/>
    <w:rsid w:val="00EF45AE"/>
    <w:rsid w:val="00EF4C8F"/>
    <w:rsid w:val="00EF50AC"/>
    <w:rsid w:val="00EF6BEE"/>
    <w:rsid w:val="00F004D0"/>
    <w:rsid w:val="00F0050D"/>
    <w:rsid w:val="00F00E46"/>
    <w:rsid w:val="00F01A67"/>
    <w:rsid w:val="00F01B7E"/>
    <w:rsid w:val="00F020E7"/>
    <w:rsid w:val="00F0292E"/>
    <w:rsid w:val="00F02C04"/>
    <w:rsid w:val="00F03268"/>
    <w:rsid w:val="00F03F49"/>
    <w:rsid w:val="00F0493F"/>
    <w:rsid w:val="00F04D9D"/>
    <w:rsid w:val="00F050BD"/>
    <w:rsid w:val="00F06945"/>
    <w:rsid w:val="00F069A5"/>
    <w:rsid w:val="00F11727"/>
    <w:rsid w:val="00F118E8"/>
    <w:rsid w:val="00F11926"/>
    <w:rsid w:val="00F124F0"/>
    <w:rsid w:val="00F12F8C"/>
    <w:rsid w:val="00F1417C"/>
    <w:rsid w:val="00F143E6"/>
    <w:rsid w:val="00F14B8D"/>
    <w:rsid w:val="00F14C77"/>
    <w:rsid w:val="00F175CB"/>
    <w:rsid w:val="00F17B9B"/>
    <w:rsid w:val="00F20942"/>
    <w:rsid w:val="00F2169B"/>
    <w:rsid w:val="00F21B51"/>
    <w:rsid w:val="00F22D92"/>
    <w:rsid w:val="00F23028"/>
    <w:rsid w:val="00F23868"/>
    <w:rsid w:val="00F23C96"/>
    <w:rsid w:val="00F24950"/>
    <w:rsid w:val="00F25649"/>
    <w:rsid w:val="00F25C53"/>
    <w:rsid w:val="00F2654A"/>
    <w:rsid w:val="00F2655F"/>
    <w:rsid w:val="00F2680D"/>
    <w:rsid w:val="00F30D94"/>
    <w:rsid w:val="00F31AC0"/>
    <w:rsid w:val="00F321C0"/>
    <w:rsid w:val="00F32A27"/>
    <w:rsid w:val="00F3371F"/>
    <w:rsid w:val="00F33B9E"/>
    <w:rsid w:val="00F33E0A"/>
    <w:rsid w:val="00F34248"/>
    <w:rsid w:val="00F35220"/>
    <w:rsid w:val="00F35D79"/>
    <w:rsid w:val="00F35E2C"/>
    <w:rsid w:val="00F3694B"/>
    <w:rsid w:val="00F36AF7"/>
    <w:rsid w:val="00F37A1F"/>
    <w:rsid w:val="00F40135"/>
    <w:rsid w:val="00F40CA8"/>
    <w:rsid w:val="00F4150A"/>
    <w:rsid w:val="00F4168A"/>
    <w:rsid w:val="00F4194E"/>
    <w:rsid w:val="00F4197B"/>
    <w:rsid w:val="00F41C2A"/>
    <w:rsid w:val="00F42BD9"/>
    <w:rsid w:val="00F42EB6"/>
    <w:rsid w:val="00F43131"/>
    <w:rsid w:val="00F442EF"/>
    <w:rsid w:val="00F4657D"/>
    <w:rsid w:val="00F470DA"/>
    <w:rsid w:val="00F50696"/>
    <w:rsid w:val="00F507C1"/>
    <w:rsid w:val="00F51CEE"/>
    <w:rsid w:val="00F52462"/>
    <w:rsid w:val="00F52B2C"/>
    <w:rsid w:val="00F54555"/>
    <w:rsid w:val="00F54CD5"/>
    <w:rsid w:val="00F555B2"/>
    <w:rsid w:val="00F55A3C"/>
    <w:rsid w:val="00F56676"/>
    <w:rsid w:val="00F566CC"/>
    <w:rsid w:val="00F574A5"/>
    <w:rsid w:val="00F602D2"/>
    <w:rsid w:val="00F603C6"/>
    <w:rsid w:val="00F617E1"/>
    <w:rsid w:val="00F61933"/>
    <w:rsid w:val="00F63CB0"/>
    <w:rsid w:val="00F64422"/>
    <w:rsid w:val="00F646CA"/>
    <w:rsid w:val="00F649AF"/>
    <w:rsid w:val="00F65497"/>
    <w:rsid w:val="00F665A4"/>
    <w:rsid w:val="00F66F98"/>
    <w:rsid w:val="00F672A7"/>
    <w:rsid w:val="00F67379"/>
    <w:rsid w:val="00F67396"/>
    <w:rsid w:val="00F67409"/>
    <w:rsid w:val="00F67D88"/>
    <w:rsid w:val="00F70E39"/>
    <w:rsid w:val="00F71002"/>
    <w:rsid w:val="00F71363"/>
    <w:rsid w:val="00F73ABB"/>
    <w:rsid w:val="00F747AA"/>
    <w:rsid w:val="00F7548E"/>
    <w:rsid w:val="00F765C7"/>
    <w:rsid w:val="00F769E5"/>
    <w:rsid w:val="00F770DF"/>
    <w:rsid w:val="00F779F9"/>
    <w:rsid w:val="00F801F8"/>
    <w:rsid w:val="00F81D13"/>
    <w:rsid w:val="00F82672"/>
    <w:rsid w:val="00F827A5"/>
    <w:rsid w:val="00F8356B"/>
    <w:rsid w:val="00F836A5"/>
    <w:rsid w:val="00F837B7"/>
    <w:rsid w:val="00F846F4"/>
    <w:rsid w:val="00F84706"/>
    <w:rsid w:val="00F848CF"/>
    <w:rsid w:val="00F849EC"/>
    <w:rsid w:val="00F86567"/>
    <w:rsid w:val="00F8764D"/>
    <w:rsid w:val="00F87934"/>
    <w:rsid w:val="00F87D82"/>
    <w:rsid w:val="00F9035A"/>
    <w:rsid w:val="00F9061D"/>
    <w:rsid w:val="00F908D3"/>
    <w:rsid w:val="00F90902"/>
    <w:rsid w:val="00F927B3"/>
    <w:rsid w:val="00F92A95"/>
    <w:rsid w:val="00F92B62"/>
    <w:rsid w:val="00F92CEA"/>
    <w:rsid w:val="00F92F0E"/>
    <w:rsid w:val="00F93BE0"/>
    <w:rsid w:val="00F93D0B"/>
    <w:rsid w:val="00F93FD8"/>
    <w:rsid w:val="00F96BA1"/>
    <w:rsid w:val="00F96F54"/>
    <w:rsid w:val="00F96F5E"/>
    <w:rsid w:val="00F97B17"/>
    <w:rsid w:val="00FA02DE"/>
    <w:rsid w:val="00FA0534"/>
    <w:rsid w:val="00FA1256"/>
    <w:rsid w:val="00FA17F4"/>
    <w:rsid w:val="00FA2A40"/>
    <w:rsid w:val="00FA3C6A"/>
    <w:rsid w:val="00FA4EC4"/>
    <w:rsid w:val="00FA5144"/>
    <w:rsid w:val="00FA5653"/>
    <w:rsid w:val="00FA5F4C"/>
    <w:rsid w:val="00FA72E2"/>
    <w:rsid w:val="00FA75FD"/>
    <w:rsid w:val="00FA7937"/>
    <w:rsid w:val="00FB09E3"/>
    <w:rsid w:val="00FB1014"/>
    <w:rsid w:val="00FB1493"/>
    <w:rsid w:val="00FB1599"/>
    <w:rsid w:val="00FB1AD0"/>
    <w:rsid w:val="00FB1B5E"/>
    <w:rsid w:val="00FB1BB9"/>
    <w:rsid w:val="00FB206C"/>
    <w:rsid w:val="00FB3FE5"/>
    <w:rsid w:val="00FB47E7"/>
    <w:rsid w:val="00FB4A3A"/>
    <w:rsid w:val="00FB4F25"/>
    <w:rsid w:val="00FB6D02"/>
    <w:rsid w:val="00FB7488"/>
    <w:rsid w:val="00FB7BED"/>
    <w:rsid w:val="00FC0348"/>
    <w:rsid w:val="00FC0BF9"/>
    <w:rsid w:val="00FC0DE7"/>
    <w:rsid w:val="00FC2393"/>
    <w:rsid w:val="00FC2CA0"/>
    <w:rsid w:val="00FC2EE8"/>
    <w:rsid w:val="00FC4817"/>
    <w:rsid w:val="00FC4A62"/>
    <w:rsid w:val="00FC4A80"/>
    <w:rsid w:val="00FC4B41"/>
    <w:rsid w:val="00FC564B"/>
    <w:rsid w:val="00FC5B03"/>
    <w:rsid w:val="00FC6A7D"/>
    <w:rsid w:val="00FC6B4F"/>
    <w:rsid w:val="00FC7268"/>
    <w:rsid w:val="00FC7F25"/>
    <w:rsid w:val="00FD1125"/>
    <w:rsid w:val="00FD1156"/>
    <w:rsid w:val="00FD169E"/>
    <w:rsid w:val="00FD1E20"/>
    <w:rsid w:val="00FD2455"/>
    <w:rsid w:val="00FD40F6"/>
    <w:rsid w:val="00FD4269"/>
    <w:rsid w:val="00FD683F"/>
    <w:rsid w:val="00FD6AA1"/>
    <w:rsid w:val="00FE084F"/>
    <w:rsid w:val="00FE1D13"/>
    <w:rsid w:val="00FE1E9F"/>
    <w:rsid w:val="00FE30DB"/>
    <w:rsid w:val="00FE3A0F"/>
    <w:rsid w:val="00FE3D80"/>
    <w:rsid w:val="00FE4D8E"/>
    <w:rsid w:val="00FE5484"/>
    <w:rsid w:val="00FE60D8"/>
    <w:rsid w:val="00FE6A5A"/>
    <w:rsid w:val="00FE7F7C"/>
    <w:rsid w:val="00FF0111"/>
    <w:rsid w:val="00FF02AE"/>
    <w:rsid w:val="00FF14BA"/>
    <w:rsid w:val="00FF1C9F"/>
    <w:rsid w:val="00FF2498"/>
    <w:rsid w:val="00FF4D71"/>
    <w:rsid w:val="00FF5127"/>
    <w:rsid w:val="00FF56FF"/>
    <w:rsid w:val="00FF5D17"/>
    <w:rsid w:val="00FF5F1B"/>
    <w:rsid w:val="00FF6D64"/>
    <w:rsid w:val="01DD1374"/>
    <w:rsid w:val="03504535"/>
    <w:rsid w:val="03AF6AA1"/>
    <w:rsid w:val="04122C62"/>
    <w:rsid w:val="04906E3C"/>
    <w:rsid w:val="05244636"/>
    <w:rsid w:val="05F02368"/>
    <w:rsid w:val="068970A1"/>
    <w:rsid w:val="09024846"/>
    <w:rsid w:val="0B08647D"/>
    <w:rsid w:val="0BF72A17"/>
    <w:rsid w:val="0DB51ACE"/>
    <w:rsid w:val="0E093EBD"/>
    <w:rsid w:val="0E4F3E50"/>
    <w:rsid w:val="0E65192E"/>
    <w:rsid w:val="0F8D47EC"/>
    <w:rsid w:val="10CE76E7"/>
    <w:rsid w:val="10D9071D"/>
    <w:rsid w:val="10DE39A5"/>
    <w:rsid w:val="10E80DDF"/>
    <w:rsid w:val="13F41969"/>
    <w:rsid w:val="152002A1"/>
    <w:rsid w:val="15ED68F7"/>
    <w:rsid w:val="16A848C5"/>
    <w:rsid w:val="1A235C64"/>
    <w:rsid w:val="1A754705"/>
    <w:rsid w:val="1C0B1882"/>
    <w:rsid w:val="1C6762F7"/>
    <w:rsid w:val="1CB46882"/>
    <w:rsid w:val="1D3F6FB9"/>
    <w:rsid w:val="1DCA6B1E"/>
    <w:rsid w:val="1E5640F1"/>
    <w:rsid w:val="1E5A7B08"/>
    <w:rsid w:val="1F5F45AB"/>
    <w:rsid w:val="1F6D145B"/>
    <w:rsid w:val="200A5566"/>
    <w:rsid w:val="20AD4D60"/>
    <w:rsid w:val="2262146C"/>
    <w:rsid w:val="234C3589"/>
    <w:rsid w:val="246D7853"/>
    <w:rsid w:val="258311B9"/>
    <w:rsid w:val="25B37B68"/>
    <w:rsid w:val="2687490A"/>
    <w:rsid w:val="2715345A"/>
    <w:rsid w:val="2A4457ED"/>
    <w:rsid w:val="2B3B057B"/>
    <w:rsid w:val="2B6E0A2B"/>
    <w:rsid w:val="2BD67D94"/>
    <w:rsid w:val="2CB11659"/>
    <w:rsid w:val="2CC2305D"/>
    <w:rsid w:val="2F456EA3"/>
    <w:rsid w:val="2FB30354"/>
    <w:rsid w:val="2FDE2E2E"/>
    <w:rsid w:val="2FF83EEB"/>
    <w:rsid w:val="303A6623"/>
    <w:rsid w:val="30AD4A84"/>
    <w:rsid w:val="310411D7"/>
    <w:rsid w:val="31A36E4B"/>
    <w:rsid w:val="320C011F"/>
    <w:rsid w:val="33FA5D50"/>
    <w:rsid w:val="352B0F79"/>
    <w:rsid w:val="352F0060"/>
    <w:rsid w:val="356C0E9F"/>
    <w:rsid w:val="37D976E5"/>
    <w:rsid w:val="3AEA21A7"/>
    <w:rsid w:val="3B084D1A"/>
    <w:rsid w:val="3B3C43C9"/>
    <w:rsid w:val="3E4B0319"/>
    <w:rsid w:val="3E9F4CA6"/>
    <w:rsid w:val="40596F1C"/>
    <w:rsid w:val="41C87CA4"/>
    <w:rsid w:val="42113EB1"/>
    <w:rsid w:val="42C61D4A"/>
    <w:rsid w:val="443C1925"/>
    <w:rsid w:val="45D13C07"/>
    <w:rsid w:val="472A74CB"/>
    <w:rsid w:val="47F5041C"/>
    <w:rsid w:val="48BF1424"/>
    <w:rsid w:val="48E25EEA"/>
    <w:rsid w:val="4A202381"/>
    <w:rsid w:val="4ABD7739"/>
    <w:rsid w:val="4B974E87"/>
    <w:rsid w:val="4C2E5A01"/>
    <w:rsid w:val="4D371B78"/>
    <w:rsid w:val="4D763124"/>
    <w:rsid w:val="4E53654E"/>
    <w:rsid w:val="4E8F3D2F"/>
    <w:rsid w:val="4EB57B36"/>
    <w:rsid w:val="4EFE57BC"/>
    <w:rsid w:val="500D6E34"/>
    <w:rsid w:val="52170095"/>
    <w:rsid w:val="526262F7"/>
    <w:rsid w:val="5340012F"/>
    <w:rsid w:val="534D5B33"/>
    <w:rsid w:val="541A0F78"/>
    <w:rsid w:val="542E088E"/>
    <w:rsid w:val="561D1296"/>
    <w:rsid w:val="59311585"/>
    <w:rsid w:val="5A7B47B9"/>
    <w:rsid w:val="5CA21E42"/>
    <w:rsid w:val="60B8795D"/>
    <w:rsid w:val="60E20DAD"/>
    <w:rsid w:val="61572A1A"/>
    <w:rsid w:val="616973C6"/>
    <w:rsid w:val="637E661F"/>
    <w:rsid w:val="65E70D60"/>
    <w:rsid w:val="65EA2A21"/>
    <w:rsid w:val="669C2C8A"/>
    <w:rsid w:val="68B351C8"/>
    <w:rsid w:val="69376C40"/>
    <w:rsid w:val="696E6004"/>
    <w:rsid w:val="697B3A54"/>
    <w:rsid w:val="6A2C346E"/>
    <w:rsid w:val="6A364D5A"/>
    <w:rsid w:val="6A7363AE"/>
    <w:rsid w:val="6BA245B1"/>
    <w:rsid w:val="6EBD46A2"/>
    <w:rsid w:val="6F4378DF"/>
    <w:rsid w:val="6FD55BD6"/>
    <w:rsid w:val="709C3BE0"/>
    <w:rsid w:val="70DE126D"/>
    <w:rsid w:val="712E1EC6"/>
    <w:rsid w:val="71875759"/>
    <w:rsid w:val="71D55E08"/>
    <w:rsid w:val="724B592A"/>
    <w:rsid w:val="73462768"/>
    <w:rsid w:val="74044772"/>
    <w:rsid w:val="75D3010F"/>
    <w:rsid w:val="77CC6F5E"/>
    <w:rsid w:val="77D761B0"/>
    <w:rsid w:val="78407766"/>
    <w:rsid w:val="79113064"/>
    <w:rsid w:val="796C5DA4"/>
    <w:rsid w:val="79AE67F9"/>
    <w:rsid w:val="7CF03A0A"/>
    <w:rsid w:val="7E842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3,4,5,6,7,8"/>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name="toc 1"/>
    <w:lsdException w:unhideWhenUsed="0" w:uiPriority="0" w:name="toc 2"/>
    <w:lsdException w:unhideWhenUsed="0" w:uiPriority="0" w:semiHidden="0" w:name="toc 3"/>
    <w:lsdException w:unhideWhenUsed="0" w:uiPriority="0" w:name="toc 4"/>
    <w:lsdException w:unhideWhenUsed="0" w:uiPriority="0" w:name="toc 5"/>
    <w:lsdException w:unhideWhenUsed="0" w:uiPriority="0" w:name="toc 6"/>
    <w:lsdException w:unhideWhenUsed="0" w:uiPriority="0" w:name="toc 7"/>
    <w:lsdException w:unhideWhenUsed="0" w:uiPriority="0" w:name="toc 8"/>
    <w:lsdException w:unhideWhenUsed="0" w:uiPriority="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unhideWhenUsed="0" w:uiPriority="0" w:semiHidden="0" w:name="Emphasis"/>
    <w:lsdException w:unhideWhenUsed="0" w:uiPriority="0" w:name="Document Map"/>
    <w:lsdException w:unhideWhenUsed="0" w:uiPriority="0" w:semiHidden="0" w:name="Plain Text"/>
    <w:lsdException w:unhideWhenUsed="0" w:uiPriority="0" w:semiHidden="0" w:name="E-mail Signature"/>
    <w:lsdException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lang w:val="en-US" w:eastAsia="zh-CN" w:bidi="ar-SA"/>
    </w:rPr>
  </w:style>
  <w:style w:type="paragraph" w:styleId="3">
    <w:name w:val="heading 1"/>
    <w:basedOn w:val="1"/>
    <w:next w:val="1"/>
    <w:link w:val="108"/>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81"/>
    <w:qFormat/>
    <w:uiPriority w:val="0"/>
    <w:pPr>
      <w:keepNext/>
      <w:keepLines/>
      <w:spacing w:before="260" w:after="260" w:line="416" w:lineRule="auto"/>
      <w:outlineLvl w:val="1"/>
    </w:pPr>
    <w:rPr>
      <w:rFonts w:ascii="Arial" w:hAnsi="Arial" w:eastAsia="黑体"/>
      <w:b/>
      <w:bCs/>
      <w:sz w:val="32"/>
      <w:szCs w:val="32"/>
    </w:rPr>
  </w:style>
  <w:style w:type="paragraph" w:styleId="5">
    <w:name w:val="heading 3"/>
    <w:basedOn w:val="1"/>
    <w:next w:val="1"/>
    <w:link w:val="46"/>
    <w:qFormat/>
    <w:uiPriority w:val="0"/>
    <w:pPr>
      <w:keepNext/>
      <w:keepLines/>
      <w:spacing w:before="260" w:after="260" w:line="416" w:lineRule="auto"/>
      <w:outlineLvl w:val="2"/>
    </w:pPr>
    <w:rPr>
      <w:b/>
      <w:bCs/>
      <w:sz w:val="32"/>
      <w:szCs w:val="32"/>
    </w:rPr>
  </w:style>
  <w:style w:type="paragraph" w:styleId="6">
    <w:name w:val="heading 4"/>
    <w:basedOn w:val="1"/>
    <w:uiPriority w:val="0"/>
    <w:pPr>
      <w:autoSpaceDE w:val="0"/>
      <w:autoSpaceDN w:val="0"/>
      <w:ind w:left="1602" w:hanging="606"/>
      <w:jc w:val="left"/>
      <w:outlineLvl w:val="3"/>
    </w:pPr>
    <w:rPr>
      <w:rFonts w:ascii="宋体" w:hAnsi="宋体" w:cs="宋体"/>
      <w:b/>
      <w:bCs/>
      <w:kern w:val="0"/>
      <w:sz w:val="24"/>
      <w:szCs w:val="24"/>
      <w:lang w:val="zh-CN"/>
    </w:rPr>
  </w:style>
  <w:style w:type="character" w:default="1" w:styleId="37">
    <w:name w:val="Default Paragraph Font"/>
    <w:semiHidden/>
    <w:uiPriority w:val="0"/>
  </w:style>
  <w:style w:type="table" w:default="1" w:styleId="35">
    <w:name w:val="Normal Table"/>
    <w:semiHidden/>
    <w:uiPriority w:val="0"/>
    <w:tblPr>
      <w:tblStyle w:val="35"/>
      <w:tblCellMar>
        <w:top w:w="0" w:type="dxa"/>
        <w:left w:w="108" w:type="dxa"/>
        <w:bottom w:w="0" w:type="dxa"/>
        <w:right w:w="108" w:type="dxa"/>
      </w:tblCellMar>
    </w:tblPr>
  </w:style>
  <w:style w:type="paragraph" w:styleId="2">
    <w:name w:val="macro"/>
    <w:semiHidden/>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lang w:val="en-US" w:eastAsia="zh-CN" w:bidi="ar-SA"/>
    </w:rPr>
  </w:style>
  <w:style w:type="paragraph" w:styleId="7">
    <w:name w:val="toc 7"/>
    <w:basedOn w:val="1"/>
    <w:next w:val="1"/>
    <w:semiHidden/>
    <w:uiPriority w:val="0"/>
    <w:rPr>
      <w:rFonts w:ascii="宋体" w:hAnsi="宋体"/>
      <w:szCs w:val="21"/>
    </w:rPr>
  </w:style>
  <w:style w:type="paragraph" w:styleId="8">
    <w:name w:val="Normal Indent"/>
    <w:basedOn w:val="1"/>
    <w:link w:val="58"/>
    <w:uiPriority w:val="0"/>
    <w:pPr>
      <w:ind w:firstLine="420"/>
    </w:pPr>
  </w:style>
  <w:style w:type="paragraph" w:styleId="9">
    <w:name w:val="caption"/>
    <w:basedOn w:val="1"/>
    <w:qFormat/>
    <w:uiPriority w:val="0"/>
    <w:pPr>
      <w:widowControl/>
      <w:spacing w:before="31" w:after="31" w:line="312" w:lineRule="auto"/>
      <w:ind w:left="31" w:right="31"/>
      <w:jc w:val="left"/>
    </w:pPr>
    <w:rPr>
      <w:rFonts w:ascii="宋体" w:hAnsi="宋体"/>
      <w:kern w:val="0"/>
      <w:sz w:val="24"/>
    </w:rPr>
  </w:style>
  <w:style w:type="paragraph" w:styleId="10">
    <w:name w:val="Document Map"/>
    <w:basedOn w:val="1"/>
    <w:semiHidden/>
    <w:uiPriority w:val="0"/>
    <w:pPr>
      <w:shd w:val="clear" w:color="auto" w:fill="000080"/>
    </w:pPr>
  </w:style>
  <w:style w:type="paragraph" w:styleId="11">
    <w:name w:val="annotation text"/>
    <w:basedOn w:val="1"/>
    <w:uiPriority w:val="0"/>
    <w:pPr>
      <w:jc w:val="left"/>
    </w:pPr>
    <w:rPr>
      <w:rFonts w:ascii="Calibri" w:hAnsi="Calibri"/>
      <w:szCs w:val="22"/>
    </w:rPr>
  </w:style>
  <w:style w:type="paragraph" w:styleId="12">
    <w:name w:val="Body Text 3"/>
    <w:basedOn w:val="1"/>
    <w:uiPriority w:val="0"/>
    <w:pPr>
      <w:spacing w:after="120"/>
    </w:pPr>
    <w:rPr>
      <w:sz w:val="16"/>
      <w:szCs w:val="16"/>
    </w:rPr>
  </w:style>
  <w:style w:type="paragraph" w:styleId="13">
    <w:name w:val="Body Text"/>
    <w:basedOn w:val="1"/>
    <w:link w:val="59"/>
    <w:uiPriority w:val="0"/>
    <w:pPr>
      <w:spacing w:line="420" w:lineRule="exact"/>
    </w:pPr>
    <w:rPr>
      <w:b/>
      <w:sz w:val="28"/>
    </w:rPr>
  </w:style>
  <w:style w:type="paragraph" w:styleId="14">
    <w:name w:val="Body Text Indent"/>
    <w:basedOn w:val="1"/>
    <w:uiPriority w:val="0"/>
    <w:pPr>
      <w:spacing w:after="120"/>
      <w:ind w:left="420" w:leftChars="200"/>
    </w:pPr>
  </w:style>
  <w:style w:type="paragraph" w:styleId="15">
    <w:name w:val="toc 5"/>
    <w:basedOn w:val="1"/>
    <w:next w:val="1"/>
    <w:semiHidden/>
    <w:uiPriority w:val="0"/>
    <w:pPr>
      <w:ind w:left="1680" w:leftChars="800"/>
    </w:pPr>
    <w:rPr>
      <w:szCs w:val="24"/>
    </w:rPr>
  </w:style>
  <w:style w:type="paragraph" w:styleId="16">
    <w:name w:val="toc 3"/>
    <w:basedOn w:val="1"/>
    <w:next w:val="1"/>
    <w:link w:val="87"/>
    <w:uiPriority w:val="0"/>
    <w:pPr>
      <w:ind w:left="840" w:leftChars="400"/>
    </w:pPr>
  </w:style>
  <w:style w:type="paragraph" w:styleId="17">
    <w:name w:val="Plain Text"/>
    <w:basedOn w:val="1"/>
    <w:link w:val="52"/>
    <w:uiPriority w:val="0"/>
    <w:rPr>
      <w:rFonts w:ascii="宋体" w:hAnsi="Courier New"/>
    </w:rPr>
  </w:style>
  <w:style w:type="paragraph" w:styleId="18">
    <w:name w:val="toc 8"/>
    <w:basedOn w:val="1"/>
    <w:next w:val="1"/>
    <w:semiHidden/>
    <w:uiPriority w:val="0"/>
    <w:pPr>
      <w:ind w:left="2940" w:leftChars="1400"/>
    </w:pPr>
    <w:rPr>
      <w:szCs w:val="24"/>
    </w:rPr>
  </w:style>
  <w:style w:type="paragraph" w:styleId="19">
    <w:name w:val="Date"/>
    <w:basedOn w:val="1"/>
    <w:next w:val="1"/>
    <w:uiPriority w:val="0"/>
    <w:pPr>
      <w:ind w:left="100" w:leftChars="2500"/>
    </w:pPr>
  </w:style>
  <w:style w:type="paragraph" w:styleId="20">
    <w:name w:val="Body Text Indent 2"/>
    <w:basedOn w:val="1"/>
    <w:link w:val="93"/>
    <w:uiPriority w:val="0"/>
    <w:pPr>
      <w:spacing w:after="120" w:line="480" w:lineRule="auto"/>
      <w:ind w:left="420" w:leftChars="200"/>
    </w:pPr>
  </w:style>
  <w:style w:type="paragraph" w:styleId="21">
    <w:name w:val="footer"/>
    <w:basedOn w:val="1"/>
    <w:link w:val="74"/>
    <w:uiPriority w:val="0"/>
    <w:pPr>
      <w:tabs>
        <w:tab w:val="center" w:pos="4153"/>
        <w:tab w:val="right" w:pos="8306"/>
      </w:tabs>
      <w:snapToGrid w:val="0"/>
      <w:jc w:val="left"/>
    </w:pPr>
    <w:rPr>
      <w:sz w:val="18"/>
      <w:szCs w:val="18"/>
    </w:rPr>
  </w:style>
  <w:style w:type="paragraph" w:styleId="22">
    <w:name w:val="header"/>
    <w:basedOn w:val="1"/>
    <w:link w:val="45"/>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semiHidden/>
    <w:uiPriority w:val="0"/>
    <w:pPr>
      <w:tabs>
        <w:tab w:val="right" w:leader="dot" w:pos="9344"/>
      </w:tabs>
      <w:ind w:firstLine="420" w:firstLineChars="200"/>
    </w:pPr>
    <w:rPr>
      <w:rFonts w:ascii="黑体" w:eastAsia="黑体"/>
      <w:lang/>
    </w:rPr>
  </w:style>
  <w:style w:type="paragraph" w:styleId="24">
    <w:name w:val="toc 4"/>
    <w:basedOn w:val="1"/>
    <w:next w:val="1"/>
    <w:semiHidden/>
    <w:uiPriority w:val="0"/>
    <w:pPr>
      <w:ind w:left="1260" w:leftChars="600"/>
    </w:pPr>
    <w:rPr>
      <w:szCs w:val="24"/>
    </w:rPr>
  </w:style>
  <w:style w:type="paragraph" w:styleId="25">
    <w:name w:val="List"/>
    <w:basedOn w:val="1"/>
    <w:uiPriority w:val="0"/>
    <w:pPr>
      <w:spacing w:before="20" w:after="20"/>
      <w:jc w:val="center"/>
      <w:textAlignment w:val="baseline"/>
    </w:pPr>
    <w:rPr>
      <w:kern w:val="0"/>
    </w:rPr>
  </w:style>
  <w:style w:type="paragraph" w:styleId="26">
    <w:name w:val="toc 6"/>
    <w:basedOn w:val="1"/>
    <w:next w:val="1"/>
    <w:semiHidden/>
    <w:uiPriority w:val="0"/>
    <w:pPr>
      <w:ind w:left="2100" w:leftChars="1000"/>
    </w:pPr>
    <w:rPr>
      <w:szCs w:val="24"/>
    </w:rPr>
  </w:style>
  <w:style w:type="paragraph" w:styleId="27">
    <w:name w:val="Body Text Indent 3"/>
    <w:basedOn w:val="1"/>
    <w:link w:val="68"/>
    <w:uiPriority w:val="0"/>
    <w:pPr>
      <w:spacing w:after="120"/>
      <w:ind w:left="420" w:leftChars="200"/>
    </w:pPr>
    <w:rPr>
      <w:sz w:val="16"/>
      <w:szCs w:val="16"/>
    </w:rPr>
  </w:style>
  <w:style w:type="paragraph" w:styleId="28">
    <w:name w:val="toc 2"/>
    <w:basedOn w:val="1"/>
    <w:next w:val="1"/>
    <w:semiHidden/>
    <w:uiPriority w:val="0"/>
    <w:pPr>
      <w:ind w:left="420" w:leftChars="200"/>
    </w:pPr>
  </w:style>
  <w:style w:type="paragraph" w:styleId="29">
    <w:name w:val="toc 9"/>
    <w:basedOn w:val="1"/>
    <w:next w:val="1"/>
    <w:semiHidden/>
    <w:uiPriority w:val="0"/>
    <w:pPr>
      <w:ind w:left="3360" w:leftChars="1600"/>
    </w:pPr>
    <w:rPr>
      <w:szCs w:val="24"/>
    </w:rPr>
  </w:style>
  <w:style w:type="paragraph" w:styleId="30">
    <w:name w:val="Body Text 2"/>
    <w:basedOn w:val="1"/>
    <w:uiPriority w:val="0"/>
    <w:pPr>
      <w:spacing w:after="120" w:line="480" w:lineRule="auto"/>
    </w:pPr>
    <w:rPr>
      <w:szCs w:val="24"/>
    </w:rPr>
  </w:style>
  <w:style w:type="paragraph" w:styleId="31">
    <w:name w:val="HTML Preformatted"/>
    <w:basedOn w:val="1"/>
    <w:link w:val="82"/>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32">
    <w:name w:val="Normal (Web)"/>
    <w:basedOn w:val="1"/>
    <w:unhideWhenUsed/>
    <w:uiPriority w:val="0"/>
    <w:pPr>
      <w:widowControl/>
      <w:spacing w:before="100" w:beforeAutospacing="1" w:after="100" w:afterAutospacing="1"/>
      <w:jc w:val="left"/>
    </w:pPr>
    <w:rPr>
      <w:rFonts w:ascii="宋体" w:hAnsi="宋体" w:cs="宋体"/>
      <w:kern w:val="0"/>
      <w:sz w:val="24"/>
      <w:szCs w:val="24"/>
    </w:rPr>
  </w:style>
  <w:style w:type="paragraph" w:styleId="33">
    <w:name w:val="index 1"/>
    <w:basedOn w:val="1"/>
    <w:next w:val="1"/>
    <w:uiPriority w:val="0"/>
    <w:pPr>
      <w:adjustRightInd w:val="0"/>
      <w:snapToGrid w:val="0"/>
      <w:ind w:firstLine="823" w:firstLineChars="358"/>
      <w:jc w:val="left"/>
    </w:pPr>
    <w:rPr>
      <w:rFonts w:hint="eastAsia" w:ascii="宋体" w:hAnsi="宋体"/>
      <w:spacing w:val="10"/>
      <w:szCs w:val="24"/>
    </w:rPr>
  </w:style>
  <w:style w:type="paragraph" w:styleId="34">
    <w:name w:val="Body Text First Indent 2"/>
    <w:basedOn w:val="14"/>
    <w:uiPriority w:val="0"/>
    <w:pPr>
      <w:ind w:firstLine="420" w:firstLineChars="200"/>
    </w:pPr>
  </w:style>
  <w:style w:type="table" w:styleId="36">
    <w:name w:val="Table Grid"/>
    <w:basedOn w:val="35"/>
    <w:uiPriority w:val="0"/>
    <w:pPr>
      <w:widowControl w:val="0"/>
      <w:jc w:val="both"/>
    </w:pPr>
    <w:tblPr>
      <w:tblStyle w:val="35"/>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qFormat/>
    <w:uiPriority w:val="0"/>
    <w:rPr>
      <w:b/>
      <w:bCs/>
    </w:rPr>
  </w:style>
  <w:style w:type="character" w:styleId="39">
    <w:name w:val="page number"/>
    <w:basedOn w:val="37"/>
    <w:uiPriority w:val="0"/>
  </w:style>
  <w:style w:type="character" w:styleId="40">
    <w:name w:val="FollowedHyperlink"/>
    <w:basedOn w:val="37"/>
    <w:uiPriority w:val="0"/>
    <w:rPr>
      <w:color w:val="800080"/>
      <w:u w:val="single"/>
    </w:rPr>
  </w:style>
  <w:style w:type="character" w:styleId="41">
    <w:name w:val="Emphasis"/>
    <w:basedOn w:val="37"/>
    <w:uiPriority w:val="0"/>
    <w:rPr>
      <w:i/>
      <w:iCs/>
    </w:rPr>
  </w:style>
  <w:style w:type="character" w:styleId="42">
    <w:name w:val="Hyperlink"/>
    <w:uiPriority w:val="0"/>
    <w:rPr>
      <w:color w:val="0000FF"/>
      <w:u w:val="single"/>
    </w:rPr>
  </w:style>
  <w:style w:type="character" w:customStyle="1" w:styleId="43">
    <w:name w:val="表格 Char"/>
    <w:basedOn w:val="37"/>
    <w:link w:val="44"/>
    <w:locked/>
    <w:uiPriority w:val="0"/>
    <w:rPr>
      <w:rFonts w:eastAsia="楷体"/>
      <w:kern w:val="2"/>
      <w:sz w:val="21"/>
      <w:szCs w:val="24"/>
      <w:lang w:val="en-US" w:eastAsia="zh-CN" w:bidi="ar-SA"/>
    </w:rPr>
  </w:style>
  <w:style w:type="paragraph" w:customStyle="1" w:styleId="44">
    <w:name w:val="表格"/>
    <w:basedOn w:val="1"/>
    <w:link w:val="43"/>
    <w:uiPriority w:val="0"/>
    <w:pPr>
      <w:spacing w:line="360" w:lineRule="auto"/>
      <w:jc w:val="center"/>
    </w:pPr>
    <w:rPr>
      <w:rFonts w:eastAsia="楷体"/>
      <w:szCs w:val="24"/>
    </w:rPr>
  </w:style>
  <w:style w:type="character" w:customStyle="1" w:styleId="45">
    <w:name w:val="Header Char"/>
    <w:basedOn w:val="37"/>
    <w:link w:val="22"/>
    <w:locked/>
    <w:uiPriority w:val="0"/>
    <w:rPr>
      <w:rFonts w:eastAsia="宋体"/>
      <w:kern w:val="2"/>
      <w:sz w:val="18"/>
      <w:szCs w:val="18"/>
      <w:lang w:val="en-US" w:eastAsia="zh-CN" w:bidi="ar-SA"/>
    </w:rPr>
  </w:style>
  <w:style w:type="character" w:customStyle="1" w:styleId="46">
    <w:name w:val=" Char Char7"/>
    <w:link w:val="5"/>
    <w:uiPriority w:val="0"/>
    <w:rPr>
      <w:rFonts w:eastAsia="宋体"/>
      <w:b/>
      <w:bCs/>
      <w:kern w:val="2"/>
      <w:sz w:val="32"/>
      <w:szCs w:val="32"/>
      <w:lang w:val="en-US" w:eastAsia="zh-CN" w:bidi="ar-SA"/>
    </w:rPr>
  </w:style>
  <w:style w:type="character" w:customStyle="1" w:styleId="47">
    <w:name w:val=" Char Char9"/>
    <w:uiPriority w:val="0"/>
    <w:rPr>
      <w:rFonts w:eastAsia="宋体"/>
      <w:b/>
      <w:bCs/>
      <w:kern w:val="44"/>
      <w:sz w:val="44"/>
      <w:szCs w:val="44"/>
      <w:lang w:val="en-US" w:eastAsia="zh-CN" w:bidi="ar-SA"/>
    </w:rPr>
  </w:style>
  <w:style w:type="character" w:customStyle="1" w:styleId="48">
    <w:name w:val="Footer Char"/>
    <w:basedOn w:val="37"/>
    <w:locked/>
    <w:uiPriority w:val="0"/>
    <w:rPr>
      <w:rFonts w:eastAsia="宋体"/>
      <w:kern w:val="2"/>
      <w:sz w:val="18"/>
      <w:szCs w:val="18"/>
      <w:lang w:val="en-US" w:eastAsia="zh-CN" w:bidi="ar-SA"/>
    </w:rPr>
  </w:style>
  <w:style w:type="character" w:customStyle="1" w:styleId="49">
    <w:name w:val="样式20 Char"/>
    <w:link w:val="50"/>
    <w:uiPriority w:val="0"/>
    <w:rPr>
      <w:rFonts w:ascii="宋体" w:hAnsi="宋体" w:eastAsia="宋体"/>
      <w:color w:val="000000"/>
      <w:kern w:val="2"/>
      <w:sz w:val="24"/>
      <w:szCs w:val="24"/>
      <w:lang w:val="en-US" w:eastAsia="zh-CN" w:bidi="ar-SA"/>
    </w:rPr>
  </w:style>
  <w:style w:type="paragraph" w:customStyle="1" w:styleId="50">
    <w:name w:val="样式20"/>
    <w:basedOn w:val="1"/>
    <w:link w:val="49"/>
    <w:uiPriority w:val="0"/>
    <w:pPr>
      <w:spacing w:before="120" w:after="120" w:line="360" w:lineRule="auto"/>
      <w:ind w:firstLine="480" w:firstLineChars="200"/>
    </w:pPr>
    <w:rPr>
      <w:rFonts w:ascii="宋体" w:hAnsi="宋体"/>
      <w:color w:val="000000"/>
      <w:sz w:val="24"/>
      <w:szCs w:val="24"/>
    </w:rPr>
  </w:style>
  <w:style w:type="character" w:customStyle="1" w:styleId="51">
    <w:name w:val="标题 2 Char"/>
    <w:uiPriority w:val="0"/>
    <w:rPr>
      <w:rFonts w:ascii="Arial" w:hAnsi="Arial" w:eastAsia="黑体"/>
      <w:b/>
      <w:bCs/>
      <w:kern w:val="2"/>
      <w:sz w:val="32"/>
      <w:szCs w:val="32"/>
      <w:lang w:val="en-US" w:eastAsia="zh-CN" w:bidi="ar-SA"/>
    </w:rPr>
  </w:style>
  <w:style w:type="character" w:customStyle="1" w:styleId="52">
    <w:name w:val="普通文字 Char Char"/>
    <w:aliases w:val="普通文字 Char Char Char Char1,普通文字 Char Char Char Char Char Char Char Char Char,普通文字 Char Char Char Char Char Char Char Char1,普通文字 Char Char Char Char Char,普通文字 Char1,表格内容 Char,Plain Text Char,文字缩进 Char,孙普文字 Char,表内文字 Char,文字 Char Char,文字 Char"/>
    <w:link w:val="17"/>
    <w:uiPriority w:val="0"/>
    <w:rPr>
      <w:rFonts w:ascii="宋体" w:hAnsi="Courier New" w:eastAsia="宋体"/>
      <w:kern w:val="2"/>
      <w:sz w:val="21"/>
      <w:lang w:val="en-US" w:eastAsia="zh-CN" w:bidi="ar-SA"/>
    </w:rPr>
  </w:style>
  <w:style w:type="character" w:customStyle="1" w:styleId="53">
    <w:name w:val="正文缩进 Char"/>
    <w:basedOn w:val="37"/>
    <w:uiPriority w:val="0"/>
    <w:rPr>
      <w:rFonts w:eastAsia="宋体"/>
      <w:kern w:val="2"/>
      <w:sz w:val="21"/>
      <w:szCs w:val="24"/>
      <w:lang w:val="en-US" w:eastAsia="zh-CN" w:bidi="ar-SA"/>
    </w:rPr>
  </w:style>
  <w:style w:type="character" w:customStyle="1" w:styleId="54">
    <w:name w:val="font151"/>
    <w:basedOn w:val="37"/>
    <w:uiPriority w:val="0"/>
    <w:rPr>
      <w:rFonts w:hint="default" w:ascii="Times New Roman" w:hAnsi="Times New Roman" w:cs="Times New Roman"/>
      <w:color w:val="000000"/>
      <w:sz w:val="24"/>
      <w:szCs w:val="24"/>
      <w:u w:val="none"/>
    </w:rPr>
  </w:style>
  <w:style w:type="character" w:customStyle="1" w:styleId="55">
    <w:name w:val="font161"/>
    <w:basedOn w:val="37"/>
    <w:uiPriority w:val="0"/>
    <w:rPr>
      <w:rFonts w:hint="eastAsia" w:ascii="宋体" w:hAnsi="宋体" w:eastAsia="宋体" w:cs="宋体"/>
      <w:color w:val="000000"/>
      <w:sz w:val="24"/>
      <w:szCs w:val="24"/>
      <w:u w:val="none"/>
    </w:rPr>
  </w:style>
  <w:style w:type="character" w:customStyle="1" w:styleId="56">
    <w:name w:val="apple-converted-space"/>
    <w:basedOn w:val="37"/>
    <w:uiPriority w:val="0"/>
  </w:style>
  <w:style w:type="character" w:customStyle="1" w:styleId="57">
    <w:name w:val=" Char Char23"/>
    <w:locked/>
    <w:uiPriority w:val="0"/>
    <w:rPr>
      <w:rFonts w:eastAsia="宋体"/>
      <w:kern w:val="2"/>
      <w:sz w:val="21"/>
      <w:lang w:val="en-US" w:eastAsia="zh-CN" w:bidi="ar-SA"/>
    </w:rPr>
  </w:style>
  <w:style w:type="character" w:customStyle="1" w:styleId="58">
    <w:name w:val="正文（首行缩进两字） Char Char Char Char Char Char Char Char"/>
    <w:aliases w:val="文本 Char,首行缩进 Char,正文非缩进 Char Char Char,正文非缩进 Char Char1,鋘drad Char,???änd Char,正文缩进1 Char,正文缩进 Char Char1,s4 Char,表正文 Char,正文非缩进 Char1,正文缩进 Char Char Char,正文缩进 Char Char Char Char Char Char Char,正 Char"/>
    <w:link w:val="8"/>
    <w:uiPriority w:val="0"/>
    <w:rPr>
      <w:rFonts w:eastAsia="宋体"/>
      <w:kern w:val="2"/>
      <w:sz w:val="21"/>
      <w:lang w:val="en-US" w:eastAsia="zh-CN" w:bidi="ar-SA"/>
    </w:rPr>
  </w:style>
  <w:style w:type="character" w:customStyle="1" w:styleId="59">
    <w:name w:val=" Char Char5"/>
    <w:link w:val="13"/>
    <w:uiPriority w:val="0"/>
    <w:rPr>
      <w:rFonts w:eastAsia="宋体"/>
      <w:b/>
      <w:kern w:val="2"/>
      <w:sz w:val="28"/>
      <w:lang w:val="en-US" w:eastAsia="zh-CN" w:bidi="ar-SA"/>
    </w:rPr>
  </w:style>
  <w:style w:type="character" w:customStyle="1" w:styleId="60">
    <w:name w:val="样式1 Char"/>
    <w:link w:val="61"/>
    <w:uiPriority w:val="0"/>
    <w:rPr>
      <w:rFonts w:ascii="宋体" w:hAnsi="宋体" w:eastAsia="宋体"/>
      <w:kern w:val="2"/>
      <w:sz w:val="21"/>
      <w:szCs w:val="24"/>
      <w:lang w:val="en-US" w:eastAsia="zh-CN" w:bidi="ar-SA"/>
    </w:rPr>
  </w:style>
  <w:style w:type="paragraph" w:customStyle="1" w:styleId="61">
    <w:name w:val="样式1"/>
    <w:basedOn w:val="30"/>
    <w:link w:val="60"/>
    <w:uiPriority w:val="0"/>
    <w:pPr>
      <w:spacing w:before="156" w:beforeLines="50" w:after="0" w:line="440" w:lineRule="exact"/>
      <w:ind w:left="100" w:leftChars="100"/>
    </w:pPr>
    <w:rPr>
      <w:rFonts w:ascii="宋体" w:hAnsi="宋体"/>
    </w:rPr>
  </w:style>
  <w:style w:type="character" w:customStyle="1" w:styleId="62">
    <w:name w:val="样式12 Char"/>
    <w:link w:val="63"/>
    <w:uiPriority w:val="0"/>
    <w:rPr>
      <w:rFonts w:eastAsia="宋体"/>
      <w:b/>
      <w:sz w:val="28"/>
      <w:szCs w:val="28"/>
      <w:lang w:val="en-US" w:eastAsia="en-US" w:bidi="en-US"/>
    </w:rPr>
  </w:style>
  <w:style w:type="paragraph" w:customStyle="1" w:styleId="63">
    <w:name w:val="样式12"/>
    <w:basedOn w:val="1"/>
    <w:link w:val="62"/>
    <w:qFormat/>
    <w:uiPriority w:val="0"/>
    <w:pPr>
      <w:widowControl/>
      <w:spacing w:line="360" w:lineRule="auto"/>
      <w:outlineLvl w:val="2"/>
    </w:pPr>
    <w:rPr>
      <w:b/>
      <w:kern w:val="0"/>
      <w:sz w:val="28"/>
      <w:szCs w:val="28"/>
      <w:lang w:eastAsia="en-US" w:bidi="en-US"/>
    </w:rPr>
  </w:style>
  <w:style w:type="character" w:customStyle="1" w:styleId="64">
    <w:name w:val="无间隔 Char"/>
    <w:link w:val="65"/>
    <w:uiPriority w:val="0"/>
    <w:rPr>
      <w:rFonts w:ascii="Calibri" w:hAnsi="Calibri"/>
      <w:sz w:val="22"/>
      <w:szCs w:val="22"/>
      <w:lang w:val="en-US" w:eastAsia="en-US" w:bidi="en-US"/>
    </w:rPr>
  </w:style>
  <w:style w:type="paragraph" w:customStyle="1" w:styleId="65">
    <w:name w:val="无间隔"/>
    <w:link w:val="64"/>
    <w:qFormat/>
    <w:uiPriority w:val="0"/>
    <w:rPr>
      <w:rFonts w:ascii="Calibri" w:hAnsi="Calibri"/>
      <w:sz w:val="22"/>
      <w:szCs w:val="22"/>
      <w:lang w:val="en-US" w:eastAsia="en-US" w:bidi="en-US"/>
    </w:rPr>
  </w:style>
  <w:style w:type="character" w:customStyle="1" w:styleId="66">
    <w:name w:val="正文01 Char1"/>
    <w:link w:val="67"/>
    <w:uiPriority w:val="0"/>
    <w:rPr>
      <w:rFonts w:ascii="Arial" w:hAnsi="Arial"/>
      <w:color w:val="000000"/>
      <w:sz w:val="24"/>
      <w:lang w:bidi="ar-SA"/>
    </w:rPr>
  </w:style>
  <w:style w:type="paragraph" w:customStyle="1" w:styleId="67">
    <w:name w:val="正文01"/>
    <w:basedOn w:val="1"/>
    <w:link w:val="66"/>
    <w:uiPriority w:val="0"/>
    <w:pPr>
      <w:spacing w:before="60" w:line="460" w:lineRule="exact"/>
      <w:ind w:firstLine="200" w:firstLineChars="200"/>
    </w:pPr>
    <w:rPr>
      <w:rFonts w:ascii="Arial" w:hAnsi="Arial" w:eastAsia="Times New Roman"/>
      <w:color w:val="000000"/>
      <w:kern w:val="0"/>
      <w:sz w:val="24"/>
      <w:lang/>
    </w:rPr>
  </w:style>
  <w:style w:type="character" w:customStyle="1" w:styleId="68">
    <w:name w:val=" Char Char2"/>
    <w:link w:val="27"/>
    <w:uiPriority w:val="0"/>
    <w:rPr>
      <w:kern w:val="2"/>
      <w:sz w:val="16"/>
      <w:szCs w:val="16"/>
      <w:lang w:bidi="ar-SA"/>
    </w:rPr>
  </w:style>
  <w:style w:type="character" w:customStyle="1" w:styleId="69">
    <w:name w:val="样式11 Char"/>
    <w:link w:val="70"/>
    <w:uiPriority w:val="0"/>
    <w:rPr>
      <w:rFonts w:eastAsia="宋体"/>
      <w:b/>
      <w:sz w:val="30"/>
      <w:szCs w:val="30"/>
      <w:lang w:val="en-US" w:eastAsia="en-US" w:bidi="en-US"/>
    </w:rPr>
  </w:style>
  <w:style w:type="paragraph" w:customStyle="1" w:styleId="70">
    <w:name w:val="样式11"/>
    <w:basedOn w:val="71"/>
    <w:link w:val="69"/>
    <w:qFormat/>
    <w:uiPriority w:val="0"/>
    <w:pPr>
      <w:keepNext w:val="0"/>
      <w:widowControl/>
      <w:spacing w:beforeLines="50" w:after="200" w:afterLines="150"/>
      <w:ind w:firstLine="0" w:firstLineChars="0"/>
    </w:pPr>
    <w:rPr>
      <w:rFonts w:ascii="Times New Roman" w:hAnsi="Times New Roman"/>
      <w:color w:val="auto"/>
      <w:kern w:val="0"/>
      <w:sz w:val="30"/>
      <w:szCs w:val="30"/>
      <w:lang w:eastAsia="en-US" w:bidi="en-US"/>
    </w:rPr>
  </w:style>
  <w:style w:type="paragraph" w:customStyle="1" w:styleId="71">
    <w:name w:val="样式2"/>
    <w:basedOn w:val="4"/>
    <w:uiPriority w:val="0"/>
    <w:pPr>
      <w:keepLines w:val="0"/>
      <w:spacing w:before="0" w:after="0" w:afterLines="50" w:line="360" w:lineRule="auto"/>
      <w:ind w:firstLine="562" w:firstLineChars="200"/>
    </w:pPr>
    <w:rPr>
      <w:rFonts w:ascii="宋体" w:hAnsi="宋体" w:eastAsia="宋体"/>
      <w:bCs w:val="0"/>
      <w:color w:val="000000"/>
      <w:sz w:val="28"/>
    </w:rPr>
  </w:style>
  <w:style w:type="character" w:customStyle="1" w:styleId="72">
    <w:name w:val="我的报告正文 Char Char"/>
    <w:link w:val="73"/>
    <w:locked/>
    <w:uiPriority w:val="0"/>
    <w:rPr>
      <w:sz w:val="28"/>
      <w:szCs w:val="28"/>
      <w:lang w:bidi="ar-SA"/>
    </w:rPr>
  </w:style>
  <w:style w:type="paragraph" w:customStyle="1" w:styleId="73">
    <w:name w:val="我的报告正文"/>
    <w:basedOn w:val="8"/>
    <w:link w:val="72"/>
    <w:uiPriority w:val="0"/>
    <w:pPr>
      <w:spacing w:line="360" w:lineRule="auto"/>
      <w:ind w:firstLine="560" w:firstLineChars="200"/>
    </w:pPr>
    <w:rPr>
      <w:kern w:val="0"/>
      <w:sz w:val="28"/>
      <w:szCs w:val="28"/>
    </w:rPr>
  </w:style>
  <w:style w:type="character" w:customStyle="1" w:styleId="74">
    <w:name w:val=" Char Char6"/>
    <w:link w:val="21"/>
    <w:uiPriority w:val="0"/>
    <w:rPr>
      <w:rFonts w:eastAsia="宋体"/>
      <w:kern w:val="2"/>
      <w:sz w:val="18"/>
      <w:szCs w:val="18"/>
      <w:lang w:val="en-US" w:eastAsia="zh-CN" w:bidi="ar-SA"/>
    </w:rPr>
  </w:style>
  <w:style w:type="character" w:customStyle="1" w:styleId="75">
    <w:name w:val="样式 橙色1"/>
    <w:uiPriority w:val="0"/>
    <w:rPr>
      <w:color w:val="auto"/>
    </w:rPr>
  </w:style>
  <w:style w:type="character" w:customStyle="1" w:styleId="76">
    <w:name w:val="标题 3 Char"/>
    <w:uiPriority w:val="0"/>
    <w:rPr>
      <w:rFonts w:eastAsia="宋体"/>
      <w:b/>
      <w:bCs/>
      <w:kern w:val="2"/>
      <w:sz w:val="32"/>
      <w:szCs w:val="32"/>
      <w:lang w:val="en-US" w:eastAsia="zh-CN" w:bidi="ar-SA"/>
    </w:rPr>
  </w:style>
  <w:style w:type="character" w:customStyle="1" w:styleId="77">
    <w:name w:val="网格型c Char Char"/>
    <w:basedOn w:val="37"/>
    <w:uiPriority w:val="0"/>
    <w:rPr>
      <w:rFonts w:eastAsia="宋体"/>
      <w:kern w:val="2"/>
      <w:sz w:val="21"/>
      <w:szCs w:val="21"/>
      <w:lang w:val="en-US" w:eastAsia="zh-CN" w:bidi="ar-SA"/>
    </w:rPr>
  </w:style>
  <w:style w:type="character" w:customStyle="1" w:styleId="78">
    <w:name w:val="正文1 Char1"/>
    <w:link w:val="79"/>
    <w:uiPriority w:val="0"/>
    <w:rPr>
      <w:rFonts w:eastAsia="宋体"/>
      <w:kern w:val="2"/>
      <w:sz w:val="24"/>
      <w:szCs w:val="24"/>
      <w:lang w:bidi="ar-SA"/>
    </w:rPr>
  </w:style>
  <w:style w:type="paragraph" w:customStyle="1" w:styleId="79">
    <w:name w:val="正文1"/>
    <w:basedOn w:val="1"/>
    <w:link w:val="78"/>
    <w:qFormat/>
    <w:uiPriority w:val="0"/>
    <w:pPr>
      <w:spacing w:line="360" w:lineRule="auto"/>
      <w:ind w:firstLine="200" w:firstLineChars="200"/>
    </w:pPr>
    <w:rPr>
      <w:sz w:val="24"/>
      <w:szCs w:val="24"/>
    </w:rPr>
  </w:style>
  <w:style w:type="character" w:customStyle="1" w:styleId="80">
    <w:name w:val="上标"/>
    <w:uiPriority w:val="0"/>
    <w:rPr>
      <w:vertAlign w:val="superscript"/>
    </w:rPr>
  </w:style>
  <w:style w:type="character" w:customStyle="1" w:styleId="81">
    <w:name w:val="标题 21 Char"/>
    <w:aliases w:val="标题 12 Char,标题 2 Char1 Char Char,节 Char,H2 Char,节标题 1.1 Char1,节标题 1.1 Char Char,Se Char,Head wsa2 Char,标题 1.1 Char,标题 2 Char Char Char1,标题 2 Char Char1,标题 2 Char Char Char Char1,标题 2 Char Char Char Char Char,h2 Char,l2 Char,2nd level Char,2 Char"/>
    <w:link w:val="4"/>
    <w:uiPriority w:val="0"/>
    <w:rPr>
      <w:rFonts w:ascii="Arial" w:hAnsi="Arial" w:eastAsia="黑体"/>
      <w:b/>
      <w:bCs/>
      <w:kern w:val="2"/>
      <w:sz w:val="32"/>
      <w:szCs w:val="32"/>
      <w:lang w:val="en-US" w:eastAsia="zh-CN" w:bidi="ar-SA"/>
    </w:rPr>
  </w:style>
  <w:style w:type="character" w:customStyle="1" w:styleId="82">
    <w:name w:val=" Char Char1"/>
    <w:link w:val="31"/>
    <w:uiPriority w:val="0"/>
    <w:rPr>
      <w:rFonts w:ascii="Arial" w:hAnsi="Arial"/>
      <w:sz w:val="24"/>
      <w:szCs w:val="24"/>
      <w:lang w:bidi="ar-SA"/>
    </w:rPr>
  </w:style>
  <w:style w:type="character" w:customStyle="1" w:styleId="83">
    <w:name w:val="表头、图头 Char"/>
    <w:link w:val="84"/>
    <w:uiPriority w:val="0"/>
    <w:rPr>
      <w:rFonts w:eastAsia="仿宋"/>
      <w:b/>
      <w:kern w:val="2"/>
      <w:sz w:val="28"/>
      <w:szCs w:val="24"/>
      <w:lang w:bidi="ar-SA"/>
    </w:rPr>
  </w:style>
  <w:style w:type="paragraph" w:customStyle="1" w:styleId="84">
    <w:name w:val="表头、图头"/>
    <w:basedOn w:val="1"/>
    <w:next w:val="1"/>
    <w:link w:val="83"/>
    <w:qFormat/>
    <w:uiPriority w:val="0"/>
    <w:pPr>
      <w:spacing w:line="240" w:lineRule="atLeast"/>
      <w:jc w:val="center"/>
      <w:outlineLvl w:val="4"/>
    </w:pPr>
    <w:rPr>
      <w:rFonts w:eastAsia="仿宋"/>
      <w:b/>
      <w:sz w:val="28"/>
      <w:szCs w:val="24"/>
      <w:lang/>
    </w:rPr>
  </w:style>
  <w:style w:type="character" w:customStyle="1" w:styleId="85">
    <w:name w:val="我的正文 Char Char"/>
    <w:link w:val="86"/>
    <w:uiPriority w:val="0"/>
    <w:rPr>
      <w:rFonts w:ascii="宋体" w:hAnsi="宋体" w:eastAsia="宋体"/>
      <w:sz w:val="28"/>
      <w:szCs w:val="24"/>
      <w:lang w:val="en-US" w:eastAsia="zh-CN" w:bidi="ar-SA"/>
    </w:rPr>
  </w:style>
  <w:style w:type="paragraph" w:customStyle="1" w:styleId="86">
    <w:name w:val="我的正文"/>
    <w:basedOn w:val="1"/>
    <w:link w:val="85"/>
    <w:uiPriority w:val="0"/>
    <w:pPr>
      <w:snapToGrid w:val="0"/>
      <w:spacing w:line="540" w:lineRule="exact"/>
      <w:ind w:firstLine="200" w:firstLineChars="200"/>
    </w:pPr>
    <w:rPr>
      <w:rFonts w:ascii="宋体" w:hAnsi="宋体"/>
      <w:kern w:val="0"/>
      <w:sz w:val="28"/>
      <w:szCs w:val="24"/>
    </w:rPr>
  </w:style>
  <w:style w:type="character" w:customStyle="1" w:styleId="87">
    <w:name w:val=" Char Char3"/>
    <w:link w:val="16"/>
    <w:uiPriority w:val="0"/>
    <w:rPr>
      <w:rFonts w:eastAsia="宋体"/>
      <w:kern w:val="2"/>
      <w:sz w:val="21"/>
      <w:lang w:val="en-US" w:eastAsia="zh-CN" w:bidi="ar-SA"/>
    </w:rPr>
  </w:style>
  <w:style w:type="character" w:customStyle="1" w:styleId="88">
    <w:name w:val="4正文 Char Char"/>
    <w:link w:val="89"/>
    <w:locked/>
    <w:uiPriority w:val="0"/>
    <w:rPr>
      <w:rFonts w:ascii="宋体" w:hAnsi="宋体" w:eastAsia="宋体"/>
      <w:kern w:val="2"/>
      <w:sz w:val="28"/>
      <w:lang w:val="zh-CN" w:bidi="ar-SA"/>
    </w:rPr>
  </w:style>
  <w:style w:type="paragraph" w:customStyle="1" w:styleId="89">
    <w:name w:val="4正文"/>
    <w:basedOn w:val="1"/>
    <w:link w:val="88"/>
    <w:uiPriority w:val="0"/>
    <w:pPr>
      <w:spacing w:beforeLines="50" w:line="360" w:lineRule="auto"/>
      <w:ind w:firstLine="560" w:firstLineChars="200"/>
    </w:pPr>
    <w:rPr>
      <w:rFonts w:ascii="宋体" w:hAnsi="宋体"/>
      <w:sz w:val="28"/>
      <w:lang w:val="zh-CN"/>
    </w:rPr>
  </w:style>
  <w:style w:type="character" w:customStyle="1" w:styleId="90">
    <w:name w:val="font21"/>
    <w:basedOn w:val="37"/>
    <w:uiPriority w:val="0"/>
    <w:rPr>
      <w:rFonts w:hint="eastAsia" w:ascii="宋体" w:hAnsi="宋体" w:eastAsia="宋体" w:cs="宋体"/>
      <w:color w:val="333333"/>
      <w:sz w:val="20"/>
      <w:szCs w:val="20"/>
      <w:u w:val="none"/>
    </w:rPr>
  </w:style>
  <w:style w:type="character" w:customStyle="1" w:styleId="91">
    <w:name w:val="潇潇雨-正文 Char Char"/>
    <w:link w:val="92"/>
    <w:uiPriority w:val="0"/>
    <w:rPr>
      <w:rFonts w:ascii="宋体" w:hAnsi="宋体"/>
      <w:spacing w:val="20"/>
      <w:kern w:val="2"/>
      <w:sz w:val="28"/>
      <w:lang w:bidi="ar-SA"/>
    </w:rPr>
  </w:style>
  <w:style w:type="paragraph" w:customStyle="1" w:styleId="92">
    <w:name w:val="潇潇雨-正文"/>
    <w:basedOn w:val="1"/>
    <w:link w:val="91"/>
    <w:uiPriority w:val="0"/>
    <w:pPr>
      <w:spacing w:line="520" w:lineRule="exact"/>
      <w:ind w:firstLine="640" w:firstLineChars="200"/>
    </w:pPr>
    <w:rPr>
      <w:rFonts w:ascii="宋体" w:hAnsi="宋体"/>
      <w:spacing w:val="20"/>
      <w:sz w:val="28"/>
    </w:rPr>
  </w:style>
  <w:style w:type="character" w:customStyle="1" w:styleId="93">
    <w:name w:val=" Char Char4"/>
    <w:link w:val="20"/>
    <w:uiPriority w:val="0"/>
    <w:rPr>
      <w:rFonts w:eastAsia="宋体"/>
      <w:kern w:val="2"/>
      <w:sz w:val="21"/>
      <w:lang w:val="en-US" w:eastAsia="zh-CN" w:bidi="ar-SA"/>
    </w:rPr>
  </w:style>
  <w:style w:type="character" w:customStyle="1" w:styleId="94">
    <w:name w:val="报告正文 Char Char"/>
    <w:link w:val="95"/>
    <w:uiPriority w:val="0"/>
    <w:rPr>
      <w:rFonts w:ascii="宋体" w:hAnsi="宋体"/>
      <w:color w:val="000000"/>
      <w:kern w:val="2"/>
      <w:sz w:val="24"/>
      <w:lang w:bidi="ar-SA"/>
    </w:rPr>
  </w:style>
  <w:style w:type="paragraph" w:customStyle="1" w:styleId="95">
    <w:name w:val="报告正文"/>
    <w:basedOn w:val="1"/>
    <w:link w:val="94"/>
    <w:uiPriority w:val="0"/>
    <w:pPr>
      <w:tabs>
        <w:tab w:val="left" w:pos="0"/>
      </w:tabs>
      <w:spacing w:line="360" w:lineRule="auto"/>
      <w:ind w:firstLine="200" w:firstLineChars="200"/>
    </w:pPr>
    <w:rPr>
      <w:rFonts w:ascii="宋体" w:hAnsi="宋体"/>
      <w:color w:val="000000"/>
      <w:sz w:val="24"/>
    </w:rPr>
  </w:style>
  <w:style w:type="character" w:customStyle="1" w:styleId="96">
    <w:name w:val="503定义表格标题 Char Char"/>
    <w:link w:val="97"/>
    <w:uiPriority w:val="0"/>
    <w:rPr>
      <w:b/>
      <w:sz w:val="21"/>
      <w:szCs w:val="21"/>
      <w:lang w:bidi="ar-SA"/>
    </w:rPr>
  </w:style>
  <w:style w:type="paragraph" w:customStyle="1" w:styleId="97">
    <w:name w:val="503定义表格标题"/>
    <w:basedOn w:val="1"/>
    <w:link w:val="96"/>
    <w:uiPriority w:val="0"/>
    <w:pPr>
      <w:spacing w:before="156" w:beforeLines="50"/>
      <w:jc w:val="center"/>
    </w:pPr>
    <w:rPr>
      <w:b/>
      <w:kern w:val="0"/>
      <w:szCs w:val="21"/>
    </w:rPr>
  </w:style>
  <w:style w:type="character" w:customStyle="1" w:styleId="98">
    <w:name w:val="样式14 Char Char"/>
    <w:link w:val="99"/>
    <w:uiPriority w:val="0"/>
    <w:rPr>
      <w:rFonts w:ascii="黑体" w:eastAsia="黑体"/>
      <w:b/>
      <w:kern w:val="2"/>
      <w:sz w:val="24"/>
      <w:lang w:bidi="ar-SA"/>
    </w:rPr>
  </w:style>
  <w:style w:type="paragraph" w:customStyle="1" w:styleId="99">
    <w:name w:val="样式14"/>
    <w:basedOn w:val="1"/>
    <w:link w:val="98"/>
    <w:uiPriority w:val="0"/>
    <w:pPr>
      <w:spacing w:line="360" w:lineRule="auto"/>
      <w:jc w:val="center"/>
    </w:pPr>
    <w:rPr>
      <w:rFonts w:ascii="黑体" w:eastAsia="黑体"/>
      <w:b/>
      <w:sz w:val="24"/>
    </w:rPr>
  </w:style>
  <w:style w:type="character" w:customStyle="1" w:styleId="100">
    <w:name w:val="5宋粗表格 Char Char"/>
    <w:link w:val="101"/>
    <w:uiPriority w:val="0"/>
    <w:rPr>
      <w:rFonts w:ascii="宋体" w:hAnsi="宋体"/>
      <w:b/>
      <w:color w:val="000000"/>
      <w:sz w:val="21"/>
      <w:szCs w:val="21"/>
      <w:lang w:bidi="ar-SA"/>
    </w:rPr>
  </w:style>
  <w:style w:type="paragraph" w:customStyle="1" w:styleId="101">
    <w:name w:val="5宋粗表格"/>
    <w:basedOn w:val="1"/>
    <w:link w:val="100"/>
    <w:uiPriority w:val="0"/>
    <w:pPr>
      <w:widowControl/>
      <w:spacing w:before="312" w:beforeLines="100" w:line="360" w:lineRule="auto"/>
      <w:jc w:val="center"/>
    </w:pPr>
    <w:rPr>
      <w:rFonts w:ascii="宋体" w:hAnsi="宋体"/>
      <w:b/>
      <w:color w:val="000000"/>
      <w:kern w:val="0"/>
      <w:szCs w:val="21"/>
    </w:rPr>
  </w:style>
  <w:style w:type="character" w:customStyle="1" w:styleId="102">
    <w:name w:val="正文 + 首行缩进:  2 字符 Char Char"/>
    <w:link w:val="103"/>
    <w:uiPriority w:val="0"/>
    <w:rPr>
      <w:rFonts w:ascii="宋体" w:hAnsi="宋体"/>
      <w:kern w:val="2"/>
      <w:sz w:val="24"/>
      <w:lang w:bidi="ar-SA"/>
    </w:rPr>
  </w:style>
  <w:style w:type="paragraph" w:customStyle="1" w:styleId="103">
    <w:name w:val="正文 + 首行缩进:  2 字符"/>
    <w:basedOn w:val="1"/>
    <w:link w:val="102"/>
    <w:uiPriority w:val="0"/>
    <w:pPr>
      <w:spacing w:line="360" w:lineRule="auto"/>
      <w:ind w:firstLine="480" w:firstLineChars="200"/>
    </w:pPr>
    <w:rPr>
      <w:rFonts w:ascii="宋体" w:hAnsi="宋体"/>
      <w:sz w:val="24"/>
    </w:rPr>
  </w:style>
  <w:style w:type="character" w:customStyle="1" w:styleId="104">
    <w:name w:val="表头 Char"/>
    <w:link w:val="105"/>
    <w:uiPriority w:val="0"/>
    <w:rPr>
      <w:rFonts w:eastAsia="黑体"/>
      <w:b/>
      <w:kern w:val="2"/>
      <w:sz w:val="21"/>
      <w:szCs w:val="24"/>
      <w:lang w:bidi="ar-SA"/>
    </w:rPr>
  </w:style>
  <w:style w:type="paragraph" w:customStyle="1" w:styleId="105">
    <w:name w:val="表头"/>
    <w:basedOn w:val="1"/>
    <w:next w:val="1"/>
    <w:link w:val="104"/>
    <w:qFormat/>
    <w:uiPriority w:val="0"/>
    <w:pPr>
      <w:spacing w:line="400" w:lineRule="exact"/>
      <w:jc w:val="center"/>
    </w:pPr>
    <w:rPr>
      <w:rFonts w:eastAsia="黑体"/>
      <w:b/>
      <w:szCs w:val="24"/>
    </w:rPr>
  </w:style>
  <w:style w:type="character" w:customStyle="1" w:styleId="106">
    <w:name w:val="5宋表格 Char Char"/>
    <w:link w:val="107"/>
    <w:uiPriority w:val="0"/>
    <w:rPr>
      <w:rFonts w:ascii="宋体" w:hAnsi="宋体"/>
      <w:color w:val="000000"/>
      <w:sz w:val="21"/>
      <w:szCs w:val="21"/>
      <w:lang w:bidi="ar-SA"/>
    </w:rPr>
  </w:style>
  <w:style w:type="paragraph" w:customStyle="1" w:styleId="107">
    <w:name w:val="5宋表格"/>
    <w:basedOn w:val="1"/>
    <w:link w:val="106"/>
    <w:uiPriority w:val="0"/>
    <w:pPr>
      <w:widowControl/>
      <w:spacing w:before="156" w:beforeLines="50" w:line="360" w:lineRule="auto"/>
      <w:jc w:val="left"/>
    </w:pPr>
    <w:rPr>
      <w:rFonts w:ascii="宋体" w:hAnsi="宋体"/>
      <w:color w:val="000000"/>
      <w:kern w:val="0"/>
      <w:szCs w:val="21"/>
    </w:rPr>
  </w:style>
  <w:style w:type="character" w:customStyle="1" w:styleId="108">
    <w:name w:val=" Char Char8"/>
    <w:link w:val="3"/>
    <w:uiPriority w:val="0"/>
    <w:rPr>
      <w:rFonts w:eastAsia="宋体"/>
      <w:b/>
      <w:bCs/>
      <w:kern w:val="44"/>
      <w:sz w:val="44"/>
      <w:szCs w:val="44"/>
      <w:lang w:val="en-US" w:eastAsia="zh-CN" w:bidi="ar-SA"/>
    </w:rPr>
  </w:style>
  <w:style w:type="paragraph" w:customStyle="1" w:styleId="109">
    <w:name w:val="二级条标题"/>
    <w:basedOn w:val="110"/>
    <w:next w:val="1"/>
    <w:uiPriority w:val="0"/>
    <w:pPr>
      <w:ind w:left="0"/>
      <w:outlineLvl w:val="3"/>
    </w:pPr>
  </w:style>
  <w:style w:type="paragraph" w:customStyle="1" w:styleId="110">
    <w:name w:val="一级条标题"/>
    <w:next w:val="1"/>
    <w:uiPriority w:val="0"/>
    <w:pPr>
      <w:ind w:left="420"/>
      <w:outlineLvl w:val="2"/>
    </w:pPr>
    <w:rPr>
      <w:rFonts w:eastAsia="黑体"/>
      <w:sz w:val="21"/>
      <w:lang w:val="en-US" w:eastAsia="zh-CN" w:bidi="ar-SA"/>
    </w:rPr>
  </w:style>
  <w:style w:type="paragraph" w:customStyle="1" w:styleId="111">
    <w:name w:val="仿宋体"/>
    <w:basedOn w:val="1"/>
    <w:uiPriority w:val="0"/>
    <w:pPr>
      <w:widowControl/>
      <w:spacing w:line="844" w:lineRule="atLeast"/>
      <w:ind w:firstLine="419"/>
      <w:textAlignment w:val="baseline"/>
    </w:pPr>
    <w:rPr>
      <w:rFonts w:eastAsia="仿宋_GB2312"/>
      <w:color w:val="000000"/>
      <w:kern w:val="0"/>
      <w:sz w:val="31"/>
      <w:u w:val="none" w:color="000000"/>
    </w:rPr>
  </w:style>
  <w:style w:type="paragraph" w:customStyle="1" w:styleId="112">
    <w:name w:val="三级条标题"/>
    <w:basedOn w:val="109"/>
    <w:next w:val="1"/>
    <w:uiPriority w:val="0"/>
    <w:pPr>
      <w:outlineLvl w:val="4"/>
    </w:pPr>
  </w:style>
  <w:style w:type="paragraph" w:customStyle="1" w:styleId="113">
    <w:name w:val="Heading 2"/>
    <w:basedOn w:val="1"/>
    <w:uiPriority w:val="0"/>
    <w:pPr>
      <w:autoSpaceDE w:val="0"/>
      <w:autoSpaceDN w:val="0"/>
      <w:adjustRightInd w:val="0"/>
      <w:spacing w:before="208"/>
      <w:ind w:left="20"/>
      <w:jc w:val="left"/>
      <w:outlineLvl w:val="1"/>
    </w:pPr>
    <w:rPr>
      <w:kern w:val="0"/>
      <w:sz w:val="30"/>
      <w:szCs w:val="30"/>
    </w:rPr>
  </w:style>
  <w:style w:type="paragraph" w:customStyle="1" w:styleId="114">
    <w:name w:val="xl52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15">
    <w:name w:val="font9"/>
    <w:basedOn w:val="1"/>
    <w:uiPriority w:val="0"/>
    <w:pPr>
      <w:widowControl/>
      <w:spacing w:before="100" w:beforeAutospacing="1" w:after="100" w:afterAutospacing="1"/>
      <w:jc w:val="left"/>
    </w:pPr>
    <w:rPr>
      <w:color w:val="000000"/>
      <w:kern w:val="0"/>
      <w:sz w:val="24"/>
      <w:szCs w:val="24"/>
    </w:rPr>
  </w:style>
  <w:style w:type="paragraph" w:customStyle="1" w:styleId="116">
    <w:name w:val="Table Paragraph"/>
    <w:basedOn w:val="1"/>
    <w:qFormat/>
    <w:uiPriority w:val="0"/>
    <w:pPr>
      <w:spacing w:before="1"/>
    </w:pPr>
    <w:rPr>
      <w:rFonts w:eastAsia="Times New Roman"/>
      <w:szCs w:val="24"/>
      <w:lang w:val="zh-CN" w:bidi="zh-CN"/>
    </w:rPr>
  </w:style>
  <w:style w:type="paragraph" w:customStyle="1" w:styleId="117">
    <w:name w:val="xl53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18">
    <w:name w:val="注×："/>
    <w:uiPriority w:val="0"/>
    <w:pPr>
      <w:widowControl w:val="0"/>
      <w:tabs>
        <w:tab w:val="left" w:pos="630"/>
        <w:tab w:val="left" w:pos="900"/>
      </w:tabs>
      <w:autoSpaceDE w:val="0"/>
      <w:autoSpaceDN w:val="0"/>
      <w:ind w:left="900" w:hanging="500"/>
      <w:jc w:val="both"/>
    </w:pPr>
    <w:rPr>
      <w:rFonts w:ascii="宋体"/>
      <w:sz w:val="18"/>
      <w:lang w:val="en-US" w:eastAsia="zh-CN" w:bidi="ar-SA"/>
    </w:rPr>
  </w:style>
  <w:style w:type="paragraph" w:customStyle="1" w:styleId="119">
    <w:name w:val="xl567"/>
    <w:basedOn w:val="1"/>
    <w:uiPriority w:val="0"/>
    <w:pPr>
      <w:widowControl/>
      <w:pBdr>
        <w:bottom w:val="single" w:color="auto" w:sz="4" w:space="0"/>
      </w:pBdr>
      <w:spacing w:before="100" w:beforeAutospacing="1" w:after="100" w:afterAutospacing="1"/>
      <w:jc w:val="center"/>
      <w:textAlignment w:val="top"/>
    </w:pPr>
    <w:rPr>
      <w:rFonts w:ascii="宋体" w:hAnsi="宋体" w:cs="宋体"/>
      <w:b/>
      <w:bCs/>
      <w:kern w:val="0"/>
      <w:sz w:val="40"/>
      <w:szCs w:val="40"/>
    </w:rPr>
  </w:style>
  <w:style w:type="paragraph" w:customStyle="1" w:styleId="120">
    <w:name w:val="xl54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1">
    <w:name w:val="xl6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22">
    <w:name w:val="xl55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23">
    <w:name w:val="xl7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24">
    <w:name w:val="xl53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25">
    <w:name w:val="xl53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26">
    <w:name w:val="xl52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7">
    <w:name w:val="xl7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28">
    <w:name w:val="xl54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29">
    <w:name w:val="xl56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30">
    <w:name w:val="p0"/>
    <w:basedOn w:val="1"/>
    <w:uiPriority w:val="0"/>
    <w:pPr>
      <w:widowControl/>
    </w:pPr>
    <w:rPr>
      <w:kern w:val="0"/>
      <w:szCs w:val="21"/>
    </w:rPr>
  </w:style>
  <w:style w:type="paragraph" w:customStyle="1" w:styleId="131">
    <w:name w:val="xl7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2">
    <w:name w:val="font10"/>
    <w:basedOn w:val="1"/>
    <w:uiPriority w:val="0"/>
    <w:pPr>
      <w:widowControl/>
      <w:spacing w:before="100" w:beforeAutospacing="1" w:after="100" w:afterAutospacing="1"/>
      <w:jc w:val="left"/>
    </w:pPr>
    <w:rPr>
      <w:kern w:val="0"/>
      <w:sz w:val="24"/>
      <w:szCs w:val="24"/>
    </w:rPr>
  </w:style>
  <w:style w:type="paragraph" w:customStyle="1" w:styleId="133">
    <w:name w:val="xl8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szCs w:val="24"/>
    </w:rPr>
  </w:style>
  <w:style w:type="paragraph" w:customStyle="1" w:styleId="134">
    <w:name w:val="xl53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FF0000"/>
      <w:kern w:val="0"/>
      <w:sz w:val="20"/>
    </w:rPr>
  </w:style>
  <w:style w:type="paragraph" w:customStyle="1" w:styleId="135">
    <w:name w:val="四级条标题"/>
    <w:basedOn w:val="112"/>
    <w:next w:val="1"/>
    <w:uiPriority w:val="0"/>
    <w:pPr>
      <w:outlineLvl w:val="5"/>
    </w:pPr>
  </w:style>
  <w:style w:type="paragraph" w:customStyle="1" w:styleId="136">
    <w:name w:val="xl7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37">
    <w:name w:val="正文格式 Char"/>
    <w:basedOn w:val="1"/>
    <w:uiPriority w:val="0"/>
    <w:pPr>
      <w:adjustRightInd w:val="0"/>
      <w:snapToGrid w:val="0"/>
      <w:spacing w:line="480" w:lineRule="exact"/>
      <w:ind w:firstLine="567"/>
    </w:pPr>
    <w:rPr>
      <w:rFonts w:ascii="宋体" w:hAnsi="宋体"/>
      <w:snapToGrid w:val="0"/>
      <w:sz w:val="28"/>
      <w:szCs w:val="28"/>
    </w:rPr>
  </w:style>
  <w:style w:type="paragraph" w:customStyle="1" w:styleId="138">
    <w:name w:val="font8"/>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39">
    <w:name w:val="表格02"/>
    <w:basedOn w:val="1"/>
    <w:uiPriority w:val="0"/>
    <w:pPr>
      <w:adjustRightInd w:val="0"/>
      <w:snapToGrid w:val="0"/>
      <w:spacing w:line="360" w:lineRule="exact"/>
      <w:jc w:val="center"/>
    </w:pPr>
    <w:rPr>
      <w:snapToGrid w:val="0"/>
      <w:kern w:val="0"/>
      <w:sz w:val="24"/>
      <w:szCs w:val="24"/>
    </w:rPr>
  </w:style>
  <w:style w:type="paragraph" w:customStyle="1" w:styleId="140">
    <w:name w:val="Char Char Char Char"/>
    <w:basedOn w:val="1"/>
    <w:uiPriority w:val="0"/>
  </w:style>
  <w:style w:type="paragraph" w:customStyle="1" w:styleId="141">
    <w:name w:val="xl54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42">
    <w:name w:val="txtBox Char"/>
    <w:basedOn w:val="1"/>
    <w:uiPriority w:val="0"/>
    <w:pPr>
      <w:jc w:val="center"/>
    </w:pPr>
    <w:rPr>
      <w:szCs w:val="24"/>
    </w:rPr>
  </w:style>
  <w:style w:type="paragraph" w:customStyle="1" w:styleId="143">
    <w:name w:val="xl52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rPr>
  </w:style>
  <w:style w:type="paragraph" w:customStyle="1" w:styleId="144">
    <w:name w:val=" Char Char Char Char Char Char Char Char Char Char Char Char Char Char Char Char Char Char Char Char Char Char"/>
    <w:basedOn w:val="1"/>
    <w:uiPriority w:val="0"/>
    <w:pPr>
      <w:spacing w:line="360" w:lineRule="auto"/>
      <w:ind w:firstLine="200" w:firstLineChars="200"/>
    </w:pPr>
  </w:style>
  <w:style w:type="paragraph" w:customStyle="1" w:styleId="145">
    <w:name w:val="xl54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6">
    <w:name w:val="xl55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2"/>
      <w:szCs w:val="22"/>
    </w:rPr>
  </w:style>
  <w:style w:type="paragraph" w:customStyle="1" w:styleId="147">
    <w:name w:val="五级条标题"/>
    <w:basedOn w:val="135"/>
    <w:next w:val="1"/>
    <w:uiPriority w:val="0"/>
    <w:pPr>
      <w:outlineLvl w:val="6"/>
    </w:pPr>
  </w:style>
  <w:style w:type="paragraph" w:customStyle="1" w:styleId="148">
    <w:name w:val="xl53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49">
    <w:name w:val="xl55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50">
    <w:name w:val="xl55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51">
    <w:name w:val="xl56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52">
    <w:name w:val="xl6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53">
    <w:name w:val=" Char Char Char Char Char Char"/>
    <w:basedOn w:val="1"/>
    <w:next w:val="2"/>
    <w:uiPriority w:val="0"/>
    <w:rPr>
      <w:sz w:val="28"/>
      <w:szCs w:val="28"/>
    </w:rPr>
  </w:style>
  <w:style w:type="paragraph" w:customStyle="1" w:styleId="154">
    <w:name w:val="Char Char Char"/>
    <w:basedOn w:val="1"/>
    <w:uiPriority w:val="0"/>
    <w:rPr>
      <w:rFonts w:ascii="Tahoma" w:hAnsi="Tahoma" w:cs="Tahoma"/>
      <w:sz w:val="24"/>
      <w:szCs w:val="24"/>
    </w:rPr>
  </w:style>
  <w:style w:type="paragraph" w:customStyle="1" w:styleId="155">
    <w:name w:val="List Paragraph"/>
    <w:basedOn w:val="1"/>
    <w:qFormat/>
    <w:uiPriority w:val="0"/>
    <w:pPr>
      <w:ind w:firstLine="420" w:firstLineChars="200"/>
    </w:pPr>
    <w:rPr>
      <w:rFonts w:ascii="Calibri" w:hAnsi="Calibri"/>
      <w:szCs w:val="22"/>
    </w:rPr>
  </w:style>
  <w:style w:type="paragraph" w:customStyle="1" w:styleId="156">
    <w:name w:val="章标题"/>
    <w:next w:val="1"/>
    <w:uiPriority w:val="0"/>
    <w:pPr>
      <w:spacing w:before="156" w:beforeLines="50" w:after="156" w:afterLines="50"/>
      <w:jc w:val="both"/>
      <w:outlineLvl w:val="1"/>
    </w:pPr>
    <w:rPr>
      <w:rFonts w:ascii="黑体" w:eastAsia="黑体"/>
      <w:sz w:val="21"/>
      <w:lang w:val="en-US" w:eastAsia="zh-CN" w:bidi="ar-SA"/>
    </w:rPr>
  </w:style>
  <w:style w:type="paragraph" w:customStyle="1" w:styleId="157">
    <w:name w:val="Heading 3"/>
    <w:basedOn w:val="1"/>
    <w:uiPriority w:val="0"/>
    <w:pPr>
      <w:autoSpaceDE w:val="0"/>
      <w:autoSpaceDN w:val="0"/>
      <w:adjustRightInd w:val="0"/>
      <w:ind w:left="771" w:hanging="631"/>
      <w:jc w:val="left"/>
      <w:outlineLvl w:val="2"/>
    </w:pPr>
    <w:rPr>
      <w:rFonts w:ascii="Microsoft JhengHei" w:eastAsia="Microsoft JhengHei" w:cs="Microsoft JhengHei"/>
      <w:b/>
      <w:bCs/>
      <w:kern w:val="0"/>
      <w:sz w:val="28"/>
      <w:szCs w:val="28"/>
    </w:rPr>
  </w:style>
  <w:style w:type="paragraph" w:customStyle="1" w:styleId="158">
    <w:name w:val="xl55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59">
    <w:name w:val="表格内容"/>
    <w:basedOn w:val="1"/>
    <w:qFormat/>
    <w:uiPriority w:val="0"/>
    <w:pPr>
      <w:spacing w:line="240" w:lineRule="atLeast"/>
      <w:jc w:val="center"/>
    </w:pPr>
    <w:rPr>
      <w:rFonts w:ascii="仿宋" w:hAnsi="仿宋" w:eastAsia="仿宋"/>
      <w:kern w:val="0"/>
      <w:sz w:val="24"/>
      <w:lang/>
    </w:rPr>
  </w:style>
  <w:style w:type="paragraph" w:customStyle="1" w:styleId="160">
    <w:name w:val="xl54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61">
    <w:name w:val="表题"/>
    <w:basedOn w:val="1"/>
    <w:unhideWhenUsed/>
    <w:uiPriority w:val="0"/>
    <w:pPr>
      <w:snapToGrid w:val="0"/>
      <w:spacing w:beforeLines="50" w:line="360" w:lineRule="auto"/>
      <w:jc w:val="center"/>
    </w:pPr>
    <w:rPr>
      <w:rFonts w:hint="eastAsia"/>
      <w:b/>
      <w:color w:val="000000"/>
      <w:sz w:val="24"/>
      <w:szCs w:val="24"/>
    </w:rPr>
  </w:style>
  <w:style w:type="paragraph" w:customStyle="1" w:styleId="162">
    <w:name w:val="xl54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63">
    <w:name w:val="xl53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color w:val="FF0000"/>
      <w:kern w:val="0"/>
      <w:sz w:val="20"/>
    </w:rPr>
  </w:style>
  <w:style w:type="paragraph" w:customStyle="1" w:styleId="164">
    <w:name w:val="font7"/>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65">
    <w:name w:val="xl55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66">
    <w:name w:val="p16"/>
    <w:basedOn w:val="1"/>
    <w:uiPriority w:val="0"/>
    <w:pPr>
      <w:widowControl/>
      <w:jc w:val="left"/>
    </w:pPr>
    <w:rPr>
      <w:rFonts w:ascii="方正姚体" w:hAnsi="方正姚体" w:cs="宋体"/>
      <w:color w:val="000000"/>
      <w:kern w:val="0"/>
      <w:sz w:val="24"/>
    </w:rPr>
  </w:style>
  <w:style w:type="paragraph" w:customStyle="1" w:styleId="167">
    <w:name w:val="xl52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68">
    <w:name w:val="xl7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69">
    <w:name w:val="Heading 1"/>
    <w:basedOn w:val="1"/>
    <w:uiPriority w:val="0"/>
    <w:pPr>
      <w:autoSpaceDE w:val="0"/>
      <w:autoSpaceDN w:val="0"/>
      <w:adjustRightInd w:val="0"/>
      <w:spacing w:line="744" w:lineRule="exact"/>
      <w:ind w:left="886"/>
      <w:jc w:val="left"/>
      <w:outlineLvl w:val="0"/>
    </w:pPr>
    <w:rPr>
      <w:rFonts w:ascii="Microsoft JhengHei" w:eastAsia="Microsoft JhengHei" w:cs="Microsoft JhengHei"/>
      <w:b/>
      <w:bCs/>
      <w:kern w:val="0"/>
      <w:sz w:val="72"/>
      <w:szCs w:val="72"/>
    </w:rPr>
  </w:style>
  <w:style w:type="paragraph" w:customStyle="1" w:styleId="170">
    <w:name w:val="xl7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71">
    <w:name w:val="列出段落"/>
    <w:basedOn w:val="1"/>
    <w:qFormat/>
    <w:uiPriority w:val="0"/>
    <w:pPr>
      <w:ind w:firstLine="420" w:firstLineChars="200"/>
    </w:pPr>
    <w:rPr>
      <w:rFonts w:ascii="Calibri" w:hAnsi="Calibri"/>
      <w:szCs w:val="22"/>
    </w:rPr>
  </w:style>
  <w:style w:type="paragraph" w:customStyle="1" w:styleId="172">
    <w:name w:val="xl54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0"/>
    </w:rPr>
  </w:style>
  <w:style w:type="paragraph" w:customStyle="1" w:styleId="173">
    <w:name w:val="xl54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74">
    <w:name w:val="Default"/>
    <w:uiPriority w:val="0"/>
    <w:pPr>
      <w:widowControl w:val="0"/>
      <w:autoSpaceDE w:val="0"/>
      <w:autoSpaceDN w:val="0"/>
      <w:adjustRightInd w:val="0"/>
    </w:pPr>
    <w:rPr>
      <w:rFonts w:ascii="宋体" w:cs="宋体"/>
      <w:color w:val="000000"/>
      <w:sz w:val="24"/>
      <w:szCs w:val="24"/>
      <w:lang w:val="en-US" w:eastAsia="zh-CN" w:bidi="ar-SA"/>
    </w:rPr>
  </w:style>
  <w:style w:type="paragraph" w:customStyle="1" w:styleId="175">
    <w:name w:val="xl56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76">
    <w:name w:val="二级标题"/>
    <w:basedOn w:val="1"/>
    <w:next w:val="1"/>
    <w:uiPriority w:val="0"/>
    <w:pPr>
      <w:keepNext/>
      <w:adjustRightInd w:val="0"/>
      <w:spacing w:before="240" w:after="240" w:line="312" w:lineRule="atLeast"/>
      <w:jc w:val="center"/>
      <w:textAlignment w:val="baseline"/>
    </w:pPr>
    <w:rPr>
      <w:rFonts w:eastAsia="楷体_GB2312"/>
      <w:kern w:val="0"/>
      <w:sz w:val="28"/>
      <w:szCs w:val="28"/>
    </w:rPr>
  </w:style>
  <w:style w:type="paragraph" w:customStyle="1" w:styleId="177">
    <w:name w:val="列表标题"/>
    <w:basedOn w:val="1"/>
    <w:uiPriority w:val="0"/>
    <w:pPr>
      <w:spacing w:before="240"/>
      <w:jc w:val="center"/>
      <w:textAlignment w:val="baseline"/>
    </w:pPr>
    <w:rPr>
      <w:b/>
      <w:kern w:val="0"/>
      <w:sz w:val="28"/>
    </w:rPr>
  </w:style>
  <w:style w:type="paragraph" w:customStyle="1" w:styleId="178">
    <w:name w:val="xl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79">
    <w:name w:val="1"/>
    <w:basedOn w:val="1"/>
    <w:next w:val="12"/>
    <w:uiPriority w:val="0"/>
    <w:pPr>
      <w:spacing w:line="240" w:lineRule="exact"/>
      <w:jc w:val="center"/>
    </w:pPr>
  </w:style>
  <w:style w:type="paragraph" w:customStyle="1" w:styleId="180">
    <w:name w:val="xl8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81">
    <w:name w:val="xl55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2">
    <w:name w:val="xl7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183">
    <w:name w:val="xl83"/>
    <w:basedOn w:val="1"/>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4">
    <w:name w:val="xl562"/>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85">
    <w:name w:val="reader-word-layer reader-word-s1-16"/>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186">
    <w:name w:val="xl55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187">
    <w:name w:val="xl7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i/>
      <w:iCs/>
      <w:kern w:val="0"/>
      <w:sz w:val="24"/>
      <w:szCs w:val="24"/>
    </w:rPr>
  </w:style>
  <w:style w:type="paragraph" w:customStyle="1" w:styleId="188">
    <w:name w:val="xl8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89">
    <w:name w:val="xl55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190">
    <w:name w:val="正常段落"/>
    <w:basedOn w:val="8"/>
    <w:qFormat/>
    <w:uiPriority w:val="0"/>
    <w:pPr>
      <w:spacing w:line="440" w:lineRule="exact"/>
      <w:ind w:firstLine="0"/>
    </w:pPr>
    <w:rPr>
      <w:rFonts w:ascii="宋体"/>
      <w:sz w:val="24"/>
    </w:rPr>
  </w:style>
  <w:style w:type="paragraph" w:customStyle="1" w:styleId="191">
    <w:name w:val="xl560"/>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92">
    <w:name w:val="Definition List"/>
    <w:basedOn w:val="1"/>
    <w:next w:val="1"/>
    <w:uiPriority w:val="0"/>
    <w:pPr>
      <w:autoSpaceDE w:val="0"/>
      <w:autoSpaceDN w:val="0"/>
      <w:adjustRightInd w:val="0"/>
      <w:ind w:left="360"/>
      <w:jc w:val="left"/>
    </w:pPr>
    <w:rPr>
      <w:rFonts w:ascii="宋体" w:hAnsi="Tms Rmn"/>
      <w:kern w:val="0"/>
      <w:sz w:val="24"/>
    </w:rPr>
  </w:style>
  <w:style w:type="paragraph" w:customStyle="1" w:styleId="193">
    <w:name w:val="font11"/>
    <w:basedOn w:val="1"/>
    <w:uiPriority w:val="0"/>
    <w:pPr>
      <w:widowControl/>
      <w:spacing w:before="100" w:beforeAutospacing="1" w:after="100" w:afterAutospacing="1"/>
      <w:jc w:val="left"/>
    </w:pPr>
    <w:rPr>
      <w:rFonts w:ascii="宋体" w:hAnsi="宋体" w:cs="宋体"/>
      <w:kern w:val="0"/>
      <w:sz w:val="20"/>
    </w:rPr>
  </w:style>
  <w:style w:type="paragraph" w:customStyle="1" w:styleId="194">
    <w:name w:val="标题4"/>
    <w:basedOn w:val="1"/>
    <w:uiPriority w:val="0"/>
    <w:pPr>
      <w:jc w:val="left"/>
    </w:pPr>
    <w:rPr>
      <w:sz w:val="28"/>
      <w:szCs w:val="28"/>
    </w:rPr>
  </w:style>
  <w:style w:type="paragraph" w:customStyle="1" w:styleId="195">
    <w:name w:val="xl52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196">
    <w:name w:val="xl529"/>
    <w:basedOn w:val="1"/>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rFonts w:ascii="宋体" w:hAnsi="宋体" w:cs="宋体"/>
      <w:kern w:val="0"/>
      <w:sz w:val="20"/>
    </w:rPr>
  </w:style>
  <w:style w:type="paragraph" w:customStyle="1" w:styleId="197">
    <w:name w:val="表格04"/>
    <w:basedOn w:val="1"/>
    <w:qFormat/>
    <w:uiPriority w:val="0"/>
    <w:pPr>
      <w:adjustRightInd w:val="0"/>
      <w:snapToGrid w:val="0"/>
      <w:spacing w:line="320" w:lineRule="exact"/>
      <w:jc w:val="center"/>
    </w:pPr>
    <w:rPr>
      <w:snapToGrid w:val="0"/>
      <w:kern w:val="0"/>
      <w:sz w:val="18"/>
      <w:szCs w:val="18"/>
    </w:rPr>
  </w:style>
  <w:style w:type="paragraph" w:customStyle="1" w:styleId="198">
    <w:name w:val="xl6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199">
    <w:name w:val="font6"/>
    <w:basedOn w:val="1"/>
    <w:uiPriority w:val="0"/>
    <w:pPr>
      <w:widowControl/>
      <w:spacing w:before="100" w:beforeAutospacing="1" w:after="100" w:afterAutospacing="1"/>
      <w:jc w:val="left"/>
    </w:pPr>
    <w:rPr>
      <w:rFonts w:ascii="宋体" w:hAnsi="宋体" w:cs="宋体"/>
      <w:i/>
      <w:iCs/>
      <w:color w:val="000000"/>
      <w:kern w:val="0"/>
      <w:sz w:val="24"/>
      <w:szCs w:val="24"/>
    </w:rPr>
  </w:style>
  <w:style w:type="paragraph" w:customStyle="1" w:styleId="200">
    <w:name w:val="xl7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01">
    <w:name w:val="xl565"/>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02">
    <w:name w:val="reader-word-layer reader-word-s1-1"/>
    <w:basedOn w:val="1"/>
    <w:uiPriority w:val="0"/>
    <w:pPr>
      <w:widowControl/>
      <w:spacing w:before="100" w:beforeAutospacing="1" w:after="100" w:afterAutospacing="1"/>
      <w:jc w:val="left"/>
    </w:pPr>
    <w:rPr>
      <w:rFonts w:ascii="宋体" w:hAnsi="宋体" w:cs="宋体"/>
      <w:kern w:val="0"/>
      <w:sz w:val="24"/>
      <w:szCs w:val="24"/>
    </w:rPr>
  </w:style>
  <w:style w:type="paragraph" w:customStyle="1" w:styleId="203">
    <w:name w:val="xl53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color w:val="FF0000"/>
      <w:kern w:val="0"/>
      <w:sz w:val="20"/>
    </w:rPr>
  </w:style>
  <w:style w:type="paragraph" w:customStyle="1" w:styleId="204">
    <w:name w:val="p19"/>
    <w:basedOn w:val="1"/>
    <w:uiPriority w:val="0"/>
    <w:pPr>
      <w:widowControl/>
      <w:spacing w:line="400" w:lineRule="atLeast"/>
      <w:ind w:left="420"/>
      <w:jc w:val="left"/>
    </w:pPr>
    <w:rPr>
      <w:smallCaps/>
      <w:kern w:val="0"/>
      <w:sz w:val="28"/>
      <w:szCs w:val="28"/>
    </w:rPr>
  </w:style>
  <w:style w:type="paragraph" w:customStyle="1" w:styleId="205">
    <w:name w:val="xl6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Cs w:val="21"/>
    </w:rPr>
  </w:style>
  <w:style w:type="paragraph" w:customStyle="1" w:styleId="206">
    <w:name w:val="xl84"/>
    <w:basedOn w:val="1"/>
    <w:uiPriority w:val="0"/>
    <w:pPr>
      <w:widowControl/>
      <w:pBdr>
        <w:left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07">
    <w:name w:val="font5"/>
    <w:basedOn w:val="1"/>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208">
    <w:name w:val="Normal"/>
    <w:uiPriority w:val="0"/>
    <w:pPr>
      <w:widowControl w:val="0"/>
      <w:adjustRightInd w:val="0"/>
      <w:spacing w:line="315" w:lineRule="atLeast"/>
      <w:textAlignment w:val="baseline"/>
    </w:pPr>
    <w:rPr>
      <w:rFonts w:ascii="宋体"/>
      <w:sz w:val="24"/>
      <w:lang w:val="en-US" w:eastAsia="zh-CN" w:bidi="ar-SA"/>
    </w:rPr>
  </w:style>
  <w:style w:type="paragraph" w:customStyle="1" w:styleId="209">
    <w:name w:val="xl531"/>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rPr>
  </w:style>
  <w:style w:type="paragraph" w:customStyle="1" w:styleId="210">
    <w:name w:val="xl537"/>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bottom"/>
    </w:pPr>
    <w:rPr>
      <w:rFonts w:ascii="宋体" w:hAnsi="宋体" w:cs="宋体"/>
      <w:kern w:val="0"/>
      <w:sz w:val="20"/>
    </w:rPr>
  </w:style>
  <w:style w:type="paragraph" w:customStyle="1" w:styleId="211">
    <w:name w:val="xl539"/>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 w:type="paragraph" w:customStyle="1" w:styleId="212">
    <w:name w:val="xl548"/>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6"/>
      <w:szCs w:val="16"/>
    </w:rPr>
  </w:style>
  <w:style w:type="paragraph" w:customStyle="1" w:styleId="213">
    <w:name w:val="xl85"/>
    <w:basedOn w:val="1"/>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14">
    <w:name w:val="xl54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18"/>
      <w:szCs w:val="18"/>
    </w:rPr>
  </w:style>
  <w:style w:type="paragraph" w:customStyle="1" w:styleId="215">
    <w:name w:val="xl566"/>
    <w:basedOn w:val="1"/>
    <w:uiPriority w:val="0"/>
    <w:pPr>
      <w:widowControl/>
      <w:pBdr>
        <w:bottom w:val="single" w:color="auto" w:sz="4" w:space="0"/>
      </w:pBdr>
      <w:spacing w:before="100" w:beforeAutospacing="1" w:after="100" w:afterAutospacing="1"/>
      <w:jc w:val="center"/>
      <w:textAlignment w:val="top"/>
    </w:pPr>
    <w:rPr>
      <w:rFonts w:ascii="宋体" w:hAnsi="宋体" w:cs="宋体"/>
      <w:b/>
      <w:bCs/>
      <w:kern w:val="0"/>
      <w:sz w:val="40"/>
      <w:szCs w:val="40"/>
    </w:rPr>
  </w:style>
  <w:style w:type="paragraph" w:customStyle="1" w:styleId="216">
    <w:name w:val="正文小四"/>
    <w:basedOn w:val="1"/>
    <w:uiPriority w:val="0"/>
    <w:pPr>
      <w:spacing w:line="360" w:lineRule="auto"/>
    </w:pPr>
    <w:rPr>
      <w:sz w:val="24"/>
    </w:rPr>
  </w:style>
  <w:style w:type="paragraph" w:customStyle="1" w:styleId="217">
    <w:name w:val="xl86"/>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32"/>
      <w:szCs w:val="32"/>
    </w:rPr>
  </w:style>
  <w:style w:type="paragraph" w:customStyle="1" w:styleId="218">
    <w:name w:val="p2"/>
    <w:basedOn w:val="1"/>
    <w:uiPriority w:val="0"/>
    <w:pPr>
      <w:widowControl/>
      <w:spacing w:before="100" w:beforeAutospacing="1" w:after="100" w:afterAutospacing="1"/>
      <w:jc w:val="left"/>
    </w:pPr>
    <w:rPr>
      <w:rFonts w:ascii="Arial Unicode MS" w:hAnsi="Arial Unicode MS" w:eastAsia="Arial Unicode MS" w:cs="Arial Unicode MS"/>
      <w:kern w:val="0"/>
      <w:sz w:val="24"/>
    </w:rPr>
  </w:style>
  <w:style w:type="paragraph" w:customStyle="1" w:styleId="219">
    <w:name w:val="xl73"/>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20">
    <w:name w:val="xl554"/>
    <w:basedOn w:val="1"/>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6" Type="http://schemas.openxmlformats.org/officeDocument/2006/relationships/fontTable" Target="fontTable.xml"/><Relationship Id="rId25" Type="http://schemas.openxmlformats.org/officeDocument/2006/relationships/customXml" Target="../customXml/item1.xml"/><Relationship Id="rId24" Type="http://schemas.openxmlformats.org/officeDocument/2006/relationships/image" Target="media/image10.jpeg"/><Relationship Id="rId23" Type="http://schemas.openxmlformats.org/officeDocument/2006/relationships/image" Target="media/image9.jpeg"/><Relationship Id="rId22" Type="http://schemas.openxmlformats.org/officeDocument/2006/relationships/image" Target="media/image8.wmf"/><Relationship Id="rId21" Type="http://schemas.openxmlformats.org/officeDocument/2006/relationships/oleObject" Target="embeddings/oleObject2.bin"/><Relationship Id="rId20" Type="http://schemas.openxmlformats.org/officeDocument/2006/relationships/image" Target="media/image7.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image" Target="media/image6.emf"/><Relationship Id="rId17" Type="http://schemas.openxmlformats.org/officeDocument/2006/relationships/image" Target="media/image5.emf"/><Relationship Id="rId16" Type="http://schemas.openxmlformats.org/officeDocument/2006/relationships/image" Target="media/image4.emf"/><Relationship Id="rId15" Type="http://schemas.openxmlformats.org/officeDocument/2006/relationships/image" Target="media/image3.emf"/><Relationship Id="rId14" Type="http://schemas.openxmlformats.org/officeDocument/2006/relationships/image" Target="media/image2.emf"/><Relationship Id="rId13" Type="http://schemas.openxmlformats.org/officeDocument/2006/relationships/image" Target="media/image1.emf"/><Relationship Id="rId12" Type="http://schemas.openxmlformats.org/officeDocument/2006/relationships/theme" Target="theme/theme1.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Template>
  <Company>China</Company>
  <Pages>1</Pages>
  <Words>16715</Words>
  <Characters>95277</Characters>
  <Lines>793</Lines>
  <Paragraphs>223</Paragraphs>
  <TotalTime>0</TotalTime>
  <ScaleCrop>false</ScaleCrop>
  <LinksUpToDate>false</LinksUpToDate>
  <CharactersWithSpaces>111769</CharactersWithSpaces>
  <Application>WPS Office_11.1.0.10463_F1E327BC-269C-435d-A152-05C5408002CA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2016-04-19T07:11:00Z</dcterms:created>
  <dc:creator>微软用户</dc:creator>
  <cp:lastModifiedBy>没事、别烦我</cp:lastModifiedBy>
  <cp:lastPrinted>2017-03-21T03:08:00Z</cp:lastPrinted>
  <dcterms:modified xsi:type="dcterms:W3CDTF">2021-04-15T05:11:54Z</dcterms:modified>
  <dc:title>云南省环境保护厅第11批（2014年）强制性清洁生产审核企业</dc:title>
  <cp:revision>372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2052-11.1.0.10463</vt:lpwstr>
  </property>
  <property fmtid="{D5CDD505-2E9C-101B-9397-08002B2CF9AE}" pid="3" name="ICV">
    <vt:lpwstr>61F530B264A345538D6A5A200D16FA81</vt:lpwstr>
  </property>
</Properties>
</file>